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D540B" w14:textId="77777777" w:rsidR="008823C4" w:rsidRPr="0000131B" w:rsidRDefault="008823C4" w:rsidP="008823C4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563386</w:t>
      </w:r>
      <w:bookmarkEnd w:id="0"/>
    </w:p>
    <w:p w14:paraId="797DF97E" w14:textId="77777777" w:rsidR="008823C4" w:rsidRPr="00DB7060" w:rsidRDefault="008823C4" w:rsidP="008823C4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0D94C42" w14:textId="77777777" w:rsidR="008823C4" w:rsidRPr="00F67051" w:rsidRDefault="008823C4" w:rsidP="008823C4">
      <w:pPr>
        <w:rPr>
          <w:rFonts w:cs="David"/>
          <w:b/>
          <w:bCs/>
          <w:sz w:val="26"/>
          <w:szCs w:val="26"/>
          <w:rtl/>
        </w:rPr>
      </w:pPr>
    </w:p>
    <w:p w14:paraId="5B4F78FC" w14:textId="77777777" w:rsidR="008823C4" w:rsidRDefault="008823C4" w:rsidP="004A1FA9">
      <w:pPr>
        <w:pStyle w:val="David"/>
        <w:spacing w:before="0"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איימן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עאידה תומא סלימאן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דב חנין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יוסף ג'בארין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עבדאללה אבו מערוף</w:t>
      </w:r>
      <w:bookmarkEnd w:id="3"/>
    </w:p>
    <w:p w14:paraId="12E142E0" w14:textId="77777777" w:rsidR="008823C4" w:rsidRPr="00CF1AA2" w:rsidRDefault="008823C4" w:rsidP="008823C4">
      <w:pPr>
        <w:pStyle w:val="David"/>
        <w:ind w:left="3544"/>
        <w:rPr>
          <w:b/>
          <w:bCs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66CF515B" w14:textId="77777777" w:rsidR="008823C4" w:rsidRPr="00E06736" w:rsidRDefault="008823C4" w:rsidP="008823C4">
      <w:pPr>
        <w:pStyle w:val="David"/>
        <w:ind w:left="3544"/>
        <w:rPr>
          <w:rtl/>
        </w:rPr>
      </w:pPr>
      <w:r w:rsidRPr="00CF1AA2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CF966" wp14:editId="1238A1A3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624596" id="Freeform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5.55pt,3.75pt" coordsize="610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 filled="f">
                <v:path arrowok="t" o:connecttype="custom" o:connectlocs="0,17145;3879215,0" o:connectangles="0,0"/>
              </v:polyline>
            </w:pict>
          </mc:Fallback>
        </mc:AlternateContent>
      </w:r>
      <w:r w:rsidRPr="00E06736">
        <w:rPr>
          <w:rFonts w:hint="cs"/>
          <w:rtl/>
        </w:rPr>
        <w:tab/>
      </w:r>
      <w:r>
        <w:tab/>
      </w:r>
      <w:r>
        <w:tab/>
      </w:r>
      <w:r w:rsidRPr="00E06736">
        <w:rPr>
          <w:rFonts w:hint="cs"/>
          <w:rtl/>
        </w:rPr>
        <w:tab/>
      </w:r>
      <w:r w:rsidRPr="00E06736">
        <w:tab/>
      </w:r>
      <w:bookmarkStart w:id="6" w:name="Private_Number"/>
      <w:r>
        <w:rPr>
          <w:rFonts w:hint="cs"/>
          <w:rtl/>
        </w:rPr>
        <w:t>פ/2228/20</w:t>
      </w:r>
      <w:bookmarkEnd w:id="6"/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</w:p>
    <w:p w14:paraId="3A7102ED" w14:textId="77777777" w:rsidR="008823C4" w:rsidRDefault="008823C4" w:rsidP="008823C4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00975D0F" w14:textId="77777777" w:rsidR="004A1FA9" w:rsidRDefault="008823C4" w:rsidP="008823C4">
      <w:pPr>
        <w:pStyle w:val="HeadHatzaotHok"/>
        <w:spacing w:line="240" w:lineRule="auto"/>
        <w:rPr>
          <w:rtl/>
        </w:rPr>
      </w:pPr>
      <w:bookmarkStart w:id="7" w:name="LGS_Subject"/>
      <w:r>
        <w:rPr>
          <w:rFonts w:hint="cs"/>
          <w:rtl/>
        </w:rPr>
        <w:t xml:space="preserve">הצעת חוק התכנון והבנייה (תיקון – פטור מהיטל השבחה על בניית דירת מגורים חדשה), </w:t>
      </w:r>
    </w:p>
    <w:p w14:paraId="1C8A0309" w14:textId="49D9BCC0" w:rsidR="008823C4" w:rsidRDefault="008823C4" w:rsidP="008823C4">
      <w:pPr>
        <w:pStyle w:val="HeadHatzaotHok"/>
        <w:spacing w:line="240" w:lineRule="auto"/>
        <w:rPr>
          <w:rtl/>
        </w:rPr>
      </w:pPr>
      <w:r>
        <w:rPr>
          <w:rFonts w:hint="cs"/>
          <w:rtl/>
        </w:rPr>
        <w:t>התשע"ו–2015</w:t>
      </w:r>
      <w:bookmarkEnd w:id="7"/>
    </w:p>
    <w:p w14:paraId="75A327F0" w14:textId="77777777" w:rsidR="008823C4" w:rsidRDefault="008823C4" w:rsidP="008823C4">
      <w:pPr>
        <w:pStyle w:val="HeadHatzaotHok"/>
        <w:spacing w:line="240" w:lineRule="auto"/>
        <w:rPr>
          <w:rtl/>
        </w:rPr>
      </w:pPr>
    </w:p>
    <w:tbl>
      <w:tblPr>
        <w:bidiVisual/>
        <w:tblW w:w="9641" w:type="dxa"/>
        <w:tblInd w:w="-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6"/>
      </w:tblGrid>
      <w:tr w:rsidR="008823C4" w14:paraId="0075734D" w14:textId="77777777" w:rsidTr="007E1E25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0F4020D2" w14:textId="77777777" w:rsidR="008823C4" w:rsidRDefault="008823C4" w:rsidP="007E1E25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jc w:val="left"/>
              <w:rPr>
                <w:rFonts w:ascii="Arial" w:eastAsia="Arial Unicode MS" w:hAnsi="Arial" w:cs="Arial Unicode MS"/>
                <w:spacing w:val="0"/>
                <w:sz w:val="20"/>
                <w:szCs w:val="26"/>
              </w:rPr>
            </w:pP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תיקון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התוספת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השלישית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A37CAB8" w14:textId="77777777" w:rsidR="008823C4" w:rsidRDefault="008823C4" w:rsidP="007E1E25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Arial Unicode MS"/>
                <w:spacing w:val="0"/>
                <w:sz w:val="20"/>
                <w:szCs w:val="26"/>
              </w:rPr>
            </w:pP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1.</w:t>
            </w: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3968B1B0" w14:textId="335D42E2" w:rsidR="008823C4" w:rsidRDefault="008823C4" w:rsidP="0062769A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Arial Unicode MS"/>
                <w:spacing w:val="0"/>
                <w:sz w:val="20"/>
                <w:szCs w:val="26"/>
              </w:rPr>
            </w:pP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בחוק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התכנון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והבנייה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,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התשכ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"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ה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–1965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vertAlign w:val="superscript"/>
                <w:rtl/>
              </w:rPr>
              <w:footnoteReference w:id="2"/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,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בתוספת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השלישית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,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בסעיף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19(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ג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)(1),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במקום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"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בניה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או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הרחבה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של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דירת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מגורים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"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יבוא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"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בניית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דירת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מגורים</w:t>
            </w:r>
            <w:r w:rsidR="00054E29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,</w:t>
            </w:r>
            <w:r w:rsidR="0062769A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 </w:t>
            </w:r>
            <w:r w:rsidR="00054E29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בין אם נבנתה דירה חדשה ובין אם נבנתה</w:t>
            </w:r>
            <w:r w:rsidR="0062769A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במקום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דירת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מגורים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אחרת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 w:rsidR="0062769A"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שנ</w:t>
            </w:r>
            <w:r w:rsidR="0062769A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הרסה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,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או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הרחבת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דירת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מגורים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קיימת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".</w:t>
            </w:r>
          </w:p>
        </w:tc>
      </w:tr>
    </w:tbl>
    <w:p w14:paraId="34D4F397" w14:textId="77777777" w:rsidR="008823C4" w:rsidRPr="00AD3F8B" w:rsidRDefault="008823C4" w:rsidP="008823C4">
      <w:pPr>
        <w:snapToGrid w:val="0"/>
        <w:spacing w:before="360" w:after="120" w:line="360" w:lineRule="auto"/>
        <w:ind w:firstLine="0"/>
        <w:jc w:val="center"/>
        <w:rPr>
          <w:rFonts w:ascii="Arial" w:eastAsia="Arial Unicode MS" w:hAnsi="Arial" w:cs="David"/>
          <w:b/>
          <w:spacing w:val="40"/>
          <w:sz w:val="26"/>
          <w:szCs w:val="26"/>
          <w:rtl/>
        </w:rPr>
      </w:pPr>
      <w:r>
        <w:rPr>
          <w:rFonts w:ascii="Arial" w:eastAsia="Arial Unicode MS" w:hAnsi="Arial" w:cs="David" w:hint="eastAsia"/>
          <w:b/>
          <w:spacing w:val="40"/>
          <w:sz w:val="26"/>
          <w:szCs w:val="26"/>
          <w:rtl/>
        </w:rPr>
        <w:t>דברי</w:t>
      </w:r>
      <w:r>
        <w:rPr>
          <w:rFonts w:ascii="Arial" w:eastAsia="Arial Unicode MS" w:hAnsi="Arial" w:cs="David"/>
          <w:b/>
          <w:spacing w:val="4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b/>
          <w:spacing w:val="40"/>
          <w:sz w:val="26"/>
          <w:szCs w:val="26"/>
          <w:rtl/>
        </w:rPr>
        <w:t>הסבר</w:t>
      </w:r>
    </w:p>
    <w:p w14:paraId="6891BE8C" w14:textId="3A53A3E2" w:rsidR="008823C4" w:rsidRDefault="008823C4" w:rsidP="00A57430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מטרת התיקון 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היא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לעגן בחקיקה את פסיקת בית המשפט העליון ולהסיר כל צל של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ספק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A57430">
        <w:rPr>
          <w:rFonts w:ascii="Arial" w:eastAsia="Arial Unicode MS" w:hAnsi="Arial" w:cs="David" w:hint="eastAsia"/>
          <w:spacing w:val="0"/>
          <w:sz w:val="26"/>
          <w:szCs w:val="26"/>
          <w:rtl/>
        </w:rPr>
        <w:t>ב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>נוגע</w:t>
      </w:r>
      <w:r w:rsidR="00A57430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לתחולת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הזכאות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לפטור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מהיטל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השבחה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(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להלן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>–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פטור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)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הקבוע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בסעיף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19(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ג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)(1)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ל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תוספת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השלישית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4A1FA9">
        <w:rPr>
          <w:rFonts w:ascii="Arial" w:eastAsia="Arial Unicode MS" w:hAnsi="Arial" w:cs="David" w:hint="cs"/>
          <w:spacing w:val="0"/>
          <w:sz w:val="26"/>
          <w:szCs w:val="26"/>
          <w:rtl/>
        </w:rPr>
        <w:t>ל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חוק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התכנון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והבנייה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,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התשכ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>"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>–1965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(להלן</w:t>
      </w:r>
      <w:r w:rsidR="004A1FA9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>–</w:t>
      </w:r>
      <w:r w:rsidR="004A1FA9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החוק)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>.</w:t>
      </w:r>
    </w:p>
    <w:p w14:paraId="3A47EC45" w14:textId="4CF02029" w:rsidR="008823C4" w:rsidRDefault="008823C4" w:rsidP="004A1FA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נוסחו הנוכחי ש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>ל סעיף 19(ג)(1)</w:t>
      </w:r>
      <w:r w:rsidR="004A1FA9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לתוספת השלישית ל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חוק </w:t>
      </w:r>
      <w:r w:rsidR="004A1FA9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שהוא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מעורפל ולא ברור, הביא למדיניות לא עקבית של הוועדות המקומיות לתכנון ולבנייה (להלן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>–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הוועדות המקומיות) ובעקבות כך להתדיינות משפטית ארוכת שנים. הפסיקה האחרונה הרלוונטית 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>ל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עניין זה 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היא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רע"א 3626/06 </w:t>
      </w:r>
      <w:r>
        <w:rPr>
          <w:rFonts w:ascii="Arial" w:eastAsia="Arial Unicode MS" w:hAnsi="Arial" w:cs="David" w:hint="cs"/>
          <w:b/>
          <w:bCs/>
          <w:spacing w:val="0"/>
          <w:sz w:val="26"/>
          <w:szCs w:val="26"/>
          <w:rtl/>
        </w:rPr>
        <w:t>חמאיסי נ' הו</w:t>
      </w:r>
      <w:r w:rsidR="00A57430">
        <w:rPr>
          <w:rFonts w:ascii="Arial" w:eastAsia="Arial Unicode MS" w:hAnsi="Arial" w:cs="David" w:hint="cs"/>
          <w:b/>
          <w:bCs/>
          <w:spacing w:val="0"/>
          <w:sz w:val="26"/>
          <w:szCs w:val="26"/>
          <w:rtl/>
        </w:rPr>
        <w:t>ו</w:t>
      </w:r>
      <w:r>
        <w:rPr>
          <w:rFonts w:ascii="Arial" w:eastAsia="Arial Unicode MS" w:hAnsi="Arial" w:cs="David" w:hint="cs"/>
          <w:b/>
          <w:bCs/>
          <w:spacing w:val="0"/>
          <w:sz w:val="26"/>
          <w:szCs w:val="26"/>
          <w:rtl/>
        </w:rPr>
        <w:t xml:space="preserve">עדה המקומית לתכנון ובנייה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(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>ניתן ביום 22 באוגוסט 2008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) (להלן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>–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הלכת חמיאסי). הלכה זו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קבעה כי הפרשנות המילולית והתכליתית הנכונה של סעיף 1</w:t>
      </w:r>
      <w:r w:rsidR="004A1FA9">
        <w:rPr>
          <w:rFonts w:ascii="Arial" w:eastAsia="Arial Unicode MS" w:hAnsi="Arial" w:cs="David" w:hint="cs"/>
          <w:spacing w:val="0"/>
          <w:sz w:val="26"/>
          <w:szCs w:val="26"/>
          <w:rtl/>
        </w:rPr>
        <w:t>9(ג)(1) לתוספת השלישית לחוק היא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שגם בנייה על קרקע בתולית מזכה בפטור. </w:t>
      </w:r>
    </w:p>
    <w:p w14:paraId="743FE868" w14:textId="087CAE56" w:rsidR="008823C4" w:rsidRPr="00694DBC" w:rsidRDefault="00A57430" w:rsidP="00BE1D31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נוסף</w:t>
      </w:r>
      <w:r w:rsidR="004A1FA9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על </w:t>
      </w:r>
      <w:bookmarkStart w:id="8" w:name="_GoBack"/>
      <w:bookmarkEnd w:id="8"/>
      <w:r w:rsidR="008823C4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הלכת 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חמיאסי,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הלכה קודמת הידועה כ</w:t>
      </w:r>
      <w:r w:rsidR="008823C4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הלכת צרי,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קובעת כי </w:t>
      </w:r>
      <w:r w:rsidR="008823C4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הפטור יינתן לדירה אחת בלבד, רק בהתאם למגבלת המטרים שבסעיף, </w:t>
      </w:r>
      <w:r w:rsidR="004A1FA9">
        <w:rPr>
          <w:rFonts w:ascii="Arial" w:eastAsia="Arial Unicode MS" w:hAnsi="Arial" w:cs="David" w:hint="cs"/>
          <w:spacing w:val="0"/>
          <w:sz w:val="26"/>
          <w:szCs w:val="26"/>
          <w:rtl/>
        </w:rPr>
        <w:t>בנוגע</w:t>
      </w:r>
      <w:r w:rsidR="008823C4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הור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>חבה או נבנתה במקום דירה אחרת שנהרסה</w:t>
      </w:r>
      <w:r w:rsidR="008823C4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. </w:t>
      </w:r>
    </w:p>
    <w:p w14:paraId="52C3D9B6" w14:textId="583201C9" w:rsidR="008823C4" w:rsidRDefault="008823C4" w:rsidP="0062769A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ריבוי 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הפסיקות בנושא זה יוצר </w:t>
      </w:r>
      <w:r w:rsidR="004A1FA9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חוסר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ודאות משפטית באשר לתנאים לקבלת הפטור. הדבר משליך הן על המדיניות של הוועדות המקומיות והן על הזכאים לפטור, אשר במקרים רבים נרתעים מלהגיש בקשות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lastRenderedPageBreak/>
        <w:t>להיתר בני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>י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ה מתוך חשש כי יוטל עליה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>ם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>חיוב ל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תשלום היטל ההשבחה. כך, התוצאות הישירות של הערפול המשפטי הן בני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>י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ה ללא היתר וכן התדיינויות משפטיות רבות סביב הנושא. </w:t>
      </w:r>
    </w:p>
    <w:p w14:paraId="3E840597" w14:textId="741B8E38" w:rsidR="008823C4" w:rsidRDefault="008823C4" w:rsidP="004A1FA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הצעת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החוק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באה לשים סוף למצב זה ולקבוע בחקיקה מפורשת את התנאים לקבלת פטור, כפי שעולים מהלכת חמאיסי ומהלכת צרי. </w:t>
      </w:r>
      <w:r w:rsidR="004A1FA9">
        <w:rPr>
          <w:rFonts w:ascii="Arial" w:eastAsia="Arial Unicode MS" w:hAnsi="Arial" w:cs="David" w:hint="cs"/>
          <w:spacing w:val="0"/>
          <w:sz w:val="26"/>
          <w:szCs w:val="26"/>
          <w:rtl/>
        </w:rPr>
        <w:t>כמו כן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,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מחזקת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הצעת החוק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את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התכלית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הסוציאלית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של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מתן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הפטור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>באמצעות</w:t>
      </w:r>
      <w:r w:rsidR="00A57430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הבטחת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תחולתו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על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כל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משפחה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שמבקשת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ליישם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את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זכותה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הבסיסית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להשיג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פתרון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דיור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4A1FA9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על ידי</w:t>
      </w:r>
      <w:r w:rsidR="00A57430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בניית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דירת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מגורים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לשימוש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עצמי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בשטח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סביר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שאינו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עולה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על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140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מטרים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רבועים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.  </w:t>
      </w:r>
    </w:p>
    <w:p w14:paraId="69D74FF7" w14:textId="04079EA1" w:rsidR="008823C4" w:rsidRDefault="008823C4" w:rsidP="008823C4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הצע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>ו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חוק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דומ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>ות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בעיקר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>ן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הונח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>ו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על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שולחן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הכנסת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השש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>-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עשרה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על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ידי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חברי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הכנסת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מגלי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והבה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ומשה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גפני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 xml:space="preserve"> (</w:t>
      </w:r>
      <w:r>
        <w:rPr>
          <w:rFonts w:ascii="Arial" w:eastAsia="Arial Unicode MS" w:hAnsi="Arial" w:cs="David" w:hint="eastAsia"/>
          <w:spacing w:val="0"/>
          <w:sz w:val="26"/>
          <w:szCs w:val="26"/>
          <w:rtl/>
        </w:rPr>
        <w:t>פ</w:t>
      </w:r>
      <w:r>
        <w:rPr>
          <w:rFonts w:ascii="Arial" w:eastAsia="Arial Unicode MS" w:hAnsi="Arial" w:cs="David"/>
          <w:spacing w:val="0"/>
          <w:sz w:val="26"/>
          <w:szCs w:val="26"/>
          <w:rtl/>
        </w:rPr>
        <w:t>/3031)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>, ו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על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שולחן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הכנסת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ה</w:t>
      </w:r>
      <w:r w:rsidR="0062769A">
        <w:rPr>
          <w:rFonts w:ascii="Arial" w:eastAsia="Arial Unicode MS" w:hAnsi="Arial" w:cs="David" w:hint="cs"/>
          <w:spacing w:val="0"/>
          <w:sz w:val="26"/>
          <w:szCs w:val="26"/>
          <w:rtl/>
        </w:rPr>
        <w:t>תשע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>-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עשרה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על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ידי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חבר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הכנסת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חנא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סוייד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וקבוצת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חברי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62769A">
        <w:rPr>
          <w:rFonts w:ascii="Arial" w:eastAsia="Arial Unicode MS" w:hAnsi="Arial" w:cs="David" w:hint="eastAsia"/>
          <w:spacing w:val="0"/>
          <w:sz w:val="26"/>
          <w:szCs w:val="26"/>
          <w:rtl/>
        </w:rPr>
        <w:t>הכנסת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(</w:t>
      </w:r>
      <w:r w:rsidR="0062769A">
        <w:rPr>
          <w:rFonts w:cs="David"/>
          <w:sz w:val="26"/>
          <w:szCs w:val="26"/>
          <w:rtl/>
        </w:rPr>
        <w:t>פ/413/19</w:t>
      </w:r>
      <w:r w:rsidR="0062769A">
        <w:rPr>
          <w:rFonts w:ascii="Arial" w:eastAsia="Arial Unicode MS" w:hAnsi="Arial" w:cs="David"/>
          <w:spacing w:val="0"/>
          <w:sz w:val="26"/>
          <w:szCs w:val="26"/>
          <w:rtl/>
        </w:rPr>
        <w:t>).</w:t>
      </w:r>
    </w:p>
    <w:p w14:paraId="75F5798E" w14:textId="4CF7109D" w:rsidR="004A1FA9" w:rsidRDefault="004A1FA9" w:rsidP="008823C4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14:paraId="08A8C0BF" w14:textId="77777777" w:rsidR="004A1FA9" w:rsidRDefault="004A1FA9" w:rsidP="008823C4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14:paraId="19E8630E" w14:textId="77777777" w:rsidR="004A1FA9" w:rsidRDefault="004A1FA9" w:rsidP="008823C4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14:paraId="602BF60C" w14:textId="77777777" w:rsidR="004A1FA9" w:rsidRPr="0022704F" w:rsidRDefault="004A1FA9" w:rsidP="004A1FA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14:paraId="118B265E" w14:textId="77777777" w:rsidR="004A1FA9" w:rsidRPr="0022704F" w:rsidRDefault="004A1FA9" w:rsidP="004A1FA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224BAF3B" w14:textId="77777777" w:rsidR="004A1FA9" w:rsidRPr="0022704F" w:rsidRDefault="004A1FA9" w:rsidP="004A1FA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4C8E1E0F" w14:textId="77777777" w:rsidR="004A1FA9" w:rsidRPr="00935520" w:rsidRDefault="004A1FA9" w:rsidP="004A1FA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י"א בכסלו התשע"ו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23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11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</w:p>
    <w:p w14:paraId="7F6961CB" w14:textId="64E36E34" w:rsidR="00E13C27" w:rsidRPr="004A1FA9" w:rsidRDefault="00E13C27" w:rsidP="008823C4">
      <w:pPr>
        <w:rPr>
          <w:rtl/>
        </w:rPr>
      </w:pPr>
    </w:p>
    <w:sectPr w:rsidR="00E13C27" w:rsidRPr="004A1FA9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961D3" w14:textId="77777777" w:rsidR="00C23B1A" w:rsidRDefault="00C23B1A">
      <w:r>
        <w:separator/>
      </w:r>
    </w:p>
  </w:endnote>
  <w:endnote w:type="continuationSeparator" w:id="0">
    <w:p w14:paraId="7F6961D4" w14:textId="77777777" w:rsidR="00C23B1A" w:rsidRDefault="00C2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1A0623" w:rsidRDefault="001A06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BE1D31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1A0623" w:rsidRDefault="001A06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961D0" w14:textId="77777777" w:rsidR="00C23B1A" w:rsidRDefault="00C23B1A">
      <w:r>
        <w:separator/>
      </w:r>
    </w:p>
  </w:footnote>
  <w:footnote w:type="continuationSeparator" w:id="0">
    <w:p w14:paraId="7F6961D1" w14:textId="77777777" w:rsidR="00C23B1A" w:rsidRDefault="00C23B1A">
      <w:r>
        <w:continuationSeparator/>
      </w:r>
    </w:p>
  </w:footnote>
  <w:footnote w:type="continuationNotice" w:id="1">
    <w:p w14:paraId="7F6961D2" w14:textId="77777777" w:rsidR="00C23B1A" w:rsidRDefault="00C23B1A"/>
  </w:footnote>
  <w:footnote w:id="2">
    <w:p w14:paraId="219DAD0E" w14:textId="77777777" w:rsidR="008823C4" w:rsidRDefault="008823C4" w:rsidP="008823C4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ס"ח התשכ"ה, עמ' 307.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26A71"/>
    <w:rsid w:val="00054E29"/>
    <w:rsid w:val="0007681A"/>
    <w:rsid w:val="000A542E"/>
    <w:rsid w:val="000D12C3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203A7F"/>
    <w:rsid w:val="002200A1"/>
    <w:rsid w:val="002362BF"/>
    <w:rsid w:val="00241B97"/>
    <w:rsid w:val="00246756"/>
    <w:rsid w:val="00251E58"/>
    <w:rsid w:val="00254605"/>
    <w:rsid w:val="002728B4"/>
    <w:rsid w:val="0027600C"/>
    <w:rsid w:val="00292712"/>
    <w:rsid w:val="002A487D"/>
    <w:rsid w:val="002C2E29"/>
    <w:rsid w:val="002D1EE3"/>
    <w:rsid w:val="002F1D80"/>
    <w:rsid w:val="003232A2"/>
    <w:rsid w:val="00325C14"/>
    <w:rsid w:val="003710F6"/>
    <w:rsid w:val="00386E88"/>
    <w:rsid w:val="00396585"/>
    <w:rsid w:val="003D74A0"/>
    <w:rsid w:val="003F726F"/>
    <w:rsid w:val="004033D8"/>
    <w:rsid w:val="004073F0"/>
    <w:rsid w:val="00412A7D"/>
    <w:rsid w:val="00416B4D"/>
    <w:rsid w:val="00417CFC"/>
    <w:rsid w:val="004A1FA9"/>
    <w:rsid w:val="004B24ED"/>
    <w:rsid w:val="004D2D82"/>
    <w:rsid w:val="004D3876"/>
    <w:rsid w:val="004E4552"/>
    <w:rsid w:val="00553C9D"/>
    <w:rsid w:val="00562A66"/>
    <w:rsid w:val="005B064E"/>
    <w:rsid w:val="005D51AE"/>
    <w:rsid w:val="0062674B"/>
    <w:rsid w:val="0062769A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C3FA6"/>
    <w:rsid w:val="007D585A"/>
    <w:rsid w:val="007D5A12"/>
    <w:rsid w:val="007E59F9"/>
    <w:rsid w:val="00810BCD"/>
    <w:rsid w:val="00812C98"/>
    <w:rsid w:val="00814D92"/>
    <w:rsid w:val="0083181D"/>
    <w:rsid w:val="00874BBC"/>
    <w:rsid w:val="008823C4"/>
    <w:rsid w:val="00892135"/>
    <w:rsid w:val="00895449"/>
    <w:rsid w:val="00897879"/>
    <w:rsid w:val="008A6870"/>
    <w:rsid w:val="008C2DDC"/>
    <w:rsid w:val="008C7516"/>
    <w:rsid w:val="008E6EC7"/>
    <w:rsid w:val="008F0D63"/>
    <w:rsid w:val="008F2C35"/>
    <w:rsid w:val="008F6665"/>
    <w:rsid w:val="0091204F"/>
    <w:rsid w:val="009203DB"/>
    <w:rsid w:val="00923CD4"/>
    <w:rsid w:val="00943386"/>
    <w:rsid w:val="009456B6"/>
    <w:rsid w:val="00957589"/>
    <w:rsid w:val="00966D06"/>
    <w:rsid w:val="00982412"/>
    <w:rsid w:val="00983A8D"/>
    <w:rsid w:val="009A7257"/>
    <w:rsid w:val="009D6E0A"/>
    <w:rsid w:val="00A14672"/>
    <w:rsid w:val="00A26BD6"/>
    <w:rsid w:val="00A443CF"/>
    <w:rsid w:val="00A57430"/>
    <w:rsid w:val="00A6611D"/>
    <w:rsid w:val="00A82CB7"/>
    <w:rsid w:val="00AA2F03"/>
    <w:rsid w:val="00AC36F7"/>
    <w:rsid w:val="00AC63A4"/>
    <w:rsid w:val="00AD239E"/>
    <w:rsid w:val="00B10265"/>
    <w:rsid w:val="00B21211"/>
    <w:rsid w:val="00B35784"/>
    <w:rsid w:val="00B733A7"/>
    <w:rsid w:val="00B975AD"/>
    <w:rsid w:val="00BC45FB"/>
    <w:rsid w:val="00BE1D31"/>
    <w:rsid w:val="00BF148D"/>
    <w:rsid w:val="00C23B1A"/>
    <w:rsid w:val="00C310EB"/>
    <w:rsid w:val="00C9176A"/>
    <w:rsid w:val="00CF1AA2"/>
    <w:rsid w:val="00D63620"/>
    <w:rsid w:val="00D8410D"/>
    <w:rsid w:val="00D867D7"/>
    <w:rsid w:val="00DB7060"/>
    <w:rsid w:val="00DE3153"/>
    <w:rsid w:val="00DE5C8C"/>
    <w:rsid w:val="00E06736"/>
    <w:rsid w:val="00E13C27"/>
    <w:rsid w:val="00E33BBD"/>
    <w:rsid w:val="00E45103"/>
    <w:rsid w:val="00E665B9"/>
    <w:rsid w:val="00EA01E6"/>
    <w:rsid w:val="00EA3DE8"/>
    <w:rsid w:val="00EA758F"/>
    <w:rsid w:val="00ED4A6F"/>
    <w:rsid w:val="00EF3A3A"/>
    <w:rsid w:val="00F628D6"/>
    <w:rsid w:val="00F67051"/>
    <w:rsid w:val="00FA5E88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CBD7D4D2-3F72-4454-9736-8F0C6577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uiPriority w:val="99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rsid w:val="00026A71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C28A9-6AC5-4DF7-B860-29905CF30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1EC7C0-D263-4140-8841-1DE08F6F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387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12</cp:revision>
  <cp:lastPrinted>2015-11-18T13:02:00Z</cp:lastPrinted>
  <dcterms:created xsi:type="dcterms:W3CDTF">2015-03-26T08:06:00Z</dcterms:created>
  <dcterms:modified xsi:type="dcterms:W3CDTF">2015-11-18T13:04:00Z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0354fdee-f711-4d2a-9cf2-2d1c4d9ac92a</vt:lpwstr>
  </property>
  <property fmtid="{D5CDD505-2E9C-101B-9397-08002B2CF9AE}" pid="4" name="SanhedrinDocumentType">
    <vt:r8>10</vt:r8>
  </property>
  <property fmtid="{D5CDD505-2E9C-101B-9397-08002B2CF9AE}" pid="5" name="SanhedrinItemID">
    <vt:r8>563386</vt:r8>
  </property>
</Properties>
</file>