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00131B" w:rsidRDefault="004033D8" w:rsidP="00A443CF">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566779</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בצלאל סמוטריץ'</w:t>
      </w:r>
      <w:r>
        <w:br/>
      </w:r>
      <w:r>
        <w:rPr>
          <w:rFonts w:hint="cs"/>
          <w:b/>
          <w:bCs/>
          <w:rtl/>
        </w:rPr>
        <w:t xml:space="preserve"> </w:t>
      </w:r>
      <w:r>
        <w:tab/>
      </w:r>
      <w:r>
        <w:tab/>
      </w:r>
      <w:r>
        <w:tab/>
      </w:r>
      <w:r>
        <w:tab/>
      </w:r>
      <w:r>
        <w:rPr>
          <w:rFonts w:hint="cs"/>
          <w:b/>
          <w:bCs/>
          <w:rtl/>
        </w:rPr>
        <w:t>ינון מגל</w:t>
      </w:r>
      <w:r>
        <w:br/>
      </w:r>
      <w:r>
        <w:rPr>
          <w:rFonts w:hint="cs"/>
          <w:b/>
          <w:bCs/>
          <w:rtl/>
        </w:rPr>
        <w:t xml:space="preserve"> </w:t>
      </w:r>
      <w:r>
        <w:tab/>
      </w:r>
      <w:r>
        <w:tab/>
      </w:r>
      <w:r>
        <w:tab/>
      </w:r>
      <w:r>
        <w:tab/>
      </w:r>
      <w:r>
        <w:rPr>
          <w:rFonts w:hint="cs"/>
          <w:b/>
          <w:bCs/>
          <w:rtl/>
        </w:rPr>
        <w:t>מכלוף מיקי זוהר</w:t>
      </w:r>
      <w:r>
        <w:br/>
      </w:r>
      <w:r>
        <w:rPr>
          <w:rFonts w:hint="cs"/>
          <w:b/>
          <w:bCs/>
          <w:rtl/>
        </w:rPr>
        <w:t xml:space="preserve"> </w:t>
      </w:r>
      <w:r>
        <w:tab/>
      </w:r>
      <w:r>
        <w:tab/>
      </w:r>
      <w:r>
        <w:tab/>
      </w:r>
      <w:r>
        <w:tab/>
      </w:r>
      <w:r>
        <w:rPr>
          <w:rFonts w:hint="cs"/>
          <w:b/>
          <w:bCs/>
          <w:rtl/>
        </w:rPr>
        <w:t>מרדכי יוגב</w:t>
      </w:r>
      <w:r>
        <w:br/>
      </w:r>
      <w:r>
        <w:rPr>
          <w:rFonts w:hint="cs"/>
          <w:b/>
          <w:bCs/>
          <w:rtl/>
        </w:rPr>
        <w:t xml:space="preserve"> </w:t>
      </w:r>
      <w:r>
        <w:tab/>
      </w:r>
      <w:r>
        <w:tab/>
      </w:r>
      <w:r>
        <w:tab/>
      </w:r>
      <w:r>
        <w:tab/>
      </w:r>
      <w:r>
        <w:rPr>
          <w:rFonts w:hint="cs"/>
          <w:b/>
          <w:bCs/>
          <w:rtl/>
        </w:rPr>
        <w:t>אורן אסף חזן</w:t>
      </w:r>
      <w:r>
        <w:br/>
      </w:r>
      <w:r>
        <w:rPr>
          <w:rFonts w:hint="cs"/>
          <w:b/>
          <w:bCs/>
          <w:rtl/>
        </w:rPr>
        <w:t xml:space="preserve"> </w:t>
      </w:r>
      <w:r>
        <w:tab/>
      </w:r>
      <w:r>
        <w:tab/>
      </w:r>
      <w:r>
        <w:tab/>
      </w:r>
      <w:r>
        <w:tab/>
      </w:r>
      <w:r>
        <w:rPr>
          <w:rFonts w:hint="cs"/>
          <w:b/>
          <w:bCs/>
          <w:rtl/>
        </w:rPr>
        <w:t>שרון גל</w:t>
      </w:r>
      <w:r>
        <w:br/>
      </w:r>
      <w:r>
        <w:rPr>
          <w:rFonts w:hint="cs"/>
          <w:b/>
          <w:bCs/>
          <w:rtl/>
        </w:rPr>
        <w:t xml:space="preserve"> </w:t>
      </w:r>
      <w:r>
        <w:tab/>
      </w:r>
      <w:r>
        <w:tab/>
      </w:r>
      <w:r>
        <w:tab/>
      </w:r>
      <w:r>
        <w:tab/>
      </w:r>
      <w:r>
        <w:rPr>
          <w:rFonts w:hint="cs"/>
          <w:b/>
          <w:bCs/>
          <w:rtl/>
        </w:rPr>
        <w:t>יואב קיש</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פ/1958/20</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37575C82" w:rsidR="00E13C27" w:rsidRPr="00F67051" w:rsidRDefault="00A443CF" w:rsidP="00A00EDE">
      <w:pPr>
        <w:pStyle w:val="HeadHatzaotHok"/>
        <w:rPr>
          <w:rtl/>
        </w:rPr>
      </w:pPr>
      <w:bookmarkStart w:id="7" w:name="LGS_Subject"/>
      <w:r>
        <w:rPr>
          <w:rFonts w:hint="cs"/>
          <w:rtl/>
        </w:rPr>
        <w:t>הצעת חוק דין הבונה והנוטע במקרקעי הזולת ביהודה והשומרון, התשע"ה–2015</w:t>
      </w:r>
      <w:bookmarkEnd w:id="7"/>
    </w:p>
    <w:p w14:paraId="70DC5982" w14:textId="77777777" w:rsidR="00443095" w:rsidRDefault="00443095" w:rsidP="00443095">
      <w:pPr>
        <w:pStyle w:val="HeadHatzaotHok"/>
        <w:tabs>
          <w:tab w:val="left" w:pos="4071"/>
          <w:tab w:val="center" w:pos="4819"/>
        </w:tabs>
        <w:spacing w:before="0"/>
        <w:rPr>
          <w:sz w:val="26"/>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19"/>
      </w:tblGrid>
      <w:tr w:rsidR="00A00EDE" w14:paraId="704747F8" w14:textId="77777777" w:rsidTr="00D07DA0">
        <w:trPr>
          <w:cantSplit/>
        </w:trPr>
        <w:tc>
          <w:tcPr>
            <w:tcW w:w="1871" w:type="dxa"/>
          </w:tcPr>
          <w:p w14:paraId="5062B8E7" w14:textId="77777777" w:rsidR="00443095" w:rsidRDefault="00443095" w:rsidP="00BC7160">
            <w:pPr>
              <w:pStyle w:val="TableSideHeading"/>
              <w:keepLines w:val="0"/>
              <w:rPr>
                <w:rtl/>
              </w:rPr>
            </w:pPr>
            <w:r>
              <w:rPr>
                <w:rFonts w:hint="cs"/>
                <w:rtl/>
              </w:rPr>
              <w:t>הגדרות</w:t>
            </w:r>
          </w:p>
        </w:tc>
        <w:tc>
          <w:tcPr>
            <w:tcW w:w="624" w:type="dxa"/>
          </w:tcPr>
          <w:p w14:paraId="765C4650" w14:textId="77777777" w:rsidR="00443095" w:rsidRPr="00A00EDE" w:rsidRDefault="00443095" w:rsidP="000618C1">
            <w:pPr>
              <w:pStyle w:val="TableText"/>
              <w:ind w:right="0"/>
              <w:jc w:val="both"/>
              <w:rPr>
                <w:rtl/>
              </w:rPr>
            </w:pPr>
            <w:r w:rsidRPr="00A00EDE">
              <w:rPr>
                <w:rFonts w:hint="cs"/>
                <w:rtl/>
              </w:rPr>
              <w:t>1.</w:t>
            </w:r>
          </w:p>
        </w:tc>
        <w:tc>
          <w:tcPr>
            <w:tcW w:w="7143" w:type="dxa"/>
            <w:gridSpan w:val="2"/>
          </w:tcPr>
          <w:p w14:paraId="4D026771" w14:textId="09F75558" w:rsidR="00443095" w:rsidRDefault="00443095" w:rsidP="000618C1">
            <w:pPr>
              <w:pStyle w:val="TableBlock"/>
              <w:rPr>
                <w:rtl/>
              </w:rPr>
            </w:pPr>
            <w:r>
              <w:rPr>
                <w:rFonts w:hint="cs"/>
                <w:rtl/>
              </w:rPr>
              <w:t xml:space="preserve">בחוק זה </w:t>
            </w:r>
            <w:r w:rsidR="00FF013D">
              <w:rPr>
                <w:rtl/>
              </w:rPr>
              <w:t>–</w:t>
            </w:r>
          </w:p>
        </w:tc>
      </w:tr>
      <w:tr w:rsidR="00A00EDE" w14:paraId="2F3ABE9A" w14:textId="77777777" w:rsidTr="00D07DA0">
        <w:trPr>
          <w:cantSplit/>
        </w:trPr>
        <w:tc>
          <w:tcPr>
            <w:tcW w:w="1871" w:type="dxa"/>
          </w:tcPr>
          <w:p w14:paraId="79A0E0D6" w14:textId="77777777" w:rsidR="00443095" w:rsidRDefault="00443095" w:rsidP="00BC7160">
            <w:pPr>
              <w:pStyle w:val="TableSideHeading"/>
              <w:keepLines w:val="0"/>
              <w:rPr>
                <w:rtl/>
              </w:rPr>
            </w:pPr>
          </w:p>
        </w:tc>
        <w:tc>
          <w:tcPr>
            <w:tcW w:w="624" w:type="dxa"/>
          </w:tcPr>
          <w:p w14:paraId="2BDE7997" w14:textId="77777777" w:rsidR="00443095" w:rsidRPr="00A00EDE" w:rsidRDefault="00443095" w:rsidP="000618C1">
            <w:pPr>
              <w:pStyle w:val="TableText"/>
              <w:ind w:right="0"/>
              <w:jc w:val="both"/>
              <w:rPr>
                <w:rtl/>
              </w:rPr>
            </w:pPr>
          </w:p>
        </w:tc>
        <w:tc>
          <w:tcPr>
            <w:tcW w:w="7143" w:type="dxa"/>
            <w:gridSpan w:val="2"/>
          </w:tcPr>
          <w:p w14:paraId="10EB5579" w14:textId="33CF2A8B" w:rsidR="00443095" w:rsidRPr="00D07DA0" w:rsidRDefault="00443095" w:rsidP="00D07DA0">
            <w:pPr>
              <w:pStyle w:val="TableBlockOutdent"/>
              <w:rPr>
                <w:rtl/>
              </w:rPr>
            </w:pPr>
            <w:r w:rsidRPr="00D07DA0">
              <w:rPr>
                <w:rFonts w:hint="cs"/>
                <w:rtl/>
              </w:rPr>
              <w:t xml:space="preserve">"אזור" </w:t>
            </w:r>
            <w:r w:rsidRPr="00D07DA0">
              <w:rPr>
                <w:rtl/>
              </w:rPr>
              <w:t>–</w:t>
            </w:r>
            <w:r w:rsidRPr="00D07DA0">
              <w:rPr>
                <w:rFonts w:hint="cs"/>
                <w:rtl/>
              </w:rPr>
              <w:t xml:space="preserve"> כהגדרתו </w:t>
            </w:r>
            <w:r w:rsidRPr="00D07DA0">
              <w:rPr>
                <w:rtl/>
              </w:rPr>
              <w:t>בחוק לתיקון ולהארכת תקפן של תקנות שעת-חירום (יהודה והשומרון – שיפוט בעבירות ועזרה משפטית),</w:t>
            </w:r>
            <w:r w:rsidR="000618C1" w:rsidRPr="00D07DA0">
              <w:rPr>
                <w:rFonts w:hint="cs"/>
                <w:rtl/>
              </w:rPr>
              <w:t xml:space="preserve"> התשס"ז</w:t>
            </w:r>
            <w:r w:rsidR="000618C1" w:rsidRPr="00D07DA0">
              <w:rPr>
                <w:rtl/>
              </w:rPr>
              <w:t>–</w:t>
            </w:r>
            <w:r w:rsidR="000618C1" w:rsidRPr="00D07DA0">
              <w:rPr>
                <w:rFonts w:hint="cs"/>
                <w:rtl/>
              </w:rPr>
              <w:t>2007</w:t>
            </w:r>
            <w:r w:rsidR="000C6D6C" w:rsidRPr="00D07DA0">
              <w:rPr>
                <w:szCs w:val="20"/>
                <w:rtl/>
              </w:rPr>
              <w:footnoteReference w:id="2"/>
            </w:r>
            <w:r w:rsidR="000618C1" w:rsidRPr="00D07DA0">
              <w:rPr>
                <w:rFonts w:hint="cs"/>
                <w:rtl/>
              </w:rPr>
              <w:t>;</w:t>
            </w:r>
          </w:p>
        </w:tc>
      </w:tr>
      <w:tr w:rsidR="00A00EDE" w14:paraId="0E859B9E" w14:textId="77777777" w:rsidTr="00D07DA0">
        <w:trPr>
          <w:cantSplit/>
        </w:trPr>
        <w:tc>
          <w:tcPr>
            <w:tcW w:w="1871" w:type="dxa"/>
          </w:tcPr>
          <w:p w14:paraId="7BAEE3E5" w14:textId="77777777" w:rsidR="00443095" w:rsidRDefault="00443095" w:rsidP="00BC7160">
            <w:pPr>
              <w:pStyle w:val="TableSideHeading"/>
              <w:keepLines w:val="0"/>
              <w:rPr>
                <w:rtl/>
              </w:rPr>
            </w:pPr>
          </w:p>
        </w:tc>
        <w:tc>
          <w:tcPr>
            <w:tcW w:w="624" w:type="dxa"/>
          </w:tcPr>
          <w:p w14:paraId="7F69D31B" w14:textId="77777777" w:rsidR="00443095" w:rsidRPr="00A00EDE" w:rsidRDefault="00443095" w:rsidP="000618C1">
            <w:pPr>
              <w:pStyle w:val="TableText"/>
              <w:ind w:right="0"/>
              <w:jc w:val="both"/>
              <w:rPr>
                <w:rtl/>
              </w:rPr>
            </w:pPr>
          </w:p>
        </w:tc>
        <w:tc>
          <w:tcPr>
            <w:tcW w:w="7143" w:type="dxa"/>
            <w:gridSpan w:val="2"/>
          </w:tcPr>
          <w:p w14:paraId="19D4A9DF" w14:textId="6548BEAA" w:rsidR="00443095" w:rsidRPr="00D07DA0" w:rsidRDefault="00443095" w:rsidP="00D07DA0">
            <w:pPr>
              <w:pStyle w:val="TableBlockOutdent"/>
              <w:rPr>
                <w:rtl/>
              </w:rPr>
            </w:pPr>
            <w:r w:rsidRPr="00D07DA0">
              <w:rPr>
                <w:rFonts w:hint="cs"/>
                <w:rtl/>
              </w:rPr>
              <w:t xml:space="preserve">"המפקד הצבאי" </w:t>
            </w:r>
            <w:r w:rsidRPr="00D07DA0">
              <w:rPr>
                <w:rtl/>
              </w:rPr>
              <w:t>–</w:t>
            </w:r>
            <w:r w:rsidRPr="00D07DA0">
              <w:rPr>
                <w:rFonts w:hint="cs"/>
                <w:rtl/>
              </w:rPr>
              <w:t xml:space="preserve"> מי שנטל את כל הסמכויות השלטוניות </w:t>
            </w:r>
            <w:r w:rsidR="000C6D6C" w:rsidRPr="00D07DA0">
              <w:rPr>
                <w:rFonts w:hint="cs"/>
                <w:rtl/>
              </w:rPr>
              <w:t>לפי</w:t>
            </w:r>
            <w:r w:rsidRPr="00D07DA0">
              <w:rPr>
                <w:rFonts w:hint="cs"/>
                <w:rtl/>
              </w:rPr>
              <w:t xml:space="preserve"> סעיף 3 למנשר בדבר סדרי השלטון המשפט (יהודה והשומרון) (מס' 2)</w:t>
            </w:r>
            <w:r w:rsidR="000C6D6C" w:rsidRPr="00D07DA0">
              <w:rPr>
                <w:rFonts w:hint="cs"/>
                <w:rtl/>
              </w:rPr>
              <w:t>,</w:t>
            </w:r>
            <w:r w:rsidRPr="00D07DA0">
              <w:rPr>
                <w:rFonts w:hint="cs"/>
                <w:rtl/>
              </w:rPr>
              <w:t xml:space="preserve"> </w:t>
            </w:r>
            <w:r w:rsidR="000C6D6C" w:rsidRPr="00D07DA0">
              <w:rPr>
                <w:rFonts w:hint="cs"/>
                <w:rtl/>
              </w:rPr>
              <w:t>ה</w:t>
            </w:r>
            <w:r w:rsidRPr="00D07DA0">
              <w:rPr>
                <w:rFonts w:hint="cs"/>
                <w:rtl/>
              </w:rPr>
              <w:t>תשכ"ז</w:t>
            </w:r>
            <w:r w:rsidR="000C6D6C" w:rsidRPr="00D07DA0">
              <w:rPr>
                <w:rtl/>
              </w:rPr>
              <w:t>–</w:t>
            </w:r>
            <w:r w:rsidRPr="00D07DA0">
              <w:rPr>
                <w:rFonts w:hint="cs"/>
                <w:rtl/>
              </w:rPr>
              <w:t>1967</w:t>
            </w:r>
            <w:r w:rsidR="000C6D6C" w:rsidRPr="00D07DA0">
              <w:rPr>
                <w:szCs w:val="20"/>
                <w:rtl/>
              </w:rPr>
              <w:footnoteReference w:id="3"/>
            </w:r>
            <w:r w:rsidRPr="00D07DA0">
              <w:rPr>
                <w:rFonts w:hint="cs"/>
                <w:rtl/>
              </w:rPr>
              <w:t>;</w:t>
            </w:r>
            <w:r w:rsidRPr="00D07DA0">
              <w:rPr>
                <w:rtl/>
              </w:rPr>
              <w:t xml:space="preserve"> </w:t>
            </w:r>
            <w:r w:rsidRPr="00D07DA0">
              <w:rPr>
                <w:rFonts w:hint="cs"/>
                <w:rtl/>
              </w:rPr>
              <w:t xml:space="preserve"> </w:t>
            </w:r>
          </w:p>
        </w:tc>
      </w:tr>
      <w:tr w:rsidR="00A00EDE" w14:paraId="6FAAD790" w14:textId="77777777" w:rsidTr="00D07DA0">
        <w:trPr>
          <w:cantSplit/>
        </w:trPr>
        <w:tc>
          <w:tcPr>
            <w:tcW w:w="1871" w:type="dxa"/>
          </w:tcPr>
          <w:p w14:paraId="36AFBA71" w14:textId="77777777" w:rsidR="00443095" w:rsidRDefault="00443095" w:rsidP="00BC7160">
            <w:pPr>
              <w:pStyle w:val="TableSideHeading"/>
              <w:keepLines w:val="0"/>
              <w:rPr>
                <w:rtl/>
              </w:rPr>
            </w:pPr>
          </w:p>
        </w:tc>
        <w:tc>
          <w:tcPr>
            <w:tcW w:w="624" w:type="dxa"/>
          </w:tcPr>
          <w:p w14:paraId="0E9043D1" w14:textId="77777777" w:rsidR="00443095" w:rsidRPr="00A00EDE" w:rsidRDefault="00443095" w:rsidP="000618C1">
            <w:pPr>
              <w:pStyle w:val="TableText"/>
              <w:ind w:right="0"/>
              <w:jc w:val="both"/>
              <w:rPr>
                <w:rtl/>
              </w:rPr>
            </w:pPr>
          </w:p>
        </w:tc>
        <w:tc>
          <w:tcPr>
            <w:tcW w:w="7143" w:type="dxa"/>
            <w:gridSpan w:val="2"/>
          </w:tcPr>
          <w:p w14:paraId="4F865655" w14:textId="77777777" w:rsidR="00443095" w:rsidRPr="00D07DA0" w:rsidRDefault="00443095" w:rsidP="00D07DA0">
            <w:pPr>
              <w:pStyle w:val="TableBlockOutdent"/>
              <w:rPr>
                <w:rtl/>
              </w:rPr>
            </w:pPr>
            <w:r w:rsidRPr="00D07DA0">
              <w:rPr>
                <w:rFonts w:hint="cs"/>
                <w:rtl/>
              </w:rPr>
              <w:t xml:space="preserve">"מחוברים" </w:t>
            </w:r>
            <w:r w:rsidRPr="00D07DA0">
              <w:rPr>
                <w:rtl/>
              </w:rPr>
              <w:t>–</w:t>
            </w:r>
            <w:r w:rsidRPr="00D07DA0">
              <w:rPr>
                <w:rFonts w:hint="cs"/>
                <w:rtl/>
              </w:rPr>
              <w:t xml:space="preserve"> מבנים,</w:t>
            </w:r>
            <w:r w:rsidRPr="00D07DA0">
              <w:rPr>
                <w:rtl/>
              </w:rPr>
              <w:t xml:space="preserve"> </w:t>
            </w:r>
            <w:r w:rsidRPr="00D07DA0">
              <w:rPr>
                <w:rFonts w:hint="cs"/>
                <w:rtl/>
              </w:rPr>
              <w:t>נטיעות, דרכים או שטחים שבוצעו בהם עבודות תשתית או פיתוח לטובת הציבור;</w:t>
            </w:r>
          </w:p>
        </w:tc>
      </w:tr>
      <w:tr w:rsidR="00A00EDE" w14:paraId="3541F8F0" w14:textId="77777777" w:rsidTr="00D07DA0">
        <w:trPr>
          <w:cantSplit/>
        </w:trPr>
        <w:tc>
          <w:tcPr>
            <w:tcW w:w="1871" w:type="dxa"/>
          </w:tcPr>
          <w:p w14:paraId="081CA39B" w14:textId="77777777" w:rsidR="00443095" w:rsidRDefault="00443095" w:rsidP="00BC7160">
            <w:pPr>
              <w:pStyle w:val="TableSideHeading"/>
              <w:keepLines w:val="0"/>
              <w:rPr>
                <w:rtl/>
              </w:rPr>
            </w:pPr>
          </w:p>
        </w:tc>
        <w:tc>
          <w:tcPr>
            <w:tcW w:w="624" w:type="dxa"/>
          </w:tcPr>
          <w:p w14:paraId="4DBD2130" w14:textId="77777777" w:rsidR="00443095" w:rsidRPr="00A00EDE" w:rsidRDefault="00443095" w:rsidP="000618C1">
            <w:pPr>
              <w:pStyle w:val="TableText"/>
              <w:ind w:right="0"/>
              <w:jc w:val="both"/>
              <w:rPr>
                <w:rtl/>
              </w:rPr>
            </w:pPr>
          </w:p>
        </w:tc>
        <w:tc>
          <w:tcPr>
            <w:tcW w:w="7143" w:type="dxa"/>
            <w:gridSpan w:val="2"/>
          </w:tcPr>
          <w:p w14:paraId="6BAF0AE6" w14:textId="77777777" w:rsidR="00443095" w:rsidRPr="00D07DA0" w:rsidRDefault="00443095" w:rsidP="00D07DA0">
            <w:pPr>
              <w:pStyle w:val="TableBlockOutdent"/>
              <w:rPr>
                <w:rtl/>
              </w:rPr>
            </w:pPr>
            <w:r w:rsidRPr="00D07DA0">
              <w:rPr>
                <w:rFonts w:hint="cs"/>
                <w:rtl/>
              </w:rPr>
              <w:t xml:space="preserve">"מקים" </w:t>
            </w:r>
            <w:r w:rsidRPr="00D07DA0">
              <w:rPr>
                <w:rtl/>
              </w:rPr>
              <w:t>–</w:t>
            </w:r>
            <w:r w:rsidRPr="00D07DA0">
              <w:rPr>
                <w:rFonts w:hint="cs"/>
                <w:rtl/>
              </w:rPr>
              <w:t xml:space="preserve"> אדם, חבר בני אדם, תאגיד שמטרתו התיישבות או החטיבה להתיישבות של ההסתדרות הציונית.</w:t>
            </w:r>
          </w:p>
        </w:tc>
      </w:tr>
      <w:tr w:rsidR="00D07DA0" w14:paraId="40E4AB72" w14:textId="77777777" w:rsidTr="00D07DA0">
        <w:trPr>
          <w:cantSplit/>
        </w:trPr>
        <w:tc>
          <w:tcPr>
            <w:tcW w:w="1871" w:type="dxa"/>
          </w:tcPr>
          <w:p w14:paraId="3EF7F1DE" w14:textId="77777777" w:rsidR="00D07DA0" w:rsidRDefault="00D07DA0" w:rsidP="00BC7160">
            <w:pPr>
              <w:pStyle w:val="TableSideHeading"/>
              <w:keepLines w:val="0"/>
              <w:rPr>
                <w:rtl/>
              </w:rPr>
            </w:pPr>
            <w:r>
              <w:rPr>
                <w:rFonts w:hint="cs"/>
                <w:rtl/>
              </w:rPr>
              <w:t>בנייה ונטיעה במקרקעי הזולת</w:t>
            </w:r>
          </w:p>
        </w:tc>
        <w:tc>
          <w:tcPr>
            <w:tcW w:w="624" w:type="dxa"/>
          </w:tcPr>
          <w:p w14:paraId="21327D78" w14:textId="5C2B51E1" w:rsidR="00D07DA0" w:rsidRPr="00A00EDE" w:rsidRDefault="00D07DA0" w:rsidP="000618C1">
            <w:pPr>
              <w:pStyle w:val="TableText"/>
              <w:rPr>
                <w:rtl/>
              </w:rPr>
            </w:pPr>
            <w:r w:rsidRPr="00A00EDE">
              <w:rPr>
                <w:rFonts w:hint="cs"/>
                <w:rtl/>
              </w:rPr>
              <w:t>2.</w:t>
            </w:r>
            <w:r w:rsidRPr="00A00EDE" w:rsidDel="00A00EDE">
              <w:rPr>
                <w:rtl/>
              </w:rPr>
              <w:t xml:space="preserve"> </w:t>
            </w:r>
            <w:r w:rsidRPr="00A00EDE">
              <w:rPr>
                <w:rtl/>
              </w:rPr>
              <w:t xml:space="preserve">  </w:t>
            </w:r>
          </w:p>
        </w:tc>
        <w:tc>
          <w:tcPr>
            <w:tcW w:w="7143" w:type="dxa"/>
            <w:gridSpan w:val="2"/>
          </w:tcPr>
          <w:p w14:paraId="21FEA3F5" w14:textId="13FD3FE1" w:rsidR="00D07DA0" w:rsidRPr="00260D3B" w:rsidRDefault="00D07DA0" w:rsidP="00D07DA0">
            <w:pPr>
              <w:pStyle w:val="TableText"/>
              <w:ind w:right="0"/>
              <w:jc w:val="both"/>
              <w:rPr>
                <w:rtl/>
              </w:rPr>
            </w:pPr>
            <w:r w:rsidRPr="00A00EDE">
              <w:rPr>
                <w:rFonts w:hint="cs"/>
                <w:rtl/>
              </w:rPr>
              <w:t>(א)</w:t>
            </w:r>
            <w:r>
              <w:rPr>
                <w:rtl/>
              </w:rPr>
              <w:tab/>
            </w:r>
            <w:r>
              <w:rPr>
                <w:rFonts w:hint="cs"/>
                <w:rtl/>
              </w:rPr>
              <w:t>הוקמו</w:t>
            </w:r>
            <w:r w:rsidRPr="00B52A72">
              <w:rPr>
                <w:rtl/>
              </w:rPr>
              <w:t xml:space="preserve"> </w:t>
            </w:r>
            <w:r>
              <w:rPr>
                <w:rFonts w:hint="cs"/>
                <w:rtl/>
              </w:rPr>
              <w:t xml:space="preserve">מחוברים </w:t>
            </w:r>
            <w:r w:rsidRPr="00B52A72">
              <w:rPr>
                <w:rFonts w:hint="cs"/>
                <w:rtl/>
              </w:rPr>
              <w:t>במקרקעין</w:t>
            </w:r>
            <w:r>
              <w:rPr>
                <w:rFonts w:hint="cs"/>
                <w:rtl/>
              </w:rPr>
              <w:t xml:space="preserve"> באזור, ולאחר מכן התברר כי המקים</w:t>
            </w:r>
            <w:r w:rsidRPr="00B52A72">
              <w:rPr>
                <w:rtl/>
              </w:rPr>
              <w:t xml:space="preserve"> </w:t>
            </w:r>
            <w:r>
              <w:rPr>
                <w:rFonts w:hint="cs"/>
                <w:rtl/>
              </w:rPr>
              <w:t xml:space="preserve">לא </w:t>
            </w:r>
            <w:r w:rsidRPr="00B52A72">
              <w:rPr>
                <w:rFonts w:hint="cs"/>
                <w:rtl/>
              </w:rPr>
              <w:t>היה</w:t>
            </w:r>
            <w:r w:rsidRPr="00B52A72">
              <w:rPr>
                <w:rtl/>
              </w:rPr>
              <w:t xml:space="preserve"> </w:t>
            </w:r>
            <w:r w:rsidRPr="00B52A72">
              <w:rPr>
                <w:rFonts w:hint="cs"/>
                <w:rtl/>
              </w:rPr>
              <w:t>זכאי</w:t>
            </w:r>
            <w:r w:rsidRPr="00B52A72">
              <w:rPr>
                <w:rtl/>
              </w:rPr>
              <w:t xml:space="preserve"> </w:t>
            </w:r>
            <w:r w:rsidRPr="00B52A72">
              <w:rPr>
                <w:rFonts w:hint="cs"/>
                <w:rtl/>
              </w:rPr>
              <w:t>ל</w:t>
            </w:r>
            <w:r>
              <w:rPr>
                <w:rFonts w:hint="cs"/>
                <w:rtl/>
              </w:rPr>
              <w:t>הקימם</w:t>
            </w:r>
            <w:r w:rsidRPr="00B52A72">
              <w:rPr>
                <w:rtl/>
              </w:rPr>
              <w:t xml:space="preserve"> </w:t>
            </w:r>
            <w:r w:rsidRPr="00B52A72">
              <w:rPr>
                <w:rFonts w:hint="cs"/>
                <w:rtl/>
              </w:rPr>
              <w:t>על</w:t>
            </w:r>
            <w:r w:rsidRPr="00B52A72">
              <w:rPr>
                <w:rtl/>
              </w:rPr>
              <w:t xml:space="preserve"> </w:t>
            </w:r>
            <w:r w:rsidRPr="00B52A72">
              <w:rPr>
                <w:rFonts w:hint="cs"/>
                <w:rtl/>
              </w:rPr>
              <w:t>פי</w:t>
            </w:r>
            <w:r w:rsidRPr="00B52A72">
              <w:rPr>
                <w:rtl/>
              </w:rPr>
              <w:t xml:space="preserve"> </w:t>
            </w:r>
            <w:r>
              <w:rPr>
                <w:rFonts w:hint="cs"/>
                <w:rtl/>
              </w:rPr>
              <w:t xml:space="preserve">כל </w:t>
            </w:r>
            <w:r w:rsidRPr="00B52A72">
              <w:rPr>
                <w:rFonts w:hint="cs"/>
                <w:rtl/>
              </w:rPr>
              <w:t>דין</w:t>
            </w:r>
            <w:r>
              <w:rPr>
                <w:rFonts w:hint="cs"/>
                <w:rtl/>
              </w:rPr>
              <w:t>,</w:t>
            </w:r>
            <w:r>
              <w:rPr>
                <w:rFonts w:cs="Times New Roman" w:hint="cs"/>
                <w:rtl/>
              </w:rPr>
              <w:t xml:space="preserve"> </w:t>
            </w:r>
            <w:r w:rsidRPr="00C13F20">
              <w:rPr>
                <w:rFonts w:hint="cs"/>
                <w:rtl/>
              </w:rPr>
              <w:t>זכאי</w:t>
            </w:r>
            <w:r w:rsidRPr="00C13F20">
              <w:rPr>
                <w:rtl/>
              </w:rPr>
              <w:t xml:space="preserve"> </w:t>
            </w:r>
            <w:r w:rsidRPr="00C13F20">
              <w:rPr>
                <w:rFonts w:hint="cs"/>
                <w:rtl/>
              </w:rPr>
              <w:t>המקים</w:t>
            </w:r>
            <w:r w:rsidRPr="00C13F20">
              <w:rPr>
                <w:rtl/>
              </w:rPr>
              <w:t xml:space="preserve"> </w:t>
            </w:r>
            <w:r w:rsidRPr="00C13F20">
              <w:rPr>
                <w:rFonts w:hint="cs"/>
                <w:rtl/>
              </w:rPr>
              <w:t>לרכוש</w:t>
            </w:r>
            <w:r w:rsidRPr="00C13F20">
              <w:rPr>
                <w:rtl/>
              </w:rPr>
              <w:t xml:space="preserve"> </w:t>
            </w:r>
            <w:r w:rsidRPr="00C13F20">
              <w:rPr>
                <w:rFonts w:hint="cs"/>
                <w:rtl/>
              </w:rPr>
              <w:t>את</w:t>
            </w:r>
            <w:r w:rsidRPr="00C13F20">
              <w:rPr>
                <w:rtl/>
              </w:rPr>
              <w:t xml:space="preserve"> </w:t>
            </w:r>
            <w:r w:rsidRPr="00C13F20">
              <w:rPr>
                <w:rFonts w:hint="cs"/>
                <w:rtl/>
              </w:rPr>
              <w:t>המקרקעין</w:t>
            </w:r>
            <w:r w:rsidRPr="00C13F20">
              <w:rPr>
                <w:rtl/>
              </w:rPr>
              <w:t xml:space="preserve"> </w:t>
            </w:r>
            <w:r w:rsidRPr="00C13F20">
              <w:rPr>
                <w:rFonts w:hint="cs"/>
                <w:rtl/>
              </w:rPr>
              <w:t>במחיר</w:t>
            </w:r>
            <w:r w:rsidRPr="00C13F20">
              <w:rPr>
                <w:rtl/>
              </w:rPr>
              <w:t xml:space="preserve"> </w:t>
            </w:r>
            <w:r w:rsidRPr="00C13F20">
              <w:rPr>
                <w:rFonts w:hint="cs"/>
                <w:rtl/>
              </w:rPr>
              <w:t>שווים</w:t>
            </w:r>
            <w:r w:rsidRPr="00C13F20">
              <w:rPr>
                <w:rtl/>
              </w:rPr>
              <w:t xml:space="preserve"> </w:t>
            </w:r>
            <w:r w:rsidRPr="00C13F20">
              <w:rPr>
                <w:rFonts w:hint="cs"/>
                <w:rtl/>
              </w:rPr>
              <w:t>בל</w:t>
            </w:r>
            <w:r>
              <w:rPr>
                <w:rFonts w:hint="cs"/>
                <w:rtl/>
              </w:rPr>
              <w:t>א</w:t>
            </w:r>
            <w:r w:rsidRPr="00C13F20">
              <w:rPr>
                <w:rtl/>
              </w:rPr>
              <w:t xml:space="preserve"> </w:t>
            </w:r>
            <w:r w:rsidRPr="00C13F20">
              <w:rPr>
                <w:rFonts w:hint="cs"/>
                <w:rtl/>
              </w:rPr>
              <w:t>המחוברים</w:t>
            </w:r>
            <w:r>
              <w:rPr>
                <w:rFonts w:hint="cs"/>
                <w:rtl/>
              </w:rPr>
              <w:t>,</w:t>
            </w:r>
            <w:r w:rsidRPr="00C13F20">
              <w:rPr>
                <w:rtl/>
              </w:rPr>
              <w:t xml:space="preserve"> </w:t>
            </w:r>
            <w:r w:rsidRPr="00C13F20">
              <w:rPr>
                <w:rFonts w:hint="cs"/>
                <w:rtl/>
              </w:rPr>
              <w:t>בשעת</w:t>
            </w:r>
            <w:r w:rsidRPr="00C13F20">
              <w:rPr>
                <w:rtl/>
              </w:rPr>
              <w:t xml:space="preserve"> </w:t>
            </w:r>
            <w:r w:rsidRPr="00C13F20">
              <w:rPr>
                <w:rFonts w:hint="cs"/>
                <w:rtl/>
              </w:rPr>
              <w:t>תשלום</w:t>
            </w:r>
            <w:r w:rsidRPr="00C13F20">
              <w:rPr>
                <w:rtl/>
              </w:rPr>
              <w:t xml:space="preserve"> </w:t>
            </w:r>
            <w:r w:rsidRPr="00C13F20">
              <w:rPr>
                <w:rFonts w:hint="cs"/>
                <w:rtl/>
              </w:rPr>
              <w:t>המחיר</w:t>
            </w:r>
            <w:r w:rsidRPr="00C13F20">
              <w:rPr>
                <w:rtl/>
              </w:rPr>
              <w:t xml:space="preserve">, </w:t>
            </w:r>
            <w:r w:rsidRPr="00C13F20">
              <w:rPr>
                <w:rFonts w:hint="cs"/>
                <w:rtl/>
              </w:rPr>
              <w:t>אם</w:t>
            </w:r>
            <w:r w:rsidRPr="00C13F20">
              <w:rPr>
                <w:rtl/>
              </w:rPr>
              <w:t xml:space="preserve"> </w:t>
            </w:r>
            <w:r w:rsidRPr="00C13F20">
              <w:rPr>
                <w:rFonts w:hint="cs"/>
                <w:rtl/>
              </w:rPr>
              <w:t>נתמלאו</w:t>
            </w:r>
            <w:r w:rsidRPr="00C13F20">
              <w:rPr>
                <w:rtl/>
              </w:rPr>
              <w:t xml:space="preserve"> </w:t>
            </w:r>
            <w:r>
              <w:rPr>
                <w:rFonts w:hint="cs"/>
                <w:rtl/>
              </w:rPr>
              <w:t>תנאים</w:t>
            </w:r>
            <w:r w:rsidRPr="00C13F20">
              <w:rPr>
                <w:rtl/>
              </w:rPr>
              <w:t xml:space="preserve"> </w:t>
            </w:r>
            <w:r w:rsidRPr="00C13F20">
              <w:rPr>
                <w:rFonts w:hint="cs"/>
                <w:rtl/>
              </w:rPr>
              <w:t>אלה</w:t>
            </w:r>
            <w:r w:rsidRPr="00C13F20">
              <w:rPr>
                <w:rtl/>
              </w:rPr>
              <w:t>:</w:t>
            </w:r>
          </w:p>
        </w:tc>
      </w:tr>
      <w:tr w:rsidR="00D07DA0" w14:paraId="200991E1" w14:textId="77777777" w:rsidTr="004D5E6D">
        <w:trPr>
          <w:cantSplit/>
        </w:trPr>
        <w:tc>
          <w:tcPr>
            <w:tcW w:w="1871" w:type="dxa"/>
          </w:tcPr>
          <w:p w14:paraId="1F920C28" w14:textId="77777777" w:rsidR="00D07DA0" w:rsidRDefault="00D07DA0" w:rsidP="00BC7160">
            <w:pPr>
              <w:pStyle w:val="TableSideHeading"/>
              <w:keepLines w:val="0"/>
              <w:rPr>
                <w:rtl/>
              </w:rPr>
            </w:pPr>
          </w:p>
        </w:tc>
        <w:tc>
          <w:tcPr>
            <w:tcW w:w="624" w:type="dxa"/>
          </w:tcPr>
          <w:p w14:paraId="40E928E8" w14:textId="77777777" w:rsidR="00D07DA0" w:rsidRPr="00A00EDE" w:rsidRDefault="00D07DA0" w:rsidP="000618C1">
            <w:pPr>
              <w:pStyle w:val="TableText"/>
              <w:ind w:right="0"/>
              <w:jc w:val="both"/>
              <w:rPr>
                <w:rtl/>
              </w:rPr>
            </w:pPr>
          </w:p>
        </w:tc>
        <w:tc>
          <w:tcPr>
            <w:tcW w:w="624" w:type="dxa"/>
          </w:tcPr>
          <w:p w14:paraId="4BD325F8" w14:textId="77777777" w:rsidR="00D07DA0" w:rsidRPr="00A00EDE" w:rsidRDefault="00D07DA0" w:rsidP="000618C1">
            <w:pPr>
              <w:pStyle w:val="TableText"/>
              <w:ind w:right="0"/>
              <w:jc w:val="both"/>
              <w:rPr>
                <w:rtl/>
              </w:rPr>
            </w:pPr>
          </w:p>
        </w:tc>
        <w:tc>
          <w:tcPr>
            <w:tcW w:w="6519" w:type="dxa"/>
          </w:tcPr>
          <w:p w14:paraId="71568A6E" w14:textId="279C2BB2" w:rsidR="00D07DA0" w:rsidRPr="004A1B6A" w:rsidRDefault="004A1B6A" w:rsidP="004A1B6A">
            <w:pPr>
              <w:pStyle w:val="TableBlock"/>
              <w:rPr>
                <w:rtl/>
              </w:rPr>
            </w:pPr>
            <w:r w:rsidRPr="004A1B6A">
              <w:rPr>
                <w:rFonts w:hint="cs"/>
                <w:rtl/>
              </w:rPr>
              <w:t>(1)</w:t>
            </w:r>
            <w:r w:rsidRPr="004A1B6A">
              <w:rPr>
                <w:rtl/>
              </w:rPr>
              <w:tab/>
            </w:r>
            <w:r w:rsidR="00D07DA0" w:rsidRPr="004A1B6A">
              <w:rPr>
                <w:rFonts w:hint="cs"/>
                <w:rtl/>
              </w:rPr>
              <w:t>המקים</w:t>
            </w:r>
            <w:r w:rsidR="00D07DA0" w:rsidRPr="004A1B6A">
              <w:rPr>
                <w:rtl/>
              </w:rPr>
              <w:t xml:space="preserve"> </w:t>
            </w:r>
            <w:r w:rsidR="00D07DA0" w:rsidRPr="004A1B6A">
              <w:rPr>
                <w:rFonts w:hint="cs"/>
                <w:rtl/>
              </w:rPr>
              <w:t>סבר</w:t>
            </w:r>
            <w:r w:rsidR="00D07DA0" w:rsidRPr="004A1B6A">
              <w:rPr>
                <w:rtl/>
              </w:rPr>
              <w:t xml:space="preserve"> </w:t>
            </w:r>
            <w:r w:rsidR="00D07DA0" w:rsidRPr="004A1B6A">
              <w:rPr>
                <w:rFonts w:hint="cs"/>
                <w:rtl/>
              </w:rPr>
              <w:t>בתום</w:t>
            </w:r>
            <w:r w:rsidR="00D07DA0" w:rsidRPr="004A1B6A">
              <w:rPr>
                <w:rtl/>
              </w:rPr>
              <w:t xml:space="preserve"> </w:t>
            </w:r>
            <w:r w:rsidR="00D07DA0" w:rsidRPr="004A1B6A">
              <w:rPr>
                <w:rFonts w:hint="cs"/>
                <w:rtl/>
              </w:rPr>
              <w:t>לב</w:t>
            </w:r>
            <w:r w:rsidR="00D07DA0" w:rsidRPr="004A1B6A">
              <w:rPr>
                <w:rtl/>
              </w:rPr>
              <w:t xml:space="preserve"> </w:t>
            </w:r>
            <w:r w:rsidR="00D07DA0" w:rsidRPr="004A1B6A">
              <w:rPr>
                <w:rFonts w:hint="cs"/>
                <w:rtl/>
              </w:rPr>
              <w:t>בשעת</w:t>
            </w:r>
            <w:r w:rsidR="00D07DA0" w:rsidRPr="004A1B6A">
              <w:rPr>
                <w:rtl/>
              </w:rPr>
              <w:t xml:space="preserve"> </w:t>
            </w:r>
            <w:r w:rsidR="00D07DA0" w:rsidRPr="004A1B6A">
              <w:rPr>
                <w:rFonts w:hint="cs"/>
                <w:rtl/>
              </w:rPr>
              <w:t>הקמת</w:t>
            </w:r>
            <w:r w:rsidR="00D07DA0" w:rsidRPr="004A1B6A">
              <w:rPr>
                <w:rtl/>
              </w:rPr>
              <w:t xml:space="preserve"> </w:t>
            </w:r>
            <w:r w:rsidR="00D07DA0" w:rsidRPr="004A1B6A">
              <w:rPr>
                <w:rFonts w:hint="cs"/>
                <w:rtl/>
              </w:rPr>
              <w:t>המחוברים</w:t>
            </w:r>
            <w:r w:rsidR="00D07DA0" w:rsidRPr="004A1B6A">
              <w:rPr>
                <w:rtl/>
              </w:rPr>
              <w:t xml:space="preserve"> </w:t>
            </w:r>
            <w:r w:rsidR="00D07DA0" w:rsidRPr="004A1B6A">
              <w:rPr>
                <w:rFonts w:hint="cs"/>
                <w:rtl/>
              </w:rPr>
              <w:t>כי</w:t>
            </w:r>
            <w:r w:rsidR="00D07DA0" w:rsidRPr="004A1B6A">
              <w:rPr>
                <w:rtl/>
              </w:rPr>
              <w:t xml:space="preserve"> </w:t>
            </w:r>
            <w:r w:rsidR="00D07DA0" w:rsidRPr="004A1B6A">
              <w:rPr>
                <w:rFonts w:hint="cs"/>
                <w:rtl/>
              </w:rPr>
              <w:t>בידיו הזכות לפי כל דין להקמת המחוברים, או שניתנה הסכמת הממשלה להקמת המחוברים;</w:t>
            </w:r>
          </w:p>
        </w:tc>
      </w:tr>
      <w:tr w:rsidR="00D07DA0" w14:paraId="3032C3ED" w14:textId="77777777" w:rsidTr="007F1D84">
        <w:trPr>
          <w:cantSplit/>
        </w:trPr>
        <w:tc>
          <w:tcPr>
            <w:tcW w:w="1871" w:type="dxa"/>
          </w:tcPr>
          <w:p w14:paraId="2A2E1837" w14:textId="77777777" w:rsidR="00D07DA0" w:rsidRDefault="00D07DA0" w:rsidP="00BC7160">
            <w:pPr>
              <w:pStyle w:val="TableSideHeading"/>
              <w:keepLines w:val="0"/>
              <w:rPr>
                <w:rtl/>
              </w:rPr>
            </w:pPr>
          </w:p>
        </w:tc>
        <w:tc>
          <w:tcPr>
            <w:tcW w:w="624" w:type="dxa"/>
          </w:tcPr>
          <w:p w14:paraId="4563C7A7" w14:textId="77777777" w:rsidR="00D07DA0" w:rsidRPr="00A00EDE" w:rsidRDefault="00D07DA0" w:rsidP="000618C1">
            <w:pPr>
              <w:pStyle w:val="TableText"/>
              <w:ind w:right="0"/>
              <w:jc w:val="both"/>
              <w:rPr>
                <w:rtl/>
              </w:rPr>
            </w:pPr>
          </w:p>
        </w:tc>
        <w:tc>
          <w:tcPr>
            <w:tcW w:w="624" w:type="dxa"/>
          </w:tcPr>
          <w:p w14:paraId="1FEF2B0F" w14:textId="77777777" w:rsidR="00D07DA0" w:rsidRPr="00A00EDE" w:rsidRDefault="00D07DA0" w:rsidP="000618C1">
            <w:pPr>
              <w:pStyle w:val="TableText"/>
              <w:ind w:right="0"/>
              <w:jc w:val="both"/>
              <w:rPr>
                <w:rtl/>
              </w:rPr>
            </w:pPr>
          </w:p>
        </w:tc>
        <w:tc>
          <w:tcPr>
            <w:tcW w:w="6519" w:type="dxa"/>
          </w:tcPr>
          <w:p w14:paraId="66143499" w14:textId="23A9B8CA" w:rsidR="00D07DA0" w:rsidRPr="00260D3B" w:rsidRDefault="00D07DA0" w:rsidP="00D07DA0">
            <w:pPr>
              <w:pStyle w:val="TableText"/>
              <w:keepLines w:val="0"/>
              <w:rPr>
                <w:rtl/>
              </w:rPr>
            </w:pPr>
            <w:r>
              <w:rPr>
                <w:rFonts w:hint="cs"/>
                <w:rtl/>
              </w:rPr>
              <w:t>(2)</w:t>
            </w:r>
            <w:r>
              <w:rPr>
                <w:rtl/>
              </w:rPr>
              <w:tab/>
            </w:r>
            <w:r w:rsidRPr="00C13F20">
              <w:rPr>
                <w:rFonts w:hint="cs"/>
                <w:rtl/>
              </w:rPr>
              <w:t>הסכום</w:t>
            </w:r>
            <w:r w:rsidRPr="00C13F20">
              <w:rPr>
                <w:rtl/>
              </w:rPr>
              <w:t xml:space="preserve"> </w:t>
            </w:r>
            <w:r w:rsidRPr="00C13F20">
              <w:rPr>
                <w:rFonts w:hint="cs"/>
                <w:rtl/>
              </w:rPr>
              <w:t>שהשקיע</w:t>
            </w:r>
            <w:r w:rsidRPr="00C13F20">
              <w:rPr>
                <w:rtl/>
              </w:rPr>
              <w:t xml:space="preserve"> </w:t>
            </w:r>
            <w:r w:rsidRPr="00C13F20">
              <w:rPr>
                <w:rFonts w:hint="cs"/>
                <w:rtl/>
              </w:rPr>
              <w:t>המקים</w:t>
            </w:r>
            <w:r w:rsidRPr="00C13F20">
              <w:rPr>
                <w:rtl/>
              </w:rPr>
              <w:t xml:space="preserve"> </w:t>
            </w:r>
            <w:r w:rsidRPr="00C13F20">
              <w:rPr>
                <w:rFonts w:hint="cs"/>
                <w:rtl/>
              </w:rPr>
              <w:t>במחוברים</w:t>
            </w:r>
            <w:r w:rsidRPr="00C13F20">
              <w:rPr>
                <w:rtl/>
              </w:rPr>
              <w:t xml:space="preserve"> </w:t>
            </w:r>
            <w:r w:rsidRPr="00C13F20">
              <w:rPr>
                <w:rFonts w:hint="cs"/>
                <w:rtl/>
              </w:rPr>
              <w:t>עלה</w:t>
            </w:r>
            <w:r w:rsidRPr="00C13F20">
              <w:rPr>
                <w:rtl/>
              </w:rPr>
              <w:t xml:space="preserve">, </w:t>
            </w:r>
            <w:r w:rsidRPr="00C13F20">
              <w:rPr>
                <w:rFonts w:hint="cs"/>
                <w:rtl/>
              </w:rPr>
              <w:t>בשעת</w:t>
            </w:r>
            <w:r w:rsidRPr="00C13F20">
              <w:rPr>
                <w:rtl/>
              </w:rPr>
              <w:t xml:space="preserve"> </w:t>
            </w:r>
            <w:r w:rsidRPr="00C13F20">
              <w:rPr>
                <w:rFonts w:hint="cs"/>
                <w:rtl/>
              </w:rPr>
              <w:t>הקמתם</w:t>
            </w:r>
            <w:r w:rsidRPr="00C13F20">
              <w:rPr>
                <w:rtl/>
              </w:rPr>
              <w:t xml:space="preserve">, </w:t>
            </w:r>
            <w:r w:rsidRPr="00C13F20">
              <w:rPr>
                <w:rFonts w:hint="cs"/>
                <w:rtl/>
              </w:rPr>
              <w:t>על</w:t>
            </w:r>
            <w:r w:rsidRPr="00C13F20">
              <w:rPr>
                <w:rtl/>
              </w:rPr>
              <w:t xml:space="preserve"> </w:t>
            </w:r>
            <w:r w:rsidRPr="00C13F20">
              <w:rPr>
                <w:rFonts w:hint="cs"/>
                <w:rtl/>
              </w:rPr>
              <w:t>שווים</w:t>
            </w:r>
            <w:r w:rsidRPr="00C13F20">
              <w:rPr>
                <w:rtl/>
              </w:rPr>
              <w:t xml:space="preserve"> </w:t>
            </w:r>
            <w:r w:rsidRPr="00C13F20">
              <w:rPr>
                <w:rFonts w:hint="cs"/>
                <w:rtl/>
              </w:rPr>
              <w:t>של</w:t>
            </w:r>
            <w:r w:rsidRPr="00C13F20">
              <w:rPr>
                <w:rtl/>
              </w:rPr>
              <w:t xml:space="preserve"> </w:t>
            </w:r>
            <w:r w:rsidRPr="00C13F20">
              <w:rPr>
                <w:rFonts w:hint="cs"/>
                <w:rtl/>
              </w:rPr>
              <w:t>המקרקעין</w:t>
            </w:r>
            <w:r w:rsidRPr="00C13F20">
              <w:rPr>
                <w:rtl/>
              </w:rPr>
              <w:t xml:space="preserve"> </w:t>
            </w:r>
            <w:r w:rsidRPr="00C13F20">
              <w:rPr>
                <w:rFonts w:hint="cs"/>
                <w:rtl/>
              </w:rPr>
              <w:t>בלי</w:t>
            </w:r>
            <w:r w:rsidRPr="00C13F20">
              <w:rPr>
                <w:rtl/>
              </w:rPr>
              <w:t xml:space="preserve"> </w:t>
            </w:r>
            <w:r w:rsidRPr="00C13F20">
              <w:rPr>
                <w:rFonts w:hint="cs"/>
                <w:rtl/>
              </w:rPr>
              <w:t>המחוברים</w:t>
            </w:r>
            <w:r w:rsidRPr="00C13F20">
              <w:rPr>
                <w:rtl/>
              </w:rPr>
              <w:t xml:space="preserve"> </w:t>
            </w:r>
            <w:r w:rsidRPr="00C13F20">
              <w:rPr>
                <w:rFonts w:hint="cs"/>
                <w:rtl/>
              </w:rPr>
              <w:t>באותה</w:t>
            </w:r>
            <w:r w:rsidRPr="00C13F20">
              <w:rPr>
                <w:rtl/>
              </w:rPr>
              <w:t xml:space="preserve"> </w:t>
            </w:r>
            <w:r w:rsidRPr="00C13F20">
              <w:rPr>
                <w:rFonts w:hint="cs"/>
                <w:rtl/>
              </w:rPr>
              <w:t>שעה</w:t>
            </w:r>
            <w:r w:rsidRPr="00C13F20">
              <w:rPr>
                <w:rtl/>
              </w:rPr>
              <w:t>;</w:t>
            </w:r>
          </w:p>
        </w:tc>
      </w:tr>
      <w:tr w:rsidR="00D07DA0" w14:paraId="50F4420F" w14:textId="77777777" w:rsidTr="008251B4">
        <w:trPr>
          <w:cantSplit/>
        </w:trPr>
        <w:tc>
          <w:tcPr>
            <w:tcW w:w="1871" w:type="dxa"/>
          </w:tcPr>
          <w:p w14:paraId="2693159E" w14:textId="77777777" w:rsidR="00D07DA0" w:rsidRDefault="00D07DA0" w:rsidP="00BC7160">
            <w:pPr>
              <w:pStyle w:val="TableSideHeading"/>
              <w:keepLines w:val="0"/>
              <w:rPr>
                <w:rtl/>
              </w:rPr>
            </w:pPr>
          </w:p>
        </w:tc>
        <w:tc>
          <w:tcPr>
            <w:tcW w:w="624" w:type="dxa"/>
          </w:tcPr>
          <w:p w14:paraId="73B122EA" w14:textId="77777777" w:rsidR="00D07DA0" w:rsidRPr="00A00EDE" w:rsidRDefault="00D07DA0" w:rsidP="000618C1">
            <w:pPr>
              <w:pStyle w:val="TableText"/>
              <w:ind w:right="0"/>
              <w:jc w:val="both"/>
              <w:rPr>
                <w:rtl/>
              </w:rPr>
            </w:pPr>
          </w:p>
        </w:tc>
        <w:tc>
          <w:tcPr>
            <w:tcW w:w="624" w:type="dxa"/>
          </w:tcPr>
          <w:p w14:paraId="6D956703" w14:textId="77777777" w:rsidR="00D07DA0" w:rsidRPr="00A00EDE" w:rsidRDefault="00D07DA0" w:rsidP="000618C1">
            <w:pPr>
              <w:pStyle w:val="TableText"/>
              <w:ind w:right="0"/>
              <w:jc w:val="both"/>
              <w:rPr>
                <w:rtl/>
              </w:rPr>
            </w:pPr>
          </w:p>
        </w:tc>
        <w:tc>
          <w:tcPr>
            <w:tcW w:w="6519" w:type="dxa"/>
          </w:tcPr>
          <w:p w14:paraId="1C324E58" w14:textId="3B4C3D15" w:rsidR="00D07DA0" w:rsidRPr="00C13F20" w:rsidRDefault="00D07DA0" w:rsidP="00D07DA0">
            <w:pPr>
              <w:pStyle w:val="TableText"/>
              <w:keepLines w:val="0"/>
              <w:rPr>
                <w:rtl/>
              </w:rPr>
            </w:pPr>
            <w:r>
              <w:rPr>
                <w:rFonts w:hint="cs"/>
                <w:rtl/>
              </w:rPr>
              <w:t>(3)</w:t>
            </w:r>
            <w:r>
              <w:rPr>
                <w:rtl/>
              </w:rPr>
              <w:tab/>
            </w:r>
            <w:r w:rsidRPr="00C13F20">
              <w:rPr>
                <w:rFonts w:hint="cs"/>
                <w:rtl/>
              </w:rPr>
              <w:t>רכישת</w:t>
            </w:r>
            <w:r w:rsidRPr="00C13F20">
              <w:rPr>
                <w:rtl/>
              </w:rPr>
              <w:t xml:space="preserve"> </w:t>
            </w:r>
            <w:r w:rsidRPr="00C13F20">
              <w:rPr>
                <w:rFonts w:hint="cs"/>
                <w:rtl/>
              </w:rPr>
              <w:t>המקרקעין</w:t>
            </w:r>
            <w:r w:rsidRPr="00C13F20">
              <w:rPr>
                <w:rtl/>
              </w:rPr>
              <w:t xml:space="preserve"> </w:t>
            </w:r>
            <w:r w:rsidRPr="00C13F20">
              <w:rPr>
                <w:rFonts w:hint="cs"/>
                <w:rtl/>
              </w:rPr>
              <w:t>על</w:t>
            </w:r>
            <w:r w:rsidRPr="00C13F20">
              <w:rPr>
                <w:rtl/>
              </w:rPr>
              <w:t xml:space="preserve"> </w:t>
            </w:r>
            <w:r w:rsidRPr="00C13F20">
              <w:rPr>
                <w:rFonts w:hint="cs"/>
                <w:rtl/>
              </w:rPr>
              <w:t>ידי</w:t>
            </w:r>
            <w:r w:rsidRPr="00C13F20">
              <w:rPr>
                <w:rtl/>
              </w:rPr>
              <w:t xml:space="preserve"> </w:t>
            </w:r>
            <w:r w:rsidRPr="00C13F20">
              <w:rPr>
                <w:rFonts w:hint="cs"/>
                <w:rtl/>
              </w:rPr>
              <w:t>המקים</w:t>
            </w:r>
            <w:r w:rsidRPr="00C13F20">
              <w:rPr>
                <w:rtl/>
              </w:rPr>
              <w:t xml:space="preserve"> </w:t>
            </w:r>
            <w:r w:rsidRPr="00C13F20">
              <w:rPr>
                <w:rFonts w:hint="cs"/>
                <w:rtl/>
              </w:rPr>
              <w:t>אינה</w:t>
            </w:r>
            <w:r w:rsidRPr="00C13F20">
              <w:rPr>
                <w:rtl/>
              </w:rPr>
              <w:t xml:space="preserve"> </w:t>
            </w:r>
            <w:r w:rsidRPr="00C13F20">
              <w:rPr>
                <w:rFonts w:hint="cs"/>
                <w:rtl/>
              </w:rPr>
              <w:t>עלולה</w:t>
            </w:r>
            <w:r w:rsidRPr="00C13F20">
              <w:rPr>
                <w:rtl/>
              </w:rPr>
              <w:t xml:space="preserve"> </w:t>
            </w:r>
            <w:r w:rsidRPr="00C13F20">
              <w:rPr>
                <w:rFonts w:hint="cs"/>
                <w:rtl/>
              </w:rPr>
              <w:t>לגרום</w:t>
            </w:r>
            <w:r w:rsidRPr="00C13F20">
              <w:rPr>
                <w:rtl/>
              </w:rPr>
              <w:t xml:space="preserve"> </w:t>
            </w:r>
            <w:r w:rsidRPr="00C13F20">
              <w:rPr>
                <w:rFonts w:hint="cs"/>
                <w:rtl/>
              </w:rPr>
              <w:t>לבעל</w:t>
            </w:r>
            <w:r w:rsidRPr="00C13F20">
              <w:rPr>
                <w:rtl/>
              </w:rPr>
              <w:t xml:space="preserve"> </w:t>
            </w:r>
            <w:r w:rsidRPr="00C13F20">
              <w:rPr>
                <w:rFonts w:hint="cs"/>
                <w:rtl/>
              </w:rPr>
              <w:t>המקרקעין</w:t>
            </w:r>
            <w:r w:rsidRPr="00C13F20">
              <w:rPr>
                <w:rtl/>
              </w:rPr>
              <w:t xml:space="preserve"> </w:t>
            </w:r>
            <w:r w:rsidRPr="00C13F20">
              <w:rPr>
                <w:rFonts w:hint="cs"/>
                <w:rtl/>
              </w:rPr>
              <w:t>נזק</w:t>
            </w:r>
            <w:r w:rsidRPr="00C13F20">
              <w:rPr>
                <w:rtl/>
              </w:rPr>
              <w:t xml:space="preserve"> </w:t>
            </w:r>
            <w:r w:rsidRPr="00C13F20">
              <w:rPr>
                <w:rFonts w:hint="cs"/>
                <w:rtl/>
              </w:rPr>
              <w:t>חמור</w:t>
            </w:r>
            <w:r w:rsidRPr="00C13F20">
              <w:rPr>
                <w:rtl/>
              </w:rPr>
              <w:t xml:space="preserve"> </w:t>
            </w:r>
            <w:r w:rsidRPr="00C13F20">
              <w:rPr>
                <w:rFonts w:hint="cs"/>
                <w:rtl/>
              </w:rPr>
              <w:t>שאין</w:t>
            </w:r>
            <w:r w:rsidRPr="00C13F20">
              <w:rPr>
                <w:rtl/>
              </w:rPr>
              <w:t xml:space="preserve"> </w:t>
            </w:r>
            <w:r w:rsidRPr="00C13F20">
              <w:rPr>
                <w:rFonts w:hint="cs"/>
                <w:rtl/>
              </w:rPr>
              <w:t>בתשלום</w:t>
            </w:r>
            <w:r w:rsidRPr="00C13F20">
              <w:rPr>
                <w:rtl/>
              </w:rPr>
              <w:t xml:space="preserve"> </w:t>
            </w:r>
            <w:r w:rsidRPr="00C13F20">
              <w:rPr>
                <w:rFonts w:hint="cs"/>
                <w:rtl/>
              </w:rPr>
              <w:t>שווים</w:t>
            </w:r>
            <w:r w:rsidRPr="00C13F20">
              <w:rPr>
                <w:rtl/>
              </w:rPr>
              <w:t xml:space="preserve"> </w:t>
            </w:r>
            <w:r w:rsidRPr="00C13F20">
              <w:rPr>
                <w:rFonts w:hint="cs"/>
                <w:rtl/>
              </w:rPr>
              <w:t>כדי</w:t>
            </w:r>
            <w:r w:rsidRPr="00C13F20">
              <w:rPr>
                <w:rtl/>
              </w:rPr>
              <w:t xml:space="preserve"> </w:t>
            </w:r>
            <w:r w:rsidRPr="00C13F20">
              <w:rPr>
                <w:rFonts w:hint="cs"/>
                <w:rtl/>
              </w:rPr>
              <w:t>לפצות</w:t>
            </w:r>
            <w:r>
              <w:rPr>
                <w:rFonts w:hint="cs"/>
                <w:rtl/>
              </w:rPr>
              <w:t xml:space="preserve"> אותו</w:t>
            </w:r>
            <w:r w:rsidRPr="00C13F20">
              <w:rPr>
                <w:rtl/>
              </w:rPr>
              <w:t xml:space="preserve"> </w:t>
            </w:r>
            <w:r>
              <w:rPr>
                <w:rFonts w:hint="cs"/>
                <w:rtl/>
              </w:rPr>
              <w:t xml:space="preserve"> פיצוי סביר.</w:t>
            </w:r>
          </w:p>
        </w:tc>
      </w:tr>
      <w:tr w:rsidR="00D07DA0" w14:paraId="2D10E9C9" w14:textId="77777777" w:rsidTr="002A0AFE">
        <w:trPr>
          <w:cantSplit/>
        </w:trPr>
        <w:tc>
          <w:tcPr>
            <w:tcW w:w="1871" w:type="dxa"/>
          </w:tcPr>
          <w:p w14:paraId="45972D37" w14:textId="77777777" w:rsidR="00D07DA0" w:rsidRDefault="00D07DA0" w:rsidP="00BC7160">
            <w:pPr>
              <w:pStyle w:val="TableSideHeading"/>
              <w:keepLines w:val="0"/>
              <w:rPr>
                <w:rtl/>
              </w:rPr>
            </w:pPr>
          </w:p>
        </w:tc>
        <w:tc>
          <w:tcPr>
            <w:tcW w:w="624" w:type="dxa"/>
          </w:tcPr>
          <w:p w14:paraId="53AE62CF" w14:textId="77777777" w:rsidR="00D07DA0" w:rsidRPr="00A00EDE" w:rsidRDefault="00D07DA0" w:rsidP="000618C1">
            <w:pPr>
              <w:pStyle w:val="TableText"/>
              <w:ind w:right="0"/>
              <w:jc w:val="both"/>
              <w:rPr>
                <w:rtl/>
              </w:rPr>
            </w:pPr>
          </w:p>
        </w:tc>
        <w:tc>
          <w:tcPr>
            <w:tcW w:w="7143" w:type="dxa"/>
            <w:gridSpan w:val="2"/>
          </w:tcPr>
          <w:p w14:paraId="0C54D235" w14:textId="28228495" w:rsidR="00D07DA0" w:rsidRPr="00260D3B" w:rsidRDefault="00D07DA0" w:rsidP="00D07DA0">
            <w:pPr>
              <w:pStyle w:val="TableText"/>
              <w:ind w:right="0"/>
              <w:jc w:val="both"/>
              <w:rPr>
                <w:rtl/>
              </w:rPr>
            </w:pPr>
            <w:r w:rsidRPr="00A00EDE">
              <w:rPr>
                <w:rFonts w:hint="cs"/>
                <w:rtl/>
              </w:rPr>
              <w:t>(ב)</w:t>
            </w:r>
            <w:r>
              <w:rPr>
                <w:rtl/>
              </w:rPr>
              <w:tab/>
            </w:r>
            <w:r w:rsidRPr="00260D3B">
              <w:rPr>
                <w:rFonts w:hint="cs"/>
                <w:rtl/>
              </w:rPr>
              <w:t>בסעיף</w:t>
            </w:r>
            <w:r w:rsidRPr="00260D3B">
              <w:rPr>
                <w:rtl/>
              </w:rPr>
              <w:t xml:space="preserve"> </w:t>
            </w:r>
            <w:r w:rsidRPr="00260D3B">
              <w:rPr>
                <w:rFonts w:hint="cs"/>
                <w:rtl/>
              </w:rPr>
              <w:t>זה</w:t>
            </w:r>
            <w:r w:rsidRPr="00260D3B">
              <w:rPr>
                <w:rtl/>
              </w:rPr>
              <w:t>, "</w:t>
            </w:r>
            <w:r w:rsidRPr="00260D3B">
              <w:rPr>
                <w:rFonts w:hint="cs"/>
                <w:rtl/>
              </w:rPr>
              <w:t>הסכמת</w:t>
            </w:r>
            <w:r w:rsidRPr="00260D3B">
              <w:rPr>
                <w:rtl/>
              </w:rPr>
              <w:t xml:space="preserve"> </w:t>
            </w:r>
            <w:r w:rsidRPr="00260D3B">
              <w:rPr>
                <w:rFonts w:hint="cs"/>
                <w:rtl/>
              </w:rPr>
              <w:t>הממשלה</w:t>
            </w:r>
            <w:r w:rsidRPr="00260D3B">
              <w:rPr>
                <w:rtl/>
              </w:rPr>
              <w:t xml:space="preserve">" – </w:t>
            </w:r>
            <w:r w:rsidRPr="00260D3B">
              <w:rPr>
                <w:rFonts w:hint="cs"/>
                <w:rtl/>
              </w:rPr>
              <w:t>במפורש</w:t>
            </w:r>
            <w:r w:rsidRPr="00260D3B">
              <w:rPr>
                <w:rtl/>
              </w:rPr>
              <w:t xml:space="preserve"> </w:t>
            </w:r>
            <w:r w:rsidRPr="00260D3B">
              <w:rPr>
                <w:rFonts w:hint="cs"/>
                <w:rtl/>
              </w:rPr>
              <w:t>או</w:t>
            </w:r>
            <w:r w:rsidRPr="00260D3B">
              <w:rPr>
                <w:rtl/>
              </w:rPr>
              <w:t xml:space="preserve"> </w:t>
            </w:r>
            <w:r w:rsidRPr="00260D3B">
              <w:rPr>
                <w:rFonts w:hint="cs"/>
                <w:rtl/>
              </w:rPr>
              <w:t>במשתמע</w:t>
            </w:r>
            <w:r w:rsidRPr="00260D3B">
              <w:rPr>
                <w:rtl/>
              </w:rPr>
              <w:t xml:space="preserve">, </w:t>
            </w:r>
            <w:r w:rsidRPr="00260D3B">
              <w:rPr>
                <w:rFonts w:hint="cs"/>
                <w:rtl/>
              </w:rPr>
              <w:t>לרבות</w:t>
            </w:r>
            <w:r w:rsidRPr="00260D3B">
              <w:rPr>
                <w:rtl/>
              </w:rPr>
              <w:t xml:space="preserve"> </w:t>
            </w:r>
            <w:r w:rsidRPr="00260D3B">
              <w:rPr>
                <w:rFonts w:hint="cs"/>
                <w:rtl/>
              </w:rPr>
              <w:t>סיוע</w:t>
            </w:r>
            <w:r w:rsidRPr="00260D3B">
              <w:rPr>
                <w:rtl/>
              </w:rPr>
              <w:t xml:space="preserve"> </w:t>
            </w:r>
            <w:r w:rsidRPr="00260D3B">
              <w:rPr>
                <w:rFonts w:hint="cs"/>
                <w:rtl/>
              </w:rPr>
              <w:t>בהנחת</w:t>
            </w:r>
            <w:r w:rsidRPr="00260D3B">
              <w:rPr>
                <w:rtl/>
              </w:rPr>
              <w:t xml:space="preserve"> </w:t>
            </w:r>
            <w:r w:rsidRPr="00260D3B">
              <w:rPr>
                <w:rFonts w:hint="cs"/>
                <w:rtl/>
              </w:rPr>
              <w:t>תשתיות</w:t>
            </w:r>
            <w:r w:rsidRPr="00260D3B">
              <w:rPr>
                <w:rtl/>
              </w:rPr>
              <w:t xml:space="preserve">, </w:t>
            </w:r>
            <w:r w:rsidRPr="00260D3B">
              <w:rPr>
                <w:rFonts w:hint="cs"/>
                <w:rtl/>
              </w:rPr>
              <w:t>הענקת</w:t>
            </w:r>
            <w:r w:rsidRPr="00260D3B">
              <w:rPr>
                <w:rtl/>
              </w:rPr>
              <w:t xml:space="preserve"> </w:t>
            </w:r>
            <w:r w:rsidRPr="00260D3B">
              <w:rPr>
                <w:rFonts w:hint="cs"/>
                <w:rtl/>
              </w:rPr>
              <w:t>תמריצים</w:t>
            </w:r>
            <w:r w:rsidRPr="00260D3B">
              <w:rPr>
                <w:rtl/>
              </w:rPr>
              <w:t xml:space="preserve">, </w:t>
            </w:r>
            <w:r w:rsidRPr="00260D3B">
              <w:rPr>
                <w:rFonts w:hint="cs"/>
                <w:rtl/>
              </w:rPr>
              <w:t>פרסום</w:t>
            </w:r>
            <w:r w:rsidRPr="00260D3B">
              <w:rPr>
                <w:rtl/>
              </w:rPr>
              <w:t xml:space="preserve"> </w:t>
            </w:r>
            <w:r w:rsidRPr="00260D3B">
              <w:rPr>
                <w:rFonts w:hint="cs"/>
                <w:rtl/>
              </w:rPr>
              <w:t>פרסומים</w:t>
            </w:r>
            <w:r w:rsidRPr="00260D3B">
              <w:rPr>
                <w:rtl/>
              </w:rPr>
              <w:t xml:space="preserve"> </w:t>
            </w:r>
            <w:r w:rsidRPr="00260D3B">
              <w:rPr>
                <w:rFonts w:hint="cs"/>
                <w:rtl/>
              </w:rPr>
              <w:t>ממריצים</w:t>
            </w:r>
            <w:r w:rsidRPr="00260D3B">
              <w:rPr>
                <w:rtl/>
              </w:rPr>
              <w:t xml:space="preserve"> </w:t>
            </w:r>
            <w:r w:rsidRPr="00260D3B">
              <w:rPr>
                <w:rFonts w:hint="cs"/>
                <w:rtl/>
              </w:rPr>
              <w:t>לבנייה</w:t>
            </w:r>
            <w:r w:rsidRPr="00260D3B">
              <w:rPr>
                <w:rtl/>
              </w:rPr>
              <w:t xml:space="preserve"> </w:t>
            </w:r>
            <w:r w:rsidRPr="00260D3B">
              <w:rPr>
                <w:rFonts w:hint="cs"/>
                <w:rtl/>
              </w:rPr>
              <w:t>או</w:t>
            </w:r>
            <w:r w:rsidRPr="00260D3B">
              <w:rPr>
                <w:rtl/>
              </w:rPr>
              <w:t xml:space="preserve"> </w:t>
            </w:r>
            <w:r w:rsidRPr="00260D3B">
              <w:rPr>
                <w:rFonts w:hint="cs"/>
                <w:rtl/>
              </w:rPr>
              <w:t>פיתוח</w:t>
            </w:r>
            <w:r w:rsidRPr="00260D3B">
              <w:rPr>
                <w:rtl/>
              </w:rPr>
              <w:t>.</w:t>
            </w:r>
          </w:p>
        </w:tc>
      </w:tr>
      <w:tr w:rsidR="00A00EDE" w14:paraId="429FCBE2" w14:textId="77777777" w:rsidTr="000618C1">
        <w:trPr>
          <w:cantSplit/>
        </w:trPr>
        <w:tc>
          <w:tcPr>
            <w:tcW w:w="1871" w:type="dxa"/>
          </w:tcPr>
          <w:p w14:paraId="7CE59623" w14:textId="77777777" w:rsidR="00443095" w:rsidRDefault="00443095" w:rsidP="00BC7160">
            <w:pPr>
              <w:pStyle w:val="TableSideHeading"/>
              <w:keepLines w:val="0"/>
              <w:rPr>
                <w:rtl/>
              </w:rPr>
            </w:pPr>
            <w:r>
              <w:rPr>
                <w:rFonts w:hint="cs"/>
                <w:rtl/>
              </w:rPr>
              <w:t>סמכות המפקד הצבאי במקרים מיוחדים</w:t>
            </w:r>
          </w:p>
        </w:tc>
        <w:tc>
          <w:tcPr>
            <w:tcW w:w="624" w:type="dxa"/>
          </w:tcPr>
          <w:p w14:paraId="0EBDBFEB" w14:textId="77777777" w:rsidR="00443095" w:rsidRPr="00A00EDE" w:rsidRDefault="00443095" w:rsidP="000618C1">
            <w:pPr>
              <w:pStyle w:val="TableText"/>
              <w:ind w:right="0"/>
              <w:jc w:val="both"/>
              <w:rPr>
                <w:rtl/>
              </w:rPr>
            </w:pPr>
            <w:r w:rsidRPr="00A00EDE">
              <w:rPr>
                <w:rFonts w:hint="cs"/>
                <w:rtl/>
              </w:rPr>
              <w:t>3.</w:t>
            </w:r>
          </w:p>
        </w:tc>
        <w:tc>
          <w:tcPr>
            <w:tcW w:w="7143" w:type="dxa"/>
            <w:gridSpan w:val="2"/>
          </w:tcPr>
          <w:p w14:paraId="20784FF2" w14:textId="5982830C" w:rsidR="00443095" w:rsidRPr="00260D3B" w:rsidRDefault="00443095" w:rsidP="000618C1">
            <w:pPr>
              <w:pStyle w:val="TableBlock"/>
              <w:rPr>
                <w:rtl/>
              </w:rPr>
            </w:pPr>
            <w:r>
              <w:rPr>
                <w:rFonts w:hint="cs"/>
                <w:rtl/>
              </w:rPr>
              <w:t xml:space="preserve">על אף האמור בסעיף 2(א)(2), המפקד הצבאי רשאי לקבוע כי הוראות חוק זה יחולו גם על מחוברים ששווים </w:t>
            </w:r>
            <w:r w:rsidR="008F1E27">
              <w:rPr>
                <w:rFonts w:hint="cs"/>
                <w:rtl/>
              </w:rPr>
              <w:t xml:space="preserve">לא </w:t>
            </w:r>
            <w:r>
              <w:rPr>
                <w:rFonts w:hint="cs"/>
                <w:rtl/>
              </w:rPr>
              <w:t>עלה</w:t>
            </w:r>
            <w:r w:rsidR="008F1E27">
              <w:rPr>
                <w:rFonts w:hint="cs"/>
                <w:rtl/>
              </w:rPr>
              <w:t>, בשעת הקמתם,</w:t>
            </w:r>
            <w:r>
              <w:rPr>
                <w:rFonts w:hint="cs"/>
                <w:rtl/>
              </w:rPr>
              <w:t xml:space="preserve"> על שווי </w:t>
            </w:r>
            <w:r w:rsidR="008F1E27">
              <w:rPr>
                <w:rFonts w:hint="cs"/>
                <w:rtl/>
              </w:rPr>
              <w:t xml:space="preserve">המקרקעין </w:t>
            </w:r>
            <w:r>
              <w:rPr>
                <w:rFonts w:hint="cs"/>
                <w:rtl/>
              </w:rPr>
              <w:t>בלא המחוברים</w:t>
            </w:r>
            <w:r w:rsidR="008F1E27">
              <w:rPr>
                <w:rFonts w:hint="cs"/>
                <w:rtl/>
              </w:rPr>
              <w:t xml:space="preserve"> בשעת הקמתם</w:t>
            </w:r>
            <w:r>
              <w:rPr>
                <w:rFonts w:hint="cs"/>
                <w:rtl/>
              </w:rPr>
              <w:t xml:space="preserve">, אם ראה שישנה הצדקה מיוחדת לכך, ובלבד שהוראות סעיפים 2(א)(1) ו-2(א)(3) מתקיימות.  </w:t>
            </w:r>
          </w:p>
        </w:tc>
      </w:tr>
      <w:tr w:rsidR="00A00EDE" w14:paraId="3394B448" w14:textId="77777777" w:rsidTr="000618C1">
        <w:trPr>
          <w:cantSplit/>
        </w:trPr>
        <w:tc>
          <w:tcPr>
            <w:tcW w:w="1871" w:type="dxa"/>
          </w:tcPr>
          <w:p w14:paraId="075D7632" w14:textId="77777777" w:rsidR="00443095" w:rsidRDefault="00443095" w:rsidP="00BC7160">
            <w:pPr>
              <w:pStyle w:val="TableSideHeading"/>
              <w:keepLines w:val="0"/>
              <w:rPr>
                <w:rtl/>
              </w:rPr>
            </w:pPr>
            <w:r>
              <w:rPr>
                <w:rFonts w:hint="cs"/>
                <w:rtl/>
              </w:rPr>
              <w:t>תחולה</w:t>
            </w:r>
          </w:p>
        </w:tc>
        <w:tc>
          <w:tcPr>
            <w:tcW w:w="624" w:type="dxa"/>
          </w:tcPr>
          <w:p w14:paraId="278C0E85" w14:textId="77777777" w:rsidR="00443095" w:rsidRPr="00A00EDE" w:rsidRDefault="00443095" w:rsidP="000618C1">
            <w:pPr>
              <w:pStyle w:val="TableText"/>
              <w:ind w:right="0"/>
              <w:jc w:val="both"/>
              <w:rPr>
                <w:rtl/>
              </w:rPr>
            </w:pPr>
            <w:r w:rsidRPr="00A00EDE">
              <w:rPr>
                <w:rFonts w:hint="cs"/>
                <w:rtl/>
              </w:rPr>
              <w:t xml:space="preserve">4. </w:t>
            </w:r>
          </w:p>
        </w:tc>
        <w:tc>
          <w:tcPr>
            <w:tcW w:w="7143" w:type="dxa"/>
            <w:gridSpan w:val="2"/>
          </w:tcPr>
          <w:p w14:paraId="4315BA31" w14:textId="77777777" w:rsidR="00443095" w:rsidRPr="0096219F" w:rsidRDefault="00443095" w:rsidP="000618C1">
            <w:pPr>
              <w:pStyle w:val="TableBlock"/>
              <w:rPr>
                <w:rtl/>
              </w:rPr>
            </w:pPr>
            <w:r>
              <w:rPr>
                <w:rFonts w:hint="cs"/>
                <w:rtl/>
              </w:rPr>
              <w:t>הוראות חוק זה יחולו על מחוברים שהוקמו עד למועד תחילתו של חוק זה, לרבות מחוברים לגביהם ניתן פסק דין חלוט עובר לתחילת חוק זה.</w:t>
            </w:r>
          </w:p>
        </w:tc>
      </w:tr>
    </w:tbl>
    <w:p w14:paraId="070B710F" w14:textId="77777777" w:rsidR="00443095" w:rsidRPr="00F03E01" w:rsidRDefault="00443095" w:rsidP="00443095">
      <w:pPr>
        <w:pStyle w:val="HeadDivreiHesber"/>
        <w:rPr>
          <w:rtl/>
        </w:rPr>
      </w:pPr>
      <w:r w:rsidRPr="00101EEA">
        <w:rPr>
          <w:rFonts w:hint="cs"/>
          <w:rtl/>
        </w:rPr>
        <w:t>דברי הסבר</w:t>
      </w:r>
    </w:p>
    <w:p w14:paraId="5CFCF43C" w14:textId="77777777" w:rsidR="00443095" w:rsidRPr="000618C1" w:rsidRDefault="00443095" w:rsidP="000618C1">
      <w:pPr>
        <w:pStyle w:val="Hesber"/>
        <w:rPr>
          <w:rtl/>
        </w:rPr>
      </w:pPr>
      <w:r w:rsidRPr="000618C1">
        <w:rPr>
          <w:rFonts w:hint="cs"/>
          <w:rtl/>
        </w:rPr>
        <w:t>בחבלי</w:t>
      </w:r>
      <w:r w:rsidRPr="000618C1">
        <w:rPr>
          <w:rtl/>
        </w:rPr>
        <w:t xml:space="preserve"> </w:t>
      </w:r>
      <w:r w:rsidRPr="000618C1">
        <w:rPr>
          <w:rFonts w:hint="cs"/>
          <w:rtl/>
        </w:rPr>
        <w:t>יהודה</w:t>
      </w:r>
      <w:r w:rsidRPr="000618C1">
        <w:rPr>
          <w:rtl/>
        </w:rPr>
        <w:t xml:space="preserve">, </w:t>
      </w:r>
      <w:r w:rsidRPr="000618C1">
        <w:rPr>
          <w:rFonts w:hint="cs"/>
          <w:rtl/>
        </w:rPr>
        <w:t>השומרון</w:t>
      </w:r>
      <w:r w:rsidRPr="000618C1">
        <w:rPr>
          <w:rtl/>
        </w:rPr>
        <w:t xml:space="preserve">, </w:t>
      </w:r>
      <w:r w:rsidRPr="000618C1">
        <w:rPr>
          <w:rFonts w:hint="cs"/>
          <w:rtl/>
        </w:rPr>
        <w:t>בנימין</w:t>
      </w:r>
      <w:r w:rsidRPr="000618C1">
        <w:rPr>
          <w:rtl/>
        </w:rPr>
        <w:t xml:space="preserve"> </w:t>
      </w:r>
      <w:r w:rsidRPr="000618C1">
        <w:rPr>
          <w:rFonts w:hint="cs"/>
          <w:rtl/>
        </w:rPr>
        <w:t>ובקעת</w:t>
      </w:r>
      <w:r w:rsidRPr="000618C1">
        <w:rPr>
          <w:rtl/>
        </w:rPr>
        <w:t xml:space="preserve"> </w:t>
      </w:r>
      <w:r w:rsidRPr="000618C1">
        <w:rPr>
          <w:rFonts w:hint="cs"/>
          <w:rtl/>
        </w:rPr>
        <w:t>הירדן</w:t>
      </w:r>
      <w:r w:rsidRPr="000618C1">
        <w:rPr>
          <w:rtl/>
        </w:rPr>
        <w:t xml:space="preserve"> </w:t>
      </w:r>
      <w:r w:rsidRPr="000618C1">
        <w:rPr>
          <w:rFonts w:hint="cs"/>
          <w:rtl/>
        </w:rPr>
        <w:t>מתגוררים</w:t>
      </w:r>
      <w:r w:rsidRPr="000618C1">
        <w:rPr>
          <w:rtl/>
        </w:rPr>
        <w:t xml:space="preserve"> </w:t>
      </w:r>
      <w:r w:rsidRPr="000618C1">
        <w:rPr>
          <w:rFonts w:hint="cs"/>
          <w:rtl/>
        </w:rPr>
        <w:t>כיום למעלה מ</w:t>
      </w:r>
      <w:r w:rsidRPr="000618C1">
        <w:rPr>
          <w:rtl/>
        </w:rPr>
        <w:t xml:space="preserve">-350,000 </w:t>
      </w:r>
      <w:r w:rsidRPr="000618C1">
        <w:rPr>
          <w:rFonts w:hint="cs"/>
          <w:rtl/>
        </w:rPr>
        <w:t>אזרחי</w:t>
      </w:r>
      <w:r w:rsidRPr="000618C1">
        <w:rPr>
          <w:rtl/>
        </w:rPr>
        <w:t xml:space="preserve"> </w:t>
      </w:r>
      <w:r w:rsidRPr="000618C1">
        <w:rPr>
          <w:rFonts w:hint="cs"/>
          <w:rtl/>
        </w:rPr>
        <w:t>מדינת</w:t>
      </w:r>
      <w:r w:rsidRPr="000618C1">
        <w:rPr>
          <w:rtl/>
        </w:rPr>
        <w:t xml:space="preserve"> </w:t>
      </w:r>
      <w:r w:rsidRPr="000618C1">
        <w:rPr>
          <w:rFonts w:hint="cs"/>
          <w:rtl/>
        </w:rPr>
        <w:t>ישראל</w:t>
      </w:r>
      <w:r w:rsidRPr="000618C1">
        <w:rPr>
          <w:rtl/>
        </w:rPr>
        <w:t>.</w:t>
      </w:r>
    </w:p>
    <w:p w14:paraId="6F328CF1" w14:textId="36C7F86F" w:rsidR="00443095" w:rsidRPr="000618C1" w:rsidRDefault="00443095" w:rsidP="000618C1">
      <w:pPr>
        <w:pStyle w:val="Hesber"/>
        <w:rPr>
          <w:rtl/>
        </w:rPr>
      </w:pPr>
      <w:r w:rsidRPr="000618C1">
        <w:rPr>
          <w:rFonts w:hint="cs"/>
          <w:rtl/>
        </w:rPr>
        <w:t>מבין תושבי אזורים אלו</w:t>
      </w:r>
      <w:r w:rsidR="00BF3A3A" w:rsidRPr="000618C1">
        <w:rPr>
          <w:rFonts w:hint="cs"/>
          <w:rtl/>
        </w:rPr>
        <w:t>,</w:t>
      </w:r>
      <w:r w:rsidRPr="000618C1">
        <w:rPr>
          <w:rFonts w:hint="cs"/>
          <w:rtl/>
        </w:rPr>
        <w:t xml:space="preserve"> ישנם אלפי</w:t>
      </w:r>
      <w:r w:rsidRPr="000618C1">
        <w:rPr>
          <w:rtl/>
        </w:rPr>
        <w:t xml:space="preserve"> </w:t>
      </w:r>
      <w:r w:rsidRPr="000618C1">
        <w:rPr>
          <w:rFonts w:hint="cs"/>
          <w:rtl/>
        </w:rPr>
        <w:t>אזרחים המתגוררים</w:t>
      </w:r>
      <w:r w:rsidRPr="000618C1">
        <w:rPr>
          <w:rtl/>
        </w:rPr>
        <w:t xml:space="preserve"> </w:t>
      </w:r>
      <w:r w:rsidRPr="000618C1">
        <w:rPr>
          <w:rFonts w:hint="cs"/>
          <w:rtl/>
        </w:rPr>
        <w:t>במאות</w:t>
      </w:r>
      <w:r w:rsidRPr="000618C1">
        <w:rPr>
          <w:rtl/>
        </w:rPr>
        <w:t xml:space="preserve"> </w:t>
      </w:r>
      <w:r w:rsidRPr="000618C1">
        <w:rPr>
          <w:rFonts w:hint="cs"/>
          <w:rtl/>
        </w:rPr>
        <w:t>בתי</w:t>
      </w:r>
      <w:r w:rsidRPr="000618C1">
        <w:rPr>
          <w:rtl/>
        </w:rPr>
        <w:t xml:space="preserve"> </w:t>
      </w:r>
      <w:r w:rsidRPr="000618C1">
        <w:rPr>
          <w:rFonts w:hint="cs"/>
          <w:rtl/>
        </w:rPr>
        <w:t>קבע</w:t>
      </w:r>
      <w:r w:rsidRPr="000618C1">
        <w:rPr>
          <w:rtl/>
        </w:rPr>
        <w:t xml:space="preserve"> </w:t>
      </w:r>
      <w:r w:rsidRPr="000618C1">
        <w:rPr>
          <w:rFonts w:hint="cs"/>
          <w:rtl/>
        </w:rPr>
        <w:t>שנבנו על קרקע שמעמדה בעת בנייתם היה נתון בספק או שהמדינה סברה כי מדובר באדמות מדינה, ולאחר זמן התברר כי סברה זו בטעות הי</w:t>
      </w:r>
      <w:r w:rsidR="00BF3A3A" w:rsidRPr="000618C1">
        <w:rPr>
          <w:rFonts w:hint="cs"/>
          <w:rtl/>
        </w:rPr>
        <w:t>י</w:t>
      </w:r>
      <w:r w:rsidRPr="000618C1">
        <w:rPr>
          <w:rFonts w:hint="cs"/>
          <w:rtl/>
        </w:rPr>
        <w:t>תה יסודה</w:t>
      </w:r>
      <w:r w:rsidRPr="000618C1">
        <w:rPr>
          <w:rtl/>
        </w:rPr>
        <w:t xml:space="preserve">. </w:t>
      </w:r>
      <w:r w:rsidRPr="000618C1">
        <w:rPr>
          <w:rFonts w:hint="cs"/>
          <w:rtl/>
        </w:rPr>
        <w:t>כך או כך, מדובר במקומות שאוכלסו בעידוד של ממשלות</w:t>
      </w:r>
      <w:r w:rsidRPr="000618C1">
        <w:rPr>
          <w:rtl/>
        </w:rPr>
        <w:t xml:space="preserve"> </w:t>
      </w:r>
      <w:r w:rsidRPr="000618C1">
        <w:rPr>
          <w:rFonts w:hint="cs"/>
          <w:rtl/>
        </w:rPr>
        <w:t>ישראל לדורותיהן, לעיתים אף במתן</w:t>
      </w:r>
      <w:r w:rsidRPr="000618C1">
        <w:rPr>
          <w:rtl/>
        </w:rPr>
        <w:t xml:space="preserve"> </w:t>
      </w:r>
      <w:r w:rsidRPr="000618C1">
        <w:rPr>
          <w:rFonts w:hint="cs"/>
          <w:rtl/>
        </w:rPr>
        <w:t>משכנתאות</w:t>
      </w:r>
      <w:r w:rsidRPr="000618C1">
        <w:rPr>
          <w:rtl/>
        </w:rPr>
        <w:t xml:space="preserve"> </w:t>
      </w:r>
      <w:r w:rsidRPr="000618C1">
        <w:rPr>
          <w:rFonts w:hint="cs"/>
          <w:rtl/>
        </w:rPr>
        <w:t>מוזלות</w:t>
      </w:r>
      <w:r w:rsidRPr="000618C1">
        <w:rPr>
          <w:rtl/>
        </w:rPr>
        <w:t xml:space="preserve"> </w:t>
      </w:r>
      <w:r w:rsidRPr="000618C1">
        <w:rPr>
          <w:rFonts w:hint="cs"/>
          <w:rtl/>
        </w:rPr>
        <w:t>ומענקים</w:t>
      </w:r>
      <w:r w:rsidRPr="000618C1">
        <w:rPr>
          <w:rtl/>
        </w:rPr>
        <w:t xml:space="preserve"> </w:t>
      </w:r>
      <w:r w:rsidRPr="000618C1">
        <w:rPr>
          <w:rFonts w:hint="cs"/>
          <w:rtl/>
        </w:rPr>
        <w:t>לזוגות</w:t>
      </w:r>
      <w:r w:rsidRPr="000618C1">
        <w:rPr>
          <w:rtl/>
        </w:rPr>
        <w:t xml:space="preserve"> </w:t>
      </w:r>
      <w:r w:rsidRPr="000618C1">
        <w:rPr>
          <w:rFonts w:hint="cs"/>
          <w:rtl/>
        </w:rPr>
        <w:t>צעירים</w:t>
      </w:r>
      <w:r w:rsidRPr="000618C1">
        <w:rPr>
          <w:rtl/>
        </w:rPr>
        <w:t xml:space="preserve"> </w:t>
      </w:r>
      <w:r w:rsidRPr="000618C1">
        <w:rPr>
          <w:rFonts w:hint="cs"/>
          <w:rtl/>
        </w:rPr>
        <w:t>כתמריץ ממשלתי להתגורר</w:t>
      </w:r>
      <w:r w:rsidRPr="000618C1">
        <w:rPr>
          <w:rtl/>
        </w:rPr>
        <w:t xml:space="preserve"> </w:t>
      </w:r>
      <w:r w:rsidRPr="000618C1">
        <w:rPr>
          <w:rFonts w:hint="cs"/>
          <w:rtl/>
        </w:rPr>
        <w:t>בהם</w:t>
      </w:r>
      <w:r w:rsidRPr="000618C1">
        <w:rPr>
          <w:rtl/>
        </w:rPr>
        <w:t>.</w:t>
      </w:r>
      <w:r w:rsidRPr="000618C1">
        <w:rPr>
          <w:rFonts w:hint="cs"/>
          <w:rtl/>
        </w:rPr>
        <w:t xml:space="preserve"> </w:t>
      </w:r>
    </w:p>
    <w:p w14:paraId="0155F004" w14:textId="7F8D9C5E" w:rsidR="00443095" w:rsidRPr="000618C1" w:rsidRDefault="00443095" w:rsidP="00E27541">
      <w:pPr>
        <w:pStyle w:val="Hesber"/>
        <w:rPr>
          <w:rtl/>
        </w:rPr>
      </w:pPr>
      <w:r w:rsidRPr="000618C1">
        <w:rPr>
          <w:rFonts w:hint="cs"/>
          <w:rtl/>
        </w:rPr>
        <w:t>יובהר, כי המצב המשפטי הנוגע למקרקעין ב</w:t>
      </w:r>
      <w:r w:rsidR="00BF3A3A" w:rsidRPr="000618C1">
        <w:rPr>
          <w:rFonts w:hint="cs"/>
          <w:rtl/>
        </w:rPr>
        <w:t xml:space="preserve">יהודה ושומרון </w:t>
      </w:r>
      <w:r w:rsidRPr="000618C1">
        <w:rPr>
          <w:rFonts w:hint="cs"/>
          <w:rtl/>
        </w:rPr>
        <w:t xml:space="preserve">שונה בתכלית מזה החל בתחומי הקו הירוק. מערכת הדינים הרלוונטית לשם בירור זכויות בקרקע </w:t>
      </w:r>
      <w:r w:rsidR="000618C1" w:rsidRPr="000618C1">
        <w:rPr>
          <w:rFonts w:hint="cs"/>
          <w:rtl/>
        </w:rPr>
        <w:t xml:space="preserve">ביהודה ושומרון </w:t>
      </w:r>
      <w:r w:rsidRPr="000618C1">
        <w:rPr>
          <w:rFonts w:hint="cs"/>
          <w:rtl/>
        </w:rPr>
        <w:t xml:space="preserve">הינה מורכבת, סבוכה, ובמקרים רבים אף אינה בהירה דיה. נוסף על כך, גם הבירור העובדתי אודות הזיקה לקרקע מסוימת </w:t>
      </w:r>
      <w:r w:rsidR="00E27541">
        <w:rPr>
          <w:rFonts w:hint="cs"/>
          <w:rtl/>
        </w:rPr>
        <w:t>ביהודה ושומרון,</w:t>
      </w:r>
      <w:r w:rsidRPr="000618C1">
        <w:rPr>
          <w:rFonts w:hint="cs"/>
          <w:rtl/>
        </w:rPr>
        <w:t xml:space="preserve"> הוא תהליך מורכב וסבוך על רקע סיבות היסטוריות ופוליטיות מגוונות. במציאות זו</w:t>
      </w:r>
      <w:r w:rsidR="00BF3A3A" w:rsidRPr="000618C1">
        <w:rPr>
          <w:rFonts w:hint="cs"/>
          <w:rtl/>
        </w:rPr>
        <w:t>,</w:t>
      </w:r>
      <w:r w:rsidRPr="000618C1">
        <w:rPr>
          <w:rFonts w:hint="cs"/>
          <w:rtl/>
        </w:rPr>
        <w:t xml:space="preserve"> יכולתו של האזרח הסביר לעמוד על מצב הזכויות בקרקע שעליה נשלח להקים את ביתו ה</w:t>
      </w:r>
      <w:r w:rsidR="00BF3A3A" w:rsidRPr="000618C1">
        <w:rPr>
          <w:rFonts w:hint="cs"/>
          <w:rtl/>
        </w:rPr>
        <w:t>י</w:t>
      </w:r>
      <w:r w:rsidRPr="000618C1">
        <w:rPr>
          <w:rFonts w:hint="cs"/>
          <w:rtl/>
        </w:rPr>
        <w:t>יתה בלתי אפשרית, וכל שהיה לנגד עיניו הוא עידוד המדינה להתיישב באותו מקום. השאיפה להביא כיום להבהרת מצב הזכויות בקרקע ולהסדרת הכללים לקביעתן מבורכת</w:t>
      </w:r>
      <w:r w:rsidR="00BF3A3A" w:rsidRPr="000618C1">
        <w:rPr>
          <w:rFonts w:hint="cs"/>
          <w:rtl/>
        </w:rPr>
        <w:t>,</w:t>
      </w:r>
      <w:r w:rsidRPr="000618C1">
        <w:rPr>
          <w:rFonts w:hint="cs"/>
          <w:rtl/>
        </w:rPr>
        <w:t xml:space="preserve"> אולם עליה להביא בחשבון את הפגיעה במי שהסתמך על המצב כפי שהיה. לאור זאת, </w:t>
      </w:r>
      <w:r w:rsidR="00BF3A3A" w:rsidRPr="000618C1">
        <w:rPr>
          <w:rFonts w:hint="cs"/>
          <w:rtl/>
        </w:rPr>
        <w:t xml:space="preserve">הצעת </w:t>
      </w:r>
      <w:r w:rsidRPr="000618C1">
        <w:rPr>
          <w:rFonts w:hint="cs"/>
          <w:rtl/>
        </w:rPr>
        <w:t>חוק ז</w:t>
      </w:r>
      <w:r w:rsidR="00BF3A3A" w:rsidRPr="000618C1">
        <w:rPr>
          <w:rFonts w:hint="cs"/>
          <w:rtl/>
        </w:rPr>
        <w:t>ו</w:t>
      </w:r>
      <w:r w:rsidRPr="000618C1">
        <w:rPr>
          <w:rFonts w:hint="cs"/>
          <w:rtl/>
        </w:rPr>
        <w:t xml:space="preserve"> רואה במי שהתיישב במקומות אלו</w:t>
      </w:r>
      <w:r w:rsidR="00BF3A3A" w:rsidRPr="000618C1">
        <w:rPr>
          <w:rFonts w:hint="cs"/>
          <w:rtl/>
        </w:rPr>
        <w:t>,</w:t>
      </w:r>
      <w:r w:rsidRPr="000618C1">
        <w:rPr>
          <w:rFonts w:hint="cs"/>
          <w:rtl/>
        </w:rPr>
        <w:t xml:space="preserve"> תוך שהוא מסתמך על הסמכת הממשלה ליישובם, כתם לב. </w:t>
      </w:r>
    </w:p>
    <w:p w14:paraId="58E583AC" w14:textId="6C0D850A" w:rsidR="00443095" w:rsidRPr="000618C1" w:rsidRDefault="00443095" w:rsidP="000618C1">
      <w:pPr>
        <w:pStyle w:val="Hesber"/>
        <w:rPr>
          <w:rtl/>
        </w:rPr>
      </w:pPr>
      <w:r w:rsidRPr="000618C1">
        <w:rPr>
          <w:rFonts w:hint="cs"/>
          <w:rtl/>
        </w:rPr>
        <w:t>בפסיקות בג"</w:t>
      </w:r>
      <w:r w:rsidR="00BF3A3A" w:rsidRPr="000618C1">
        <w:rPr>
          <w:rFonts w:hint="cs"/>
          <w:rtl/>
        </w:rPr>
        <w:t>ץ</w:t>
      </w:r>
      <w:r w:rsidRPr="000618C1">
        <w:rPr>
          <w:rFonts w:hint="cs"/>
          <w:rtl/>
        </w:rPr>
        <w:t xml:space="preserve"> מהשנים האחרונות</w:t>
      </w:r>
      <w:r w:rsidR="00BF3A3A" w:rsidRPr="000618C1">
        <w:rPr>
          <w:rFonts w:hint="cs"/>
          <w:rtl/>
        </w:rPr>
        <w:t>,</w:t>
      </w:r>
      <w:r w:rsidRPr="000618C1">
        <w:rPr>
          <w:rFonts w:hint="cs"/>
          <w:rtl/>
        </w:rPr>
        <w:t xml:space="preserve"> לפיהן</w:t>
      </w:r>
      <w:r w:rsidRPr="000618C1">
        <w:rPr>
          <w:rtl/>
        </w:rPr>
        <w:t xml:space="preserve"> כל קרקע ביהודה ושומרון שאיננה אדמת מדינה </w:t>
      </w:r>
      <w:r w:rsidRPr="000618C1">
        <w:rPr>
          <w:rFonts w:hint="cs"/>
          <w:rtl/>
        </w:rPr>
        <w:t xml:space="preserve">נחשבת </w:t>
      </w:r>
      <w:r w:rsidRPr="000618C1">
        <w:rPr>
          <w:rFonts w:hint="cs"/>
          <w:rtl/>
        </w:rPr>
        <w:lastRenderedPageBreak/>
        <w:t>כ</w:t>
      </w:r>
      <w:r w:rsidRPr="000618C1">
        <w:rPr>
          <w:rtl/>
        </w:rPr>
        <w:t>קרקע פרטית</w:t>
      </w:r>
      <w:r w:rsidRPr="000618C1">
        <w:rPr>
          <w:rFonts w:hint="cs"/>
          <w:rtl/>
        </w:rPr>
        <w:t xml:space="preserve"> </w:t>
      </w:r>
      <w:r w:rsidRPr="000618C1">
        <w:rPr>
          <w:rtl/>
        </w:rPr>
        <w:t xml:space="preserve">אף אם אין מי שטוען </w:t>
      </w:r>
      <w:r w:rsidRPr="000618C1">
        <w:rPr>
          <w:rFonts w:hint="cs"/>
          <w:rtl/>
        </w:rPr>
        <w:t xml:space="preserve">עליה </w:t>
      </w:r>
      <w:r w:rsidRPr="000618C1">
        <w:rPr>
          <w:rtl/>
        </w:rPr>
        <w:t>לבעלות</w:t>
      </w:r>
      <w:r w:rsidRPr="000618C1">
        <w:rPr>
          <w:rFonts w:hint="cs"/>
          <w:rtl/>
        </w:rPr>
        <w:t xml:space="preserve">, </w:t>
      </w:r>
      <w:r w:rsidRPr="000618C1">
        <w:rPr>
          <w:rtl/>
        </w:rPr>
        <w:t>נוצר מצב שבו בית המשפט מורה על הריסת בתיהן של מאות משפחות המתגוררות בבתי קבע שנים רבות, ומחוברות לתשתיות בסיוע המדינה</w:t>
      </w:r>
      <w:r w:rsidRPr="000618C1">
        <w:rPr>
          <w:rFonts w:hint="cs"/>
          <w:rtl/>
        </w:rPr>
        <w:t>, רק בשל כך שהתברר בדיעבד שהקרקע שעליה מצויים הבתים אינה בתחום אדמות המדינה המוכרזות באופן פורמלי. יודגש כי זכויותיה של המדינה במקרקעין באזור יהודה ושומרון, אינן נובעות מן ההכרזות אלא מהיעדרן של זכויות אחרות בקרקע, בעוד ש</w:t>
      </w:r>
      <w:r w:rsidR="00BF3A3A" w:rsidRPr="000618C1">
        <w:rPr>
          <w:rFonts w:hint="cs"/>
          <w:rtl/>
        </w:rPr>
        <w:t>ל</w:t>
      </w:r>
      <w:r w:rsidRPr="000618C1">
        <w:rPr>
          <w:rFonts w:hint="cs"/>
          <w:rtl/>
        </w:rPr>
        <w:t xml:space="preserve">הכרזות עצמן מעמדן דקלרטיבי בלבד. </w:t>
      </w:r>
      <w:r w:rsidR="00BF3A3A" w:rsidRPr="000618C1">
        <w:rPr>
          <w:rFonts w:hint="cs"/>
          <w:rtl/>
        </w:rPr>
        <w:t>מכאן</w:t>
      </w:r>
      <w:r w:rsidRPr="000618C1">
        <w:rPr>
          <w:rFonts w:hint="cs"/>
          <w:rtl/>
        </w:rPr>
        <w:t xml:space="preserve">, שההנחה כי אדמות שלא ניכרו בהן סימני עיבודים חקלאיים בעת שהוקמו עליהן יישובים הן אדמות בבעלות המדינה, היא הנחה מסתברת מאד. </w:t>
      </w:r>
    </w:p>
    <w:p w14:paraId="77F93C7E" w14:textId="20A580FC" w:rsidR="00443095" w:rsidRPr="000618C1" w:rsidRDefault="00443095" w:rsidP="000618C1">
      <w:pPr>
        <w:pStyle w:val="Hesber"/>
        <w:rPr>
          <w:rtl/>
        </w:rPr>
      </w:pPr>
      <w:r w:rsidRPr="000618C1">
        <w:rPr>
          <w:rFonts w:hint="cs"/>
          <w:rtl/>
        </w:rPr>
        <w:t xml:space="preserve">תוצאה זו, המהווה פגיעה חמורה וחסרת מידתיות בזכויות היסוד של תושבי מקומות אלו, איננה </w:t>
      </w:r>
      <w:r w:rsidR="00BF3A3A" w:rsidRPr="000618C1">
        <w:rPr>
          <w:rFonts w:hint="cs"/>
          <w:rtl/>
        </w:rPr>
        <w:t>מחויבת.</w:t>
      </w:r>
    </w:p>
    <w:p w14:paraId="2F929F5E" w14:textId="77777777" w:rsidR="00443095" w:rsidRPr="000618C1" w:rsidRDefault="00443095" w:rsidP="000618C1">
      <w:pPr>
        <w:pStyle w:val="Hesber"/>
        <w:rPr>
          <w:rtl/>
        </w:rPr>
      </w:pPr>
      <w:r w:rsidRPr="000618C1">
        <w:rPr>
          <w:rFonts w:hint="cs"/>
          <w:rtl/>
        </w:rPr>
        <w:t xml:space="preserve">בשיטות משפט רבות מקובל לקבוע הסדר בעניין מי שבנה או נטע במקרקעי הזולת, לאחר שסבר כי בדין הוא עושה. גם בחוק המקרקעין הישראלי אומץ הסדר בעניין זה, שתכליתו איזון בין זכויותיו הקנייניות של בעל הקרקע, לבין התועלת והצדק שבהשארת המצב על כנו ומתן תוקף לחזקתו של המחזיק בקרקע. </w:t>
      </w:r>
    </w:p>
    <w:p w14:paraId="7F6961CB" w14:textId="344EBA59" w:rsidR="00E13C27" w:rsidRDefault="00443095" w:rsidP="000618C1">
      <w:pPr>
        <w:pStyle w:val="Hesber"/>
        <w:rPr>
          <w:rtl/>
        </w:rPr>
      </w:pPr>
      <w:r w:rsidRPr="000618C1">
        <w:rPr>
          <w:rFonts w:hint="cs"/>
          <w:rtl/>
        </w:rPr>
        <w:t xml:space="preserve"> </w:t>
      </w:r>
      <w:r w:rsidR="00BF3A3A" w:rsidRPr="000618C1">
        <w:rPr>
          <w:rFonts w:hint="cs"/>
          <w:rtl/>
        </w:rPr>
        <w:t xml:space="preserve">הצעת החוק </w:t>
      </w:r>
      <w:r w:rsidRPr="000618C1">
        <w:rPr>
          <w:rFonts w:hint="cs"/>
          <w:rtl/>
        </w:rPr>
        <w:t>מחיל</w:t>
      </w:r>
      <w:r w:rsidR="00BF3A3A" w:rsidRPr="000618C1">
        <w:rPr>
          <w:rFonts w:hint="cs"/>
          <w:rtl/>
        </w:rPr>
        <w:t>ה</w:t>
      </w:r>
      <w:r w:rsidRPr="000618C1">
        <w:rPr>
          <w:rFonts w:hint="cs"/>
          <w:rtl/>
        </w:rPr>
        <w:t xml:space="preserve"> על יהודה ושומרון הסדר דומה לזה שחל בתוך הקו הירוק, בכמה שינויים הנובעים מהמצב הנורמטיבי הייחודי החל ביהודה ושומרון. בין היתר, </w:t>
      </w:r>
      <w:r w:rsidR="00BF3A3A" w:rsidRPr="000618C1">
        <w:rPr>
          <w:rFonts w:hint="cs"/>
          <w:rtl/>
        </w:rPr>
        <w:t>הצעת החוק</w:t>
      </w:r>
      <w:r w:rsidRPr="000618C1">
        <w:rPr>
          <w:rFonts w:hint="cs"/>
          <w:rtl/>
        </w:rPr>
        <w:t xml:space="preserve"> אינ</w:t>
      </w:r>
      <w:r w:rsidR="00BF3A3A" w:rsidRPr="000618C1">
        <w:rPr>
          <w:rFonts w:hint="cs"/>
          <w:rtl/>
        </w:rPr>
        <w:t>ה</w:t>
      </w:r>
      <w:r w:rsidRPr="000618C1">
        <w:rPr>
          <w:rFonts w:hint="cs"/>
          <w:rtl/>
        </w:rPr>
        <w:t xml:space="preserve"> מבחי</w:t>
      </w:r>
      <w:r w:rsidR="00BF3A3A" w:rsidRPr="000618C1">
        <w:rPr>
          <w:rFonts w:hint="cs"/>
          <w:rtl/>
        </w:rPr>
        <w:t>נה</w:t>
      </w:r>
      <w:r w:rsidRPr="000618C1">
        <w:rPr>
          <w:rFonts w:hint="cs"/>
          <w:rtl/>
        </w:rPr>
        <w:t xml:space="preserve"> בין קרקע מוסדרת ל</w:t>
      </w:r>
      <w:r w:rsidR="00BF3A3A" w:rsidRPr="000618C1">
        <w:rPr>
          <w:rFonts w:hint="cs"/>
          <w:rtl/>
        </w:rPr>
        <w:t xml:space="preserve">בין </w:t>
      </w:r>
      <w:r w:rsidRPr="000618C1">
        <w:rPr>
          <w:rFonts w:hint="cs"/>
          <w:rtl/>
        </w:rPr>
        <w:t>קרקע לא מוסדרת, וזאת לאור הפער שבין מצב הסדרת המקרקעין ביהודה ושומרון לעומת זה שבתוך תחומי הקו הירוק</w:t>
      </w:r>
      <w:r w:rsidR="00BF3A3A" w:rsidRPr="000618C1">
        <w:rPr>
          <w:rFonts w:hint="cs"/>
          <w:rtl/>
        </w:rPr>
        <w:t>. בנוסף, יוצרת הצעת החוק</w:t>
      </w:r>
      <w:r w:rsidRPr="000618C1">
        <w:rPr>
          <w:rFonts w:hint="cs"/>
          <w:rtl/>
        </w:rPr>
        <w:t xml:space="preserve"> חזקת תום לב של המחזיק בקרקע, במידה </w:t>
      </w:r>
      <w:r w:rsidR="00BF3A3A" w:rsidRPr="000618C1">
        <w:rPr>
          <w:rFonts w:hint="cs"/>
          <w:rtl/>
        </w:rPr>
        <w:t>ש</w:t>
      </w:r>
      <w:r w:rsidRPr="000618C1">
        <w:rPr>
          <w:rFonts w:hint="cs"/>
          <w:rtl/>
        </w:rPr>
        <w:t>עשה זאת לאור עידוד או הסכמה של ממשלת ישראל.</w:t>
      </w:r>
    </w:p>
    <w:p w14:paraId="4875E079" w14:textId="02FB6A63" w:rsidR="004A1B6A" w:rsidRDefault="004A1B6A" w:rsidP="000618C1">
      <w:pPr>
        <w:pStyle w:val="Hesber"/>
        <w:rPr>
          <w:rtl/>
        </w:rPr>
      </w:pPr>
    </w:p>
    <w:p w14:paraId="190F8203" w14:textId="77777777" w:rsidR="004A1B6A" w:rsidRDefault="004A1B6A" w:rsidP="000618C1">
      <w:pPr>
        <w:pStyle w:val="Hesber"/>
        <w:rPr>
          <w:rtl/>
        </w:rPr>
      </w:pPr>
    </w:p>
    <w:p w14:paraId="0DC8FBBA" w14:textId="77777777" w:rsidR="004A1B6A" w:rsidRDefault="004A1B6A" w:rsidP="000618C1">
      <w:pPr>
        <w:pStyle w:val="Hesber"/>
        <w:rPr>
          <w:rtl/>
        </w:rPr>
      </w:pPr>
    </w:p>
    <w:p w14:paraId="1EB96760" w14:textId="77777777" w:rsidR="004A1B6A" w:rsidRDefault="004A1B6A" w:rsidP="000618C1">
      <w:pPr>
        <w:pStyle w:val="Hesber"/>
        <w:rPr>
          <w:rtl/>
        </w:rPr>
      </w:pPr>
      <w:bookmarkStart w:id="8" w:name="_GoBack"/>
      <w:bookmarkEnd w:id="8"/>
    </w:p>
    <w:p w14:paraId="7724AF02" w14:textId="77777777" w:rsidR="00D07DA0" w:rsidRPr="00557D2C" w:rsidRDefault="00D07DA0" w:rsidP="008D1E08">
      <w:pPr>
        <w:pStyle w:val="Hesber"/>
        <w:rPr>
          <w:rtl/>
        </w:rPr>
      </w:pPr>
      <w:r w:rsidRPr="00557D2C">
        <w:rPr>
          <w:rtl/>
        </w:rPr>
        <w:t>---------------------------------</w:t>
      </w:r>
    </w:p>
    <w:p w14:paraId="555AE0FA" w14:textId="77777777" w:rsidR="00D07DA0" w:rsidRPr="00557D2C" w:rsidRDefault="00D07DA0" w:rsidP="008D1E08">
      <w:pPr>
        <w:pStyle w:val="Hesber"/>
        <w:rPr>
          <w:rtl/>
        </w:rPr>
      </w:pPr>
      <w:r w:rsidRPr="00557D2C">
        <w:rPr>
          <w:rtl/>
        </w:rPr>
        <w:t>הוגשה ליו"ר הכנסת והסגנים</w:t>
      </w:r>
    </w:p>
    <w:p w14:paraId="1A75BD66" w14:textId="77777777" w:rsidR="00D07DA0" w:rsidRPr="00557D2C" w:rsidRDefault="00D07DA0" w:rsidP="008D1E08">
      <w:pPr>
        <w:pStyle w:val="Hesber"/>
        <w:rPr>
          <w:rtl/>
        </w:rPr>
      </w:pPr>
      <w:r w:rsidRPr="00557D2C">
        <w:rPr>
          <w:rtl/>
        </w:rPr>
        <w:t>והונחה על שולחן הכנסת ביום</w:t>
      </w:r>
    </w:p>
    <w:p w14:paraId="0801B1EE" w14:textId="558257FA" w:rsidR="00D07DA0" w:rsidRPr="000618C1" w:rsidRDefault="00D07DA0" w:rsidP="00D07DA0">
      <w:pPr>
        <w:pStyle w:val="Hesber"/>
        <w:rPr>
          <w:rtl/>
        </w:rPr>
      </w:pPr>
      <w:r>
        <w:rPr>
          <w:rFonts w:hint="cs"/>
          <w:rtl/>
        </w:rPr>
        <w:t>י"ג</w:t>
      </w:r>
      <w:r w:rsidRPr="00557D2C">
        <w:rPr>
          <w:rFonts w:hint="cs"/>
          <w:rtl/>
        </w:rPr>
        <w:t xml:space="preserve"> </w:t>
      </w:r>
      <w:r>
        <w:rPr>
          <w:rFonts w:hint="cs"/>
          <w:rtl/>
        </w:rPr>
        <w:t xml:space="preserve">באב </w:t>
      </w:r>
      <w:r w:rsidRPr="00557D2C">
        <w:rPr>
          <w:rFonts w:hint="cs"/>
          <w:rtl/>
        </w:rPr>
        <w:t xml:space="preserve">התשע"ה </w:t>
      </w:r>
      <w:r w:rsidRPr="00557D2C">
        <w:rPr>
          <w:rtl/>
        </w:rPr>
        <w:t>–</w:t>
      </w:r>
      <w:r>
        <w:rPr>
          <w:rFonts w:hint="cs"/>
          <w:rtl/>
        </w:rPr>
        <w:t xml:space="preserve"> 29.7.15</w:t>
      </w:r>
    </w:p>
    <w:sectPr w:rsidR="00D07DA0" w:rsidRPr="000618C1"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88A69" w14:textId="77777777" w:rsidR="00A942C1" w:rsidRDefault="00A942C1">
      <w:r>
        <w:separator/>
      </w:r>
    </w:p>
  </w:endnote>
  <w:endnote w:type="continuationSeparator" w:id="0">
    <w:p w14:paraId="318F26FB" w14:textId="77777777" w:rsidR="00A942C1" w:rsidRDefault="00A942C1">
      <w:r>
        <w:continuationSeparator/>
      </w:r>
    </w:p>
  </w:endnote>
  <w:endnote w:type="continuationNotice" w:id="1">
    <w:p w14:paraId="6BE48FD5" w14:textId="77777777" w:rsidR="00A942C1" w:rsidRDefault="00A942C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4A1B6A">
      <w:rPr>
        <w:rStyle w:val="ab"/>
        <w:noProof/>
        <w:rtl/>
      </w:rPr>
      <w:t>3</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7B9F2" w14:textId="77777777" w:rsidR="00A942C1" w:rsidRDefault="00A942C1">
      <w:r>
        <w:separator/>
      </w:r>
    </w:p>
  </w:footnote>
  <w:footnote w:type="continuationSeparator" w:id="0">
    <w:p w14:paraId="3DB92342" w14:textId="77777777" w:rsidR="00A942C1" w:rsidRDefault="00A942C1">
      <w:r>
        <w:continuationSeparator/>
      </w:r>
    </w:p>
  </w:footnote>
  <w:footnote w:type="continuationNotice" w:id="1">
    <w:p w14:paraId="16009878" w14:textId="77777777" w:rsidR="00A942C1" w:rsidRDefault="00A942C1"/>
  </w:footnote>
  <w:footnote w:id="2">
    <w:p w14:paraId="5CCD88B1" w14:textId="30399279" w:rsidR="000C6D6C" w:rsidRDefault="000C6D6C">
      <w:pPr>
        <w:pStyle w:val="a4"/>
        <w:rPr>
          <w:rtl/>
        </w:rPr>
      </w:pPr>
      <w:r>
        <w:rPr>
          <w:rStyle w:val="a6"/>
        </w:rPr>
        <w:footnoteRef/>
      </w:r>
      <w:r>
        <w:rPr>
          <w:rtl/>
        </w:rPr>
        <w:t xml:space="preserve"> </w:t>
      </w:r>
      <w:r>
        <w:rPr>
          <w:rFonts w:hint="cs"/>
          <w:rtl/>
        </w:rPr>
        <w:t>ס"ח התשס"ז, עמ' 364.</w:t>
      </w:r>
    </w:p>
  </w:footnote>
  <w:footnote w:id="3">
    <w:p w14:paraId="2E84FEF7" w14:textId="25BD0A6F" w:rsidR="000C6D6C" w:rsidRDefault="000C6D6C">
      <w:pPr>
        <w:pStyle w:val="a4"/>
        <w:rPr>
          <w:rtl/>
        </w:rPr>
      </w:pPr>
      <w:r>
        <w:rPr>
          <w:rStyle w:val="a6"/>
        </w:rPr>
        <w:footnoteRef/>
      </w:r>
      <w:r>
        <w:rPr>
          <w:rtl/>
        </w:rPr>
        <w:t xml:space="preserve"> </w:t>
      </w:r>
      <w:r>
        <w:rPr>
          <w:rFonts w:hint="cs"/>
          <w:rtl/>
        </w:rPr>
        <w:t>קובץ המנשרים מס' 1, 1967, עמ'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FFFFFF7D"/>
    <w:multiLevelType w:val="singleLevel"/>
    <w:tmpl w:val="7D5CAEA8"/>
    <w:lvl w:ilvl="0">
      <w:start w:val="1"/>
      <w:numFmt w:val="decimal"/>
      <w:lvlText w:val="%1."/>
      <w:lvlJc w:val="left"/>
      <w:pPr>
        <w:tabs>
          <w:tab w:val="num" w:pos="1209"/>
        </w:tabs>
        <w:ind w:left="1209" w:hanging="360"/>
      </w:pPr>
    </w:lvl>
  </w:abstractNum>
  <w:abstractNum w:abstractNumId="2">
    <w:nsid w:val="FFFFFF7E"/>
    <w:multiLevelType w:val="singleLevel"/>
    <w:tmpl w:val="67E88A74"/>
    <w:lvl w:ilvl="0">
      <w:start w:val="1"/>
      <w:numFmt w:val="decimal"/>
      <w:lvlText w:val="%1."/>
      <w:lvlJc w:val="left"/>
      <w:pPr>
        <w:tabs>
          <w:tab w:val="num" w:pos="926"/>
        </w:tabs>
        <w:ind w:left="926" w:hanging="360"/>
      </w:pPr>
    </w:lvl>
  </w:abstractNum>
  <w:abstractNum w:abstractNumId="3">
    <w:nsid w:val="FFFFFF7F"/>
    <w:multiLevelType w:val="singleLevel"/>
    <w:tmpl w:val="45DA1EB8"/>
    <w:lvl w:ilvl="0">
      <w:start w:val="1"/>
      <w:numFmt w:val="decimal"/>
      <w:lvlText w:val="%1."/>
      <w:lvlJc w:val="left"/>
      <w:pPr>
        <w:tabs>
          <w:tab w:val="num" w:pos="643"/>
        </w:tabs>
        <w:ind w:left="643" w:hanging="360"/>
      </w:p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EF30AFA"/>
    <w:multiLevelType w:val="hybridMultilevel"/>
    <w:tmpl w:val="EC54E5C8"/>
    <w:lvl w:ilvl="0" w:tplc="84CCF0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0"/>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18C1"/>
    <w:rsid w:val="00063A3E"/>
    <w:rsid w:val="00072CAC"/>
    <w:rsid w:val="0007681A"/>
    <w:rsid w:val="000A542E"/>
    <w:rsid w:val="000C6D6C"/>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43095"/>
    <w:rsid w:val="004A06DC"/>
    <w:rsid w:val="004A1B6A"/>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1E27"/>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00EDE"/>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BF3A3A"/>
    <w:rsid w:val="00C23B1A"/>
    <w:rsid w:val="00C310EB"/>
    <w:rsid w:val="00C9176A"/>
    <w:rsid w:val="00CF1AA2"/>
    <w:rsid w:val="00D07DA0"/>
    <w:rsid w:val="00D17774"/>
    <w:rsid w:val="00D63620"/>
    <w:rsid w:val="00D8410D"/>
    <w:rsid w:val="00D867D7"/>
    <w:rsid w:val="00DB7060"/>
    <w:rsid w:val="00DE3153"/>
    <w:rsid w:val="00E06736"/>
    <w:rsid w:val="00E13C27"/>
    <w:rsid w:val="00E27541"/>
    <w:rsid w:val="00E33BBD"/>
    <w:rsid w:val="00E374F2"/>
    <w:rsid w:val="00E45103"/>
    <w:rsid w:val="00E55A60"/>
    <w:rsid w:val="00E62778"/>
    <w:rsid w:val="00E63D38"/>
    <w:rsid w:val="00E665B9"/>
    <w:rsid w:val="00EA01E6"/>
    <w:rsid w:val="00EA3DE8"/>
    <w:rsid w:val="00EA758F"/>
    <w:rsid w:val="00ED4A6F"/>
    <w:rsid w:val="00EF3A3A"/>
    <w:rsid w:val="00F628D6"/>
    <w:rsid w:val="00F67051"/>
    <w:rsid w:val="00F86A1E"/>
    <w:rsid w:val="00FA5E88"/>
    <w:rsid w:val="00FF01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B4859470-F6FB-4EDE-8C4C-4A1BB8603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8C1"/>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0618C1"/>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0618C1"/>
    <w:rPr>
      <w:sz w:val="36"/>
      <w:szCs w:val="52"/>
    </w:rPr>
  </w:style>
  <w:style w:type="paragraph" w:customStyle="1" w:styleId="Cover3-Haknesset">
    <w:name w:val="Cover 3-Haknesset"/>
    <w:basedOn w:val="Cover1-Reshumot"/>
    <w:rsid w:val="000618C1"/>
    <w:rPr>
      <w:b/>
      <w:bCs/>
      <w:spacing w:val="60"/>
    </w:rPr>
  </w:style>
  <w:style w:type="paragraph" w:customStyle="1" w:styleId="Cover4-Date">
    <w:name w:val="Cover 4-Date"/>
    <w:basedOn w:val="a"/>
    <w:rsid w:val="000618C1"/>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0618C1"/>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0618C1"/>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0618C1"/>
    <w:pPr>
      <w:spacing w:before="120" w:after="120"/>
    </w:pPr>
    <w:rPr>
      <w:color w:val="FF0000"/>
      <w:w w:val="80"/>
    </w:rPr>
  </w:style>
  <w:style w:type="paragraph" w:styleId="a3">
    <w:name w:val="endnote text"/>
    <w:basedOn w:val="a"/>
    <w:semiHidden/>
    <w:rsid w:val="000618C1"/>
    <w:pPr>
      <w:ind w:left="227" w:hanging="227"/>
    </w:pPr>
    <w:rPr>
      <w:sz w:val="14"/>
      <w:szCs w:val="22"/>
    </w:rPr>
  </w:style>
  <w:style w:type="paragraph" w:customStyle="1" w:styleId="TableText">
    <w:name w:val="Table Text"/>
    <w:basedOn w:val="a"/>
    <w:rsid w:val="000618C1"/>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0618C1"/>
  </w:style>
  <w:style w:type="paragraph" w:customStyle="1" w:styleId="TableBlock">
    <w:name w:val="Table Block"/>
    <w:basedOn w:val="TableText"/>
    <w:rsid w:val="000618C1"/>
    <w:pPr>
      <w:ind w:right="0"/>
      <w:jc w:val="both"/>
    </w:pPr>
  </w:style>
  <w:style w:type="paragraph" w:customStyle="1" w:styleId="TableHead">
    <w:name w:val="Table Head"/>
    <w:basedOn w:val="TableText"/>
    <w:rsid w:val="000618C1"/>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0618C1"/>
  </w:style>
  <w:style w:type="paragraph" w:customStyle="1" w:styleId="Hesber">
    <w:name w:val="Hesber"/>
    <w:basedOn w:val="a"/>
    <w:rsid w:val="000618C1"/>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rsid w:val="000618C1"/>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rsid w:val="000618C1"/>
    <w:rPr>
      <w:vertAlign w:val="superscript"/>
    </w:rPr>
  </w:style>
  <w:style w:type="paragraph" w:customStyle="1" w:styleId="HesberHeading">
    <w:name w:val="Hesber Heading"/>
    <w:basedOn w:val="Hesber"/>
    <w:rsid w:val="000618C1"/>
    <w:pPr>
      <w:tabs>
        <w:tab w:val="left" w:pos="624"/>
        <w:tab w:val="left" w:pos="1247"/>
      </w:tabs>
      <w:ind w:firstLine="0"/>
    </w:pPr>
    <w:rPr>
      <w:b/>
      <w:bCs/>
    </w:rPr>
  </w:style>
  <w:style w:type="paragraph" w:customStyle="1" w:styleId="HesberWriters">
    <w:name w:val="Hesber Writers"/>
    <w:basedOn w:val="Hesber"/>
    <w:rsid w:val="000618C1"/>
    <w:pPr>
      <w:spacing w:before="120" w:after="6000"/>
      <w:ind w:left="1418" w:firstLine="0"/>
      <w:jc w:val="right"/>
    </w:pPr>
    <w:rPr>
      <w:b/>
      <w:bCs/>
    </w:rPr>
  </w:style>
  <w:style w:type="paragraph" w:customStyle="1" w:styleId="Hesber1st">
    <w:name w:val="Hesber 1st"/>
    <w:basedOn w:val="Hesber"/>
    <w:rsid w:val="000618C1"/>
    <w:pPr>
      <w:tabs>
        <w:tab w:val="left" w:pos="680"/>
        <w:tab w:val="left" w:pos="1020"/>
      </w:tabs>
      <w:ind w:firstLine="0"/>
    </w:pPr>
  </w:style>
  <w:style w:type="character" w:styleId="a7">
    <w:name w:val="endnote reference"/>
    <w:basedOn w:val="a0"/>
    <w:semiHidden/>
    <w:rsid w:val="000618C1"/>
    <w:rPr>
      <w:vertAlign w:val="superscript"/>
    </w:rPr>
  </w:style>
  <w:style w:type="paragraph" w:customStyle="1" w:styleId="TableBlockOutdent">
    <w:name w:val="Table BlockOutdent"/>
    <w:basedOn w:val="TableBlock"/>
    <w:rsid w:val="000618C1"/>
    <w:pPr>
      <w:ind w:left="624" w:hanging="624"/>
    </w:pPr>
  </w:style>
  <w:style w:type="paragraph" w:styleId="a8">
    <w:name w:val="header"/>
    <w:basedOn w:val="a"/>
    <w:rsid w:val="000618C1"/>
    <w:pPr>
      <w:tabs>
        <w:tab w:val="center" w:pos="4153"/>
        <w:tab w:val="right" w:pos="8306"/>
      </w:tabs>
    </w:pPr>
  </w:style>
  <w:style w:type="paragraph" w:styleId="a9">
    <w:name w:val="footer"/>
    <w:basedOn w:val="a"/>
    <w:rsid w:val="000618C1"/>
    <w:pPr>
      <w:tabs>
        <w:tab w:val="center" w:pos="4153"/>
        <w:tab w:val="right" w:pos="8306"/>
      </w:tabs>
    </w:pPr>
  </w:style>
  <w:style w:type="paragraph" w:customStyle="1" w:styleId="HeadDivreiHesber">
    <w:name w:val="Head DivreiHesber"/>
    <w:basedOn w:val="a"/>
    <w:rsid w:val="000618C1"/>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0618C1"/>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0618C1"/>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link w:val="a4"/>
    <w:rsid w:val="00443095"/>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www.w3.org/XML/1998/namespace"/>
    <ds:schemaRef ds:uri="http://purl.org/dc/term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8027E861-E4CE-4F7E-8B65-6BDD431BF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1620F15-9987-4883-A49E-333C821ED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767</Words>
  <Characters>3840</Characters>
  <Application>Microsoft Office Word</Application>
  <DocSecurity>0</DocSecurity>
  <Lines>32</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4598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10</cp:revision>
  <cp:lastPrinted>2015-07-27T10:56:00Z</cp:lastPrinted>
  <dcterms:created xsi:type="dcterms:W3CDTF">2015-04-20T09:58:00Z</dcterms:created>
  <dcterms:modified xsi:type="dcterms:W3CDTF">2015-07-27T10:57:00Z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566779</vt:r8>
  </property>
</Properties>
</file>