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C5641" w14:textId="77777777" w:rsidR="00D3202C" w:rsidRDefault="00D3202C" w:rsidP="00D3202C">
      <w:pPr>
        <w:pStyle w:val="HeadHatzaotHok"/>
        <w:jc w:val="right"/>
        <w:rPr>
          <w:b w:val="0"/>
          <w:bCs w:val="0"/>
          <w:szCs w:val="20"/>
        </w:rPr>
      </w:pPr>
      <w:r>
        <w:rPr>
          <w:rFonts w:hint="cs"/>
          <w:b w:val="0"/>
          <w:bCs w:val="0"/>
          <w:szCs w:val="20"/>
          <w:rtl/>
        </w:rPr>
        <w:t xml:space="preserve">מספר פנימי: </w:t>
      </w:r>
      <w:bookmarkStart w:id="0" w:name="LGS_Internal_ID"/>
      <w:r>
        <w:rPr>
          <w:rFonts w:hint="cs"/>
          <w:b w:val="0"/>
          <w:bCs w:val="0"/>
          <w:szCs w:val="20"/>
          <w:rtl/>
        </w:rPr>
        <w:t>567834</w:t>
      </w:r>
      <w:bookmarkEnd w:id="0"/>
    </w:p>
    <w:p w14:paraId="6475F8D1" w14:textId="77777777" w:rsidR="00D3202C" w:rsidRDefault="00D3202C" w:rsidP="00D3202C">
      <w:pPr>
        <w:pStyle w:val="HeadHatzaotHok"/>
        <w:rPr>
          <w:sz w:val="28"/>
          <w:szCs w:val="28"/>
        </w:rPr>
      </w:pPr>
      <w:r>
        <w:rPr>
          <w:rFonts w:hint="cs"/>
          <w:sz w:val="28"/>
          <w:szCs w:val="28"/>
          <w:rtl/>
        </w:rPr>
        <w:t xml:space="preserve">הכנסת </w:t>
      </w:r>
      <w:bookmarkStart w:id="1" w:name="LGS_Knesset_Num"/>
      <w:r>
        <w:rPr>
          <w:rFonts w:hint="cs"/>
          <w:sz w:val="28"/>
          <w:szCs w:val="28"/>
          <w:rtl/>
        </w:rPr>
        <w:t>העשרים</w:t>
      </w:r>
      <w:bookmarkEnd w:id="1"/>
    </w:p>
    <w:p w14:paraId="1CD757D9" w14:textId="77777777" w:rsidR="00D3202C" w:rsidRDefault="00D3202C" w:rsidP="00D3202C">
      <w:pPr>
        <w:rPr>
          <w:rFonts w:cs="David"/>
          <w:b/>
          <w:bCs/>
          <w:sz w:val="26"/>
          <w:szCs w:val="26"/>
          <w:rtl/>
        </w:rPr>
      </w:pPr>
    </w:p>
    <w:p w14:paraId="0C51E538" w14:textId="77777777" w:rsidR="00D3202C" w:rsidRDefault="00D3202C" w:rsidP="00D3202C">
      <w:pPr>
        <w:pStyle w:val="David"/>
        <w:spacing w:line="360" w:lineRule="auto"/>
        <w:ind w:left="3544"/>
        <w:rPr>
          <w:b/>
          <w:bCs/>
          <w:rtl/>
        </w:rPr>
      </w:pPr>
      <w:bookmarkStart w:id="2" w:name="LGS_Initiators_List"/>
      <w:r>
        <w:rPr>
          <w:rFonts w:hint="cs"/>
          <w:b/>
          <w:bCs/>
          <w:rtl/>
        </w:rPr>
        <w:t>יוזם:</w:t>
      </w:r>
      <w:r>
        <w:tab/>
      </w:r>
      <w:r>
        <w:rPr>
          <w:rFonts w:hint="cs"/>
          <w:b/>
          <w:bCs/>
          <w:rtl/>
        </w:rPr>
        <w:t xml:space="preserve">      חבר הכנסת</w:t>
      </w:r>
      <w:bookmarkEnd w:id="2"/>
      <w:r>
        <w:rPr>
          <w:b/>
          <w:bCs/>
        </w:rPr>
        <w:tab/>
      </w:r>
      <w:bookmarkStart w:id="3" w:name="LGS_PM_Names"/>
      <w:r>
        <w:rPr>
          <w:rFonts w:hint="cs"/>
          <w:b/>
          <w:bCs/>
          <w:rtl/>
        </w:rPr>
        <w:t>ינון מגל</w:t>
      </w:r>
      <w:bookmarkEnd w:id="3"/>
    </w:p>
    <w:p w14:paraId="3CD35076" w14:textId="77777777" w:rsidR="00D3202C" w:rsidRDefault="00D3202C" w:rsidP="00D3202C">
      <w:pPr>
        <w:pStyle w:val="David"/>
        <w:spacing w:before="0" w:line="360" w:lineRule="auto"/>
        <w:ind w:left="3544"/>
        <w:rPr>
          <w:b/>
          <w:bCs/>
          <w:sz w:val="16"/>
          <w:szCs w:val="16"/>
          <w:rtl/>
        </w:rPr>
      </w:pPr>
      <w:bookmarkStart w:id="4" w:name="LGS_Join_List"/>
      <w:r>
        <w:rPr>
          <w:rFonts w:hint="cs"/>
          <w:rtl/>
        </w:rPr>
        <w:t xml:space="preserve"> </w:t>
      </w:r>
      <w:bookmarkEnd w:id="4"/>
      <w:r>
        <w:rPr>
          <w:rFonts w:hint="cs"/>
          <w:rtl/>
        </w:rPr>
        <w:tab/>
      </w:r>
      <w:bookmarkStart w:id="5" w:name="LGS_PM_NamesJoin"/>
      <w:r>
        <w:rPr>
          <w:rFonts w:hint="cs"/>
          <w:rtl/>
        </w:rPr>
        <w:t xml:space="preserve"> </w:t>
      </w:r>
      <w:bookmarkEnd w:id="5"/>
    </w:p>
    <w:p w14:paraId="11C2A4C6" w14:textId="77777777" w:rsidR="00D3202C" w:rsidRDefault="00D3202C" w:rsidP="005B035C">
      <w:pPr>
        <w:pStyle w:val="David"/>
        <w:spacing w:before="0" w:line="240" w:lineRule="auto"/>
        <w:ind w:left="3544"/>
        <w:rPr>
          <w:sz w:val="4"/>
          <w:szCs w:val="4"/>
          <w:rtl/>
        </w:rPr>
      </w:pPr>
      <w:r>
        <w:t>______________________________________________</w:t>
      </w:r>
      <w:r>
        <w:tab/>
      </w:r>
      <w:r>
        <w:rPr>
          <w:rFonts w:hint="cs"/>
          <w:rtl/>
        </w:rPr>
        <w:tab/>
      </w:r>
      <w:r>
        <w:rPr>
          <w:rFonts w:hint="cs"/>
          <w:rtl/>
        </w:rPr>
        <w:tab/>
      </w:r>
      <w:r>
        <w:rPr>
          <w:rFonts w:hint="cs"/>
          <w:rtl/>
        </w:rPr>
        <w:tab/>
      </w:r>
      <w:r>
        <w:t xml:space="preserve">           </w:t>
      </w:r>
    </w:p>
    <w:p w14:paraId="14E53169" w14:textId="02FC4405" w:rsidR="005B035C" w:rsidRPr="005B035C" w:rsidRDefault="005B035C" w:rsidP="005B035C">
      <w:pPr>
        <w:pStyle w:val="HeadHatzaotHok"/>
        <w:spacing w:line="240" w:lineRule="auto"/>
        <w:ind w:left="3600" w:firstLine="720"/>
        <w:rPr>
          <w:b w:val="0"/>
          <w:bCs w:val="0"/>
          <w:rtl/>
        </w:rPr>
      </w:pPr>
      <w:bookmarkStart w:id="6" w:name="LGS_Subject"/>
      <w:r w:rsidRPr="005B035C">
        <w:rPr>
          <w:rFonts w:hint="cs"/>
          <w:b w:val="0"/>
          <w:bCs w:val="0"/>
          <w:rtl/>
        </w:rPr>
        <w:t>פ/1990/20</w:t>
      </w:r>
    </w:p>
    <w:p w14:paraId="7337F49A" w14:textId="77777777" w:rsidR="00D3202C" w:rsidRDefault="00D3202C" w:rsidP="00D3202C">
      <w:pPr>
        <w:pStyle w:val="HeadHatzaotHok"/>
        <w:rPr>
          <w:rtl/>
        </w:rPr>
      </w:pPr>
      <w:r>
        <w:rPr>
          <w:rFonts w:hint="cs"/>
          <w:rtl/>
        </w:rPr>
        <w:t>הצעת חוק-יסוד: ישראל – מדינת הלאום של העם היהודי</w:t>
      </w:r>
      <w:bookmarkEnd w:id="6"/>
    </w:p>
    <w:p w14:paraId="44AFAC62" w14:textId="77777777" w:rsidR="00D3202C" w:rsidRDefault="00D3202C" w:rsidP="00D3202C">
      <w:pPr>
        <w:pStyle w:val="HeadDivreiHesber"/>
        <w:spacing w:before="0" w:after="0"/>
        <w:rPr>
          <w:rtl/>
        </w:rPr>
      </w:pPr>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3"/>
        <w:gridCol w:w="624"/>
        <w:gridCol w:w="7148"/>
      </w:tblGrid>
      <w:tr w:rsidR="00D3202C" w14:paraId="04957B46" w14:textId="77777777" w:rsidTr="00D3202C">
        <w:trPr>
          <w:cantSplit/>
        </w:trPr>
        <w:tc>
          <w:tcPr>
            <w:tcW w:w="1871" w:type="dxa"/>
            <w:hideMark/>
          </w:tcPr>
          <w:p w14:paraId="22750FEF" w14:textId="77777777" w:rsidR="00D3202C" w:rsidRDefault="00D3202C">
            <w:pPr>
              <w:pStyle w:val="TableSideHeading"/>
              <w:keepLines w:val="0"/>
              <w:rPr>
                <w:rtl/>
              </w:rPr>
            </w:pPr>
            <w:r>
              <w:rPr>
                <w:rFonts w:hint="cs"/>
                <w:rtl/>
              </w:rPr>
              <w:t>מדינה יהודית</w:t>
            </w:r>
          </w:p>
        </w:tc>
        <w:tc>
          <w:tcPr>
            <w:tcW w:w="624" w:type="dxa"/>
            <w:hideMark/>
          </w:tcPr>
          <w:p w14:paraId="7FF0FF9D" w14:textId="77777777" w:rsidR="00D3202C" w:rsidRDefault="00D3202C">
            <w:pPr>
              <w:pStyle w:val="TableText"/>
              <w:keepLines w:val="0"/>
            </w:pPr>
            <w:r>
              <w:rPr>
                <w:rFonts w:hint="cs"/>
                <w:rtl/>
              </w:rPr>
              <w:t>1.</w:t>
            </w:r>
          </w:p>
        </w:tc>
        <w:tc>
          <w:tcPr>
            <w:tcW w:w="7143" w:type="dxa"/>
            <w:hideMark/>
          </w:tcPr>
          <w:p w14:paraId="5B8B284A" w14:textId="77777777" w:rsidR="00D3202C" w:rsidRDefault="00D3202C">
            <w:pPr>
              <w:pStyle w:val="TableBlock"/>
            </w:pPr>
            <w:r>
              <w:rPr>
                <w:rFonts w:hint="cs"/>
                <w:rtl/>
              </w:rPr>
              <w:t>(א)</w:t>
            </w:r>
            <w:r>
              <w:rPr>
                <w:rFonts w:hint="cs"/>
                <w:rtl/>
              </w:rPr>
              <w:tab/>
              <w:t>מדינת ישראל היא הבית הלאומי של העם היהודי בו הוא מממש את שאיפתו להגדרה עצמית על פי מורשתו התרבותית וההיסטורית.</w:t>
            </w:r>
          </w:p>
        </w:tc>
      </w:tr>
      <w:tr w:rsidR="00D3202C" w14:paraId="2EEDC727" w14:textId="77777777" w:rsidTr="00D3202C">
        <w:trPr>
          <w:cantSplit/>
        </w:trPr>
        <w:tc>
          <w:tcPr>
            <w:tcW w:w="1871" w:type="dxa"/>
          </w:tcPr>
          <w:p w14:paraId="75A6DE7B" w14:textId="77777777" w:rsidR="00D3202C" w:rsidRDefault="00D3202C">
            <w:pPr>
              <w:pStyle w:val="TableSideHeading"/>
              <w:keepLines w:val="0"/>
            </w:pPr>
          </w:p>
        </w:tc>
        <w:tc>
          <w:tcPr>
            <w:tcW w:w="624" w:type="dxa"/>
          </w:tcPr>
          <w:p w14:paraId="1DB1FB6A" w14:textId="77777777" w:rsidR="00D3202C" w:rsidRDefault="00D3202C">
            <w:pPr>
              <w:pStyle w:val="TableText"/>
              <w:rPr>
                <w:rtl/>
              </w:rPr>
            </w:pPr>
          </w:p>
        </w:tc>
        <w:tc>
          <w:tcPr>
            <w:tcW w:w="7143" w:type="dxa"/>
            <w:hideMark/>
          </w:tcPr>
          <w:p w14:paraId="5006C62F" w14:textId="77777777" w:rsidR="00D3202C" w:rsidRDefault="00D3202C">
            <w:pPr>
              <w:pStyle w:val="TableBlock"/>
            </w:pPr>
            <w:r>
              <w:rPr>
                <w:rFonts w:hint="cs"/>
                <w:rtl/>
              </w:rPr>
              <w:t>(ב)</w:t>
            </w:r>
            <w:r>
              <w:rPr>
                <w:rFonts w:hint="cs"/>
                <w:rtl/>
              </w:rPr>
              <w:tab/>
              <w:t>הזכות למימוש ההגדרה העצמית הלאומית במדינת ישראל ייחודית לעם היהודי.</w:t>
            </w:r>
          </w:p>
        </w:tc>
      </w:tr>
      <w:tr w:rsidR="00D3202C" w14:paraId="51F590CE" w14:textId="77777777" w:rsidTr="00D3202C">
        <w:trPr>
          <w:cantSplit/>
        </w:trPr>
        <w:tc>
          <w:tcPr>
            <w:tcW w:w="1871" w:type="dxa"/>
          </w:tcPr>
          <w:p w14:paraId="72FDE0FB" w14:textId="77777777" w:rsidR="00D3202C" w:rsidRDefault="00D3202C">
            <w:pPr>
              <w:pStyle w:val="TableSideHeading"/>
              <w:keepLines w:val="0"/>
              <w:rPr>
                <w:rtl/>
              </w:rPr>
            </w:pPr>
          </w:p>
        </w:tc>
        <w:tc>
          <w:tcPr>
            <w:tcW w:w="624" w:type="dxa"/>
          </w:tcPr>
          <w:p w14:paraId="10ACF7C5" w14:textId="77777777" w:rsidR="00D3202C" w:rsidRDefault="00D3202C">
            <w:pPr>
              <w:pStyle w:val="TableText"/>
              <w:rPr>
                <w:rtl/>
              </w:rPr>
            </w:pPr>
          </w:p>
        </w:tc>
        <w:tc>
          <w:tcPr>
            <w:tcW w:w="7143" w:type="dxa"/>
            <w:hideMark/>
          </w:tcPr>
          <w:p w14:paraId="56A9FA56" w14:textId="77777777" w:rsidR="00D3202C" w:rsidRDefault="00D3202C">
            <w:pPr>
              <w:pStyle w:val="TableBlock"/>
            </w:pPr>
            <w:r>
              <w:rPr>
                <w:rFonts w:hint="cs"/>
                <w:rtl/>
              </w:rPr>
              <w:t>(ג)</w:t>
            </w:r>
            <w:r>
              <w:rPr>
                <w:rFonts w:hint="cs"/>
                <w:rtl/>
              </w:rPr>
              <w:tab/>
              <w:t>ארץ ישראל היא מולדתו ההיסטורית של העם היהודי ומקום כינונה של מדינת ישראל.</w:t>
            </w:r>
          </w:p>
        </w:tc>
      </w:tr>
      <w:tr w:rsidR="00D3202C" w14:paraId="53F2EB54" w14:textId="77777777" w:rsidTr="00D3202C">
        <w:trPr>
          <w:cantSplit/>
        </w:trPr>
        <w:tc>
          <w:tcPr>
            <w:tcW w:w="1871" w:type="dxa"/>
            <w:hideMark/>
          </w:tcPr>
          <w:p w14:paraId="54C10753" w14:textId="77777777" w:rsidR="00D3202C" w:rsidRDefault="00D3202C">
            <w:pPr>
              <w:pStyle w:val="TableSideHeading"/>
              <w:keepLines w:val="0"/>
              <w:rPr>
                <w:rtl/>
              </w:rPr>
            </w:pPr>
            <w:r>
              <w:rPr>
                <w:rFonts w:hint="cs"/>
                <w:rtl/>
              </w:rPr>
              <w:t>מטרה</w:t>
            </w:r>
          </w:p>
        </w:tc>
        <w:tc>
          <w:tcPr>
            <w:tcW w:w="624" w:type="dxa"/>
            <w:hideMark/>
          </w:tcPr>
          <w:p w14:paraId="0C42E8DA" w14:textId="77777777" w:rsidR="00D3202C" w:rsidRDefault="00D3202C">
            <w:pPr>
              <w:pStyle w:val="TableText"/>
              <w:keepLines w:val="0"/>
              <w:rPr>
                <w:rtl/>
              </w:rPr>
            </w:pPr>
            <w:r>
              <w:rPr>
                <w:rFonts w:hint="cs"/>
                <w:rtl/>
              </w:rPr>
              <w:t>2.</w:t>
            </w:r>
          </w:p>
        </w:tc>
        <w:tc>
          <w:tcPr>
            <w:tcW w:w="7143" w:type="dxa"/>
            <w:hideMark/>
          </w:tcPr>
          <w:p w14:paraId="7DEBA3AC" w14:textId="77777777" w:rsidR="00D3202C" w:rsidRDefault="00D3202C">
            <w:pPr>
              <w:pStyle w:val="TableBlock"/>
            </w:pPr>
            <w:r>
              <w:rPr>
                <w:rFonts w:hint="cs"/>
                <w:rtl/>
              </w:rPr>
              <w:t>חוק-יסוד זה, מטרתו להגדיר את זהותה של מדינת ישראל כמדינת הלאום של העם היהודי, כדי לעגן בחוק-יסוד ערכים אלו ברוח העקרונות שבהכרזה על מדינת ישראל.</w:t>
            </w:r>
          </w:p>
        </w:tc>
      </w:tr>
      <w:tr w:rsidR="00D3202C" w14:paraId="2A71BE63" w14:textId="77777777" w:rsidTr="00D3202C">
        <w:trPr>
          <w:cantSplit/>
        </w:trPr>
        <w:tc>
          <w:tcPr>
            <w:tcW w:w="1871" w:type="dxa"/>
            <w:hideMark/>
          </w:tcPr>
          <w:p w14:paraId="293ADA72" w14:textId="77777777" w:rsidR="00D3202C" w:rsidRDefault="00D3202C">
            <w:pPr>
              <w:pStyle w:val="TableSideHeading"/>
              <w:keepLines w:val="0"/>
            </w:pPr>
            <w:r>
              <w:rPr>
                <w:rFonts w:hint="cs"/>
                <w:rtl/>
              </w:rPr>
              <w:t>מדינה דמוקרטית</w:t>
            </w:r>
          </w:p>
        </w:tc>
        <w:tc>
          <w:tcPr>
            <w:tcW w:w="624" w:type="dxa"/>
            <w:hideMark/>
          </w:tcPr>
          <w:p w14:paraId="51DB1497" w14:textId="77777777" w:rsidR="00D3202C" w:rsidRDefault="00D3202C">
            <w:pPr>
              <w:pStyle w:val="TableText"/>
              <w:keepLines w:val="0"/>
              <w:rPr>
                <w:rtl/>
              </w:rPr>
            </w:pPr>
            <w:r>
              <w:rPr>
                <w:rFonts w:hint="cs"/>
                <w:rtl/>
              </w:rPr>
              <w:t>3.</w:t>
            </w:r>
          </w:p>
        </w:tc>
        <w:tc>
          <w:tcPr>
            <w:tcW w:w="7143" w:type="dxa"/>
            <w:hideMark/>
          </w:tcPr>
          <w:p w14:paraId="5CB1C224" w14:textId="77777777" w:rsidR="00D3202C" w:rsidRDefault="00D3202C">
            <w:pPr>
              <w:pStyle w:val="TableBlock"/>
              <w:rPr>
                <w:rtl/>
              </w:rPr>
            </w:pPr>
            <w:r>
              <w:rPr>
                <w:rFonts w:hint="cs"/>
                <w:rtl/>
              </w:rPr>
              <w:t>(א)</w:t>
            </w:r>
            <w:r>
              <w:rPr>
                <w:rFonts w:hint="cs"/>
                <w:rtl/>
              </w:rPr>
              <w:tab/>
              <w:t>מדינת ישראל תהא בעלת משטר דמוקרטי.</w:t>
            </w:r>
          </w:p>
        </w:tc>
      </w:tr>
      <w:tr w:rsidR="00D3202C" w14:paraId="07503D7E" w14:textId="77777777" w:rsidTr="00D3202C">
        <w:trPr>
          <w:cantSplit/>
        </w:trPr>
        <w:tc>
          <w:tcPr>
            <w:tcW w:w="1871" w:type="dxa"/>
          </w:tcPr>
          <w:p w14:paraId="68A1B79A" w14:textId="77777777" w:rsidR="00D3202C" w:rsidRDefault="00D3202C">
            <w:pPr>
              <w:pStyle w:val="TableSideHeading"/>
              <w:keepLines w:val="0"/>
              <w:rPr>
                <w:rtl/>
              </w:rPr>
            </w:pPr>
          </w:p>
        </w:tc>
        <w:tc>
          <w:tcPr>
            <w:tcW w:w="624" w:type="dxa"/>
          </w:tcPr>
          <w:p w14:paraId="1F0D6E68" w14:textId="77777777" w:rsidR="00D3202C" w:rsidRDefault="00D3202C">
            <w:pPr>
              <w:pStyle w:val="TableText"/>
              <w:keepLines w:val="0"/>
              <w:rPr>
                <w:rtl/>
              </w:rPr>
            </w:pPr>
          </w:p>
        </w:tc>
        <w:tc>
          <w:tcPr>
            <w:tcW w:w="7143" w:type="dxa"/>
            <w:hideMark/>
          </w:tcPr>
          <w:p w14:paraId="61514EFD" w14:textId="7F442EF9" w:rsidR="00D3202C" w:rsidRDefault="00D3202C">
            <w:pPr>
              <w:pStyle w:val="TableBlock"/>
              <w:rPr>
                <w:rtl/>
              </w:rPr>
            </w:pPr>
            <w:r>
              <w:rPr>
                <w:rFonts w:hint="cs"/>
                <w:rtl/>
              </w:rPr>
              <w:t>(ב)</w:t>
            </w:r>
            <w:r>
              <w:rPr>
                <w:rFonts w:hint="cs"/>
                <w:rtl/>
              </w:rPr>
              <w:tab/>
              <w:t>ישראל תהא מושתתת על יסודות החרות הצדק והשלום לאור חזונם של נביאי ישראל ומחויבת לזכויותיהם האישי</w:t>
            </w:r>
            <w:r w:rsidR="00563CD7">
              <w:rPr>
                <w:rFonts w:hint="cs"/>
                <w:rtl/>
              </w:rPr>
              <w:t>ות של כלל אזרחיה כמפורט בכל חוק-</w:t>
            </w:r>
            <w:r>
              <w:rPr>
                <w:rFonts w:hint="cs"/>
                <w:rtl/>
              </w:rPr>
              <w:t>יסוד.</w:t>
            </w:r>
          </w:p>
        </w:tc>
      </w:tr>
      <w:tr w:rsidR="00D3202C" w14:paraId="44C6DF75" w14:textId="77777777" w:rsidTr="00D3202C">
        <w:trPr>
          <w:cantSplit/>
        </w:trPr>
        <w:tc>
          <w:tcPr>
            <w:tcW w:w="1871" w:type="dxa"/>
            <w:hideMark/>
          </w:tcPr>
          <w:p w14:paraId="2C53CEBC" w14:textId="77777777" w:rsidR="00D3202C" w:rsidRDefault="00D3202C">
            <w:pPr>
              <w:pStyle w:val="TableSideHeading"/>
              <w:keepLines w:val="0"/>
              <w:rPr>
                <w:rtl/>
              </w:rPr>
            </w:pPr>
            <w:r>
              <w:rPr>
                <w:rFonts w:hint="cs"/>
                <w:rtl/>
              </w:rPr>
              <w:t>סמלי המדינה</w:t>
            </w:r>
          </w:p>
        </w:tc>
        <w:tc>
          <w:tcPr>
            <w:tcW w:w="624" w:type="dxa"/>
            <w:hideMark/>
          </w:tcPr>
          <w:p w14:paraId="262ED279" w14:textId="77777777" w:rsidR="00D3202C" w:rsidRDefault="00D3202C">
            <w:pPr>
              <w:pStyle w:val="TableText"/>
              <w:keepLines w:val="0"/>
            </w:pPr>
            <w:r>
              <w:rPr>
                <w:rFonts w:hint="cs"/>
                <w:rtl/>
              </w:rPr>
              <w:t>4.</w:t>
            </w:r>
          </w:p>
        </w:tc>
        <w:tc>
          <w:tcPr>
            <w:tcW w:w="7143" w:type="dxa"/>
            <w:hideMark/>
          </w:tcPr>
          <w:p w14:paraId="6D4D2D11" w14:textId="77777777" w:rsidR="00D3202C" w:rsidRDefault="00D3202C">
            <w:pPr>
              <w:pStyle w:val="TableBlock"/>
            </w:pPr>
            <w:r>
              <w:rPr>
                <w:rFonts w:hint="cs"/>
                <w:rtl/>
              </w:rPr>
              <w:t>(א)</w:t>
            </w:r>
            <w:r>
              <w:rPr>
                <w:rFonts w:hint="cs"/>
                <w:rtl/>
              </w:rPr>
              <w:tab/>
              <w:t>המנון המדינה הוא "התקווה".</w:t>
            </w:r>
          </w:p>
        </w:tc>
      </w:tr>
      <w:tr w:rsidR="00D3202C" w14:paraId="35FD23BD" w14:textId="77777777" w:rsidTr="00D3202C">
        <w:trPr>
          <w:cantSplit/>
        </w:trPr>
        <w:tc>
          <w:tcPr>
            <w:tcW w:w="1871" w:type="dxa"/>
          </w:tcPr>
          <w:p w14:paraId="1C777621" w14:textId="77777777" w:rsidR="00D3202C" w:rsidRDefault="00D3202C">
            <w:pPr>
              <w:pStyle w:val="TableSideHeading"/>
              <w:keepLines w:val="0"/>
            </w:pPr>
          </w:p>
        </w:tc>
        <w:tc>
          <w:tcPr>
            <w:tcW w:w="624" w:type="dxa"/>
          </w:tcPr>
          <w:p w14:paraId="2DFB95AC" w14:textId="77777777" w:rsidR="00D3202C" w:rsidRDefault="00D3202C">
            <w:pPr>
              <w:pStyle w:val="TableText"/>
              <w:rPr>
                <w:rtl/>
              </w:rPr>
            </w:pPr>
          </w:p>
        </w:tc>
        <w:tc>
          <w:tcPr>
            <w:tcW w:w="7143" w:type="dxa"/>
            <w:hideMark/>
          </w:tcPr>
          <w:p w14:paraId="27A9BE7A" w14:textId="77777777" w:rsidR="00D3202C" w:rsidRDefault="00D3202C">
            <w:pPr>
              <w:pStyle w:val="TableBlock"/>
            </w:pPr>
            <w:r>
              <w:rPr>
                <w:rFonts w:hint="cs"/>
                <w:rtl/>
              </w:rPr>
              <w:t>(ב)</w:t>
            </w:r>
            <w:r>
              <w:rPr>
                <w:rFonts w:hint="cs"/>
                <w:rtl/>
              </w:rPr>
              <w:tab/>
              <w:t>דגל המדינה הוא לבן, שני פסי תכלת סמוך לשוליו ומגן דוד תכול במרכזו.</w:t>
            </w:r>
          </w:p>
        </w:tc>
      </w:tr>
      <w:tr w:rsidR="00D3202C" w14:paraId="79B8F479" w14:textId="77777777" w:rsidTr="00D3202C">
        <w:trPr>
          <w:cantSplit/>
        </w:trPr>
        <w:tc>
          <w:tcPr>
            <w:tcW w:w="1871" w:type="dxa"/>
          </w:tcPr>
          <w:p w14:paraId="4B50E632" w14:textId="77777777" w:rsidR="00D3202C" w:rsidRDefault="00D3202C">
            <w:pPr>
              <w:pStyle w:val="TableSideHeading"/>
              <w:keepLines w:val="0"/>
              <w:rPr>
                <w:rtl/>
              </w:rPr>
            </w:pPr>
          </w:p>
        </w:tc>
        <w:tc>
          <w:tcPr>
            <w:tcW w:w="624" w:type="dxa"/>
          </w:tcPr>
          <w:p w14:paraId="799BF283" w14:textId="77777777" w:rsidR="00D3202C" w:rsidRDefault="00D3202C">
            <w:pPr>
              <w:pStyle w:val="TableText"/>
              <w:rPr>
                <w:rtl/>
              </w:rPr>
            </w:pPr>
          </w:p>
        </w:tc>
        <w:tc>
          <w:tcPr>
            <w:tcW w:w="7143" w:type="dxa"/>
            <w:hideMark/>
          </w:tcPr>
          <w:p w14:paraId="6EB3906F" w14:textId="77777777" w:rsidR="00D3202C" w:rsidRDefault="00D3202C">
            <w:pPr>
              <w:pStyle w:val="TableBlock"/>
            </w:pPr>
            <w:r>
              <w:rPr>
                <w:rFonts w:hint="cs"/>
                <w:rtl/>
              </w:rPr>
              <w:t>(ג)</w:t>
            </w:r>
            <w:r>
              <w:rPr>
                <w:rFonts w:hint="cs"/>
                <w:rtl/>
              </w:rPr>
              <w:tab/>
              <w:t>סמל המדינה הוא מנורת שבעת הקנים, עלי זית בשני צדדיה, והמילה "ישראל" למרגלותיה.</w:t>
            </w:r>
          </w:p>
        </w:tc>
      </w:tr>
      <w:tr w:rsidR="00D3202C" w14:paraId="442F399A" w14:textId="77777777" w:rsidTr="00D3202C">
        <w:trPr>
          <w:cantSplit/>
        </w:trPr>
        <w:tc>
          <w:tcPr>
            <w:tcW w:w="1871" w:type="dxa"/>
            <w:hideMark/>
          </w:tcPr>
          <w:p w14:paraId="4787B36D" w14:textId="77777777" w:rsidR="00D3202C" w:rsidRDefault="00D3202C">
            <w:pPr>
              <w:pStyle w:val="TableSideHeading"/>
              <w:keepLines w:val="0"/>
              <w:rPr>
                <w:rtl/>
              </w:rPr>
            </w:pPr>
            <w:r>
              <w:rPr>
                <w:rFonts w:hint="cs"/>
                <w:rtl/>
              </w:rPr>
              <w:t>שבות</w:t>
            </w:r>
          </w:p>
        </w:tc>
        <w:tc>
          <w:tcPr>
            <w:tcW w:w="624" w:type="dxa"/>
            <w:hideMark/>
          </w:tcPr>
          <w:p w14:paraId="3BFB44F9" w14:textId="77777777" w:rsidR="00D3202C" w:rsidRDefault="00D3202C">
            <w:pPr>
              <w:pStyle w:val="TableText"/>
              <w:keepLines w:val="0"/>
            </w:pPr>
            <w:r>
              <w:rPr>
                <w:rFonts w:hint="cs"/>
                <w:rtl/>
              </w:rPr>
              <w:t>5.</w:t>
            </w:r>
          </w:p>
        </w:tc>
        <w:tc>
          <w:tcPr>
            <w:tcW w:w="7143" w:type="dxa"/>
            <w:hideMark/>
          </w:tcPr>
          <w:p w14:paraId="3191DF45" w14:textId="77777777" w:rsidR="00D3202C" w:rsidRDefault="00D3202C">
            <w:pPr>
              <w:pStyle w:val="TableBlock"/>
            </w:pPr>
            <w:r>
              <w:rPr>
                <w:rFonts w:hint="cs"/>
                <w:rtl/>
              </w:rPr>
              <w:t>כל יהודי זכאי לעלות ארצה ולקנות את אזרחות מדינת ישראל על פי חוק.</w:t>
            </w:r>
          </w:p>
        </w:tc>
      </w:tr>
      <w:tr w:rsidR="00D3202C" w14:paraId="717FF725" w14:textId="77777777" w:rsidTr="00D3202C">
        <w:trPr>
          <w:cantSplit/>
        </w:trPr>
        <w:tc>
          <w:tcPr>
            <w:tcW w:w="1871" w:type="dxa"/>
            <w:hideMark/>
          </w:tcPr>
          <w:p w14:paraId="62C1931F" w14:textId="77777777" w:rsidR="00D3202C" w:rsidRDefault="00D3202C">
            <w:pPr>
              <w:pStyle w:val="TableSideHeading"/>
              <w:keepLines w:val="0"/>
            </w:pPr>
            <w:r>
              <w:rPr>
                <w:rFonts w:hint="cs"/>
                <w:rtl/>
              </w:rPr>
              <w:t>קיבוץ גלויות וחיזוק הקשר עם העם היהודי בתפוצות</w:t>
            </w:r>
          </w:p>
        </w:tc>
        <w:tc>
          <w:tcPr>
            <w:tcW w:w="624" w:type="dxa"/>
            <w:hideMark/>
          </w:tcPr>
          <w:p w14:paraId="373605B9" w14:textId="77777777" w:rsidR="00D3202C" w:rsidRDefault="00D3202C">
            <w:pPr>
              <w:pStyle w:val="TableText"/>
              <w:keepLines w:val="0"/>
            </w:pPr>
            <w:r>
              <w:rPr>
                <w:rFonts w:hint="cs"/>
                <w:rtl/>
              </w:rPr>
              <w:t>6.</w:t>
            </w:r>
          </w:p>
        </w:tc>
        <w:tc>
          <w:tcPr>
            <w:tcW w:w="7143" w:type="dxa"/>
            <w:hideMark/>
          </w:tcPr>
          <w:p w14:paraId="2E864E8B" w14:textId="77777777" w:rsidR="00D3202C" w:rsidRDefault="00D3202C">
            <w:pPr>
              <w:pStyle w:val="TableBlock"/>
            </w:pPr>
            <w:r>
              <w:rPr>
                <w:rFonts w:hint="cs"/>
                <w:rtl/>
              </w:rPr>
              <w:t>המדינה תפעל לקיבוץ גלויות ישראל ולחיזוק הזיקה בין ישראל ובין הקהילות היהודיות בתפוצות.</w:t>
            </w:r>
          </w:p>
        </w:tc>
      </w:tr>
      <w:tr w:rsidR="00D3202C" w14:paraId="5F4F35BF" w14:textId="77777777" w:rsidTr="00D3202C">
        <w:trPr>
          <w:cantSplit/>
        </w:trPr>
        <w:tc>
          <w:tcPr>
            <w:tcW w:w="1871" w:type="dxa"/>
            <w:hideMark/>
          </w:tcPr>
          <w:p w14:paraId="55393FAD" w14:textId="77777777" w:rsidR="00D3202C" w:rsidRDefault="00D3202C">
            <w:pPr>
              <w:pStyle w:val="TableSideHeading"/>
              <w:keepLines w:val="0"/>
            </w:pPr>
            <w:r>
              <w:rPr>
                <w:rFonts w:hint="cs"/>
                <w:rtl/>
              </w:rPr>
              <w:lastRenderedPageBreak/>
              <w:t>עזרה לבני העם היהודי הנתונים בצרה</w:t>
            </w:r>
          </w:p>
        </w:tc>
        <w:tc>
          <w:tcPr>
            <w:tcW w:w="624" w:type="dxa"/>
            <w:hideMark/>
          </w:tcPr>
          <w:p w14:paraId="104CA5CB" w14:textId="77777777" w:rsidR="00D3202C" w:rsidRDefault="00D3202C">
            <w:pPr>
              <w:pStyle w:val="TableText"/>
              <w:keepLines w:val="0"/>
            </w:pPr>
            <w:r>
              <w:rPr>
                <w:rFonts w:hint="cs"/>
                <w:rtl/>
              </w:rPr>
              <w:t>7.</w:t>
            </w:r>
          </w:p>
        </w:tc>
        <w:tc>
          <w:tcPr>
            <w:tcW w:w="7143" w:type="dxa"/>
            <w:hideMark/>
          </w:tcPr>
          <w:p w14:paraId="67811D55" w14:textId="77777777" w:rsidR="00D3202C" w:rsidRDefault="00D3202C">
            <w:pPr>
              <w:pStyle w:val="TableBlock"/>
            </w:pPr>
            <w:r>
              <w:rPr>
                <w:rFonts w:hint="cs"/>
                <w:rtl/>
              </w:rPr>
              <w:t>המדינה תפעל למתן עזרה לבני העם היהודי הנתונים בצרה ובשבי בשל יהדותם.</w:t>
            </w:r>
          </w:p>
        </w:tc>
      </w:tr>
      <w:tr w:rsidR="00D3202C" w14:paraId="756A7258" w14:textId="77777777" w:rsidTr="00D3202C">
        <w:trPr>
          <w:cantSplit/>
        </w:trPr>
        <w:tc>
          <w:tcPr>
            <w:tcW w:w="1871" w:type="dxa"/>
            <w:hideMark/>
          </w:tcPr>
          <w:p w14:paraId="7CCDC17E" w14:textId="77777777" w:rsidR="00D3202C" w:rsidRDefault="00D3202C">
            <w:pPr>
              <w:pStyle w:val="TableSideHeading"/>
              <w:keepLines w:val="0"/>
            </w:pPr>
            <w:r>
              <w:rPr>
                <w:rFonts w:hint="cs"/>
                <w:rtl/>
              </w:rPr>
              <w:t>מורשת יהודית</w:t>
            </w:r>
          </w:p>
        </w:tc>
        <w:tc>
          <w:tcPr>
            <w:tcW w:w="624" w:type="dxa"/>
            <w:hideMark/>
          </w:tcPr>
          <w:p w14:paraId="7C84E832" w14:textId="77777777" w:rsidR="00D3202C" w:rsidRDefault="00D3202C">
            <w:pPr>
              <w:pStyle w:val="TableText"/>
              <w:keepLines w:val="0"/>
            </w:pPr>
            <w:r>
              <w:rPr>
                <w:rFonts w:hint="cs"/>
                <w:rtl/>
              </w:rPr>
              <w:t>8.</w:t>
            </w:r>
          </w:p>
        </w:tc>
        <w:tc>
          <w:tcPr>
            <w:tcW w:w="7143" w:type="dxa"/>
            <w:hideMark/>
          </w:tcPr>
          <w:p w14:paraId="11CCB5E3" w14:textId="77777777" w:rsidR="00D3202C" w:rsidRDefault="00D3202C">
            <w:pPr>
              <w:pStyle w:val="TableBlock"/>
            </w:pPr>
            <w:r>
              <w:rPr>
                <w:rFonts w:hint="cs"/>
                <w:rtl/>
              </w:rPr>
              <w:t>המדינה תפעל לשימור ולהנחלת המורשת והמסורת התרבותית, וההיסטורית של העם היהודי ולטיפוחה בארץ ובתפוצות.</w:t>
            </w:r>
          </w:p>
        </w:tc>
      </w:tr>
      <w:tr w:rsidR="00D3202C" w14:paraId="16CCCDC4" w14:textId="77777777" w:rsidTr="00D3202C">
        <w:trPr>
          <w:cantSplit/>
        </w:trPr>
        <w:tc>
          <w:tcPr>
            <w:tcW w:w="1871" w:type="dxa"/>
            <w:hideMark/>
          </w:tcPr>
          <w:p w14:paraId="0FB1929B" w14:textId="77777777" w:rsidR="00D3202C" w:rsidRDefault="00D3202C">
            <w:pPr>
              <w:pStyle w:val="TableSideHeading"/>
              <w:keepLines w:val="0"/>
            </w:pPr>
            <w:r>
              <w:rPr>
                <w:rFonts w:hint="cs"/>
                <w:rtl/>
              </w:rPr>
              <w:t>הזכות לשימור מורשת</w:t>
            </w:r>
          </w:p>
        </w:tc>
        <w:tc>
          <w:tcPr>
            <w:tcW w:w="624" w:type="dxa"/>
            <w:hideMark/>
          </w:tcPr>
          <w:p w14:paraId="2A5208DF" w14:textId="77777777" w:rsidR="00D3202C" w:rsidRDefault="00D3202C">
            <w:pPr>
              <w:pStyle w:val="TableText"/>
              <w:keepLines w:val="0"/>
            </w:pPr>
            <w:r>
              <w:rPr>
                <w:rFonts w:hint="cs"/>
                <w:rtl/>
              </w:rPr>
              <w:t>9.</w:t>
            </w:r>
          </w:p>
        </w:tc>
        <w:tc>
          <w:tcPr>
            <w:tcW w:w="7143" w:type="dxa"/>
            <w:hideMark/>
          </w:tcPr>
          <w:p w14:paraId="282B0E35" w14:textId="77777777" w:rsidR="00D3202C" w:rsidRDefault="00D3202C">
            <w:pPr>
              <w:pStyle w:val="TableBlock"/>
            </w:pPr>
            <w:r>
              <w:rPr>
                <w:rFonts w:hint="cs"/>
                <w:rtl/>
              </w:rPr>
              <w:t>המדינה תפעל לאפשר לכל תושב ישראל, ללא הבדל דת או לאום, לפעול לשימור תרבותו, מורשתו, שפתו וזהותו.</w:t>
            </w:r>
          </w:p>
        </w:tc>
      </w:tr>
      <w:tr w:rsidR="00D3202C" w14:paraId="6D0FAE17" w14:textId="77777777" w:rsidTr="00D3202C">
        <w:trPr>
          <w:cantSplit/>
        </w:trPr>
        <w:tc>
          <w:tcPr>
            <w:tcW w:w="1871" w:type="dxa"/>
            <w:hideMark/>
          </w:tcPr>
          <w:p w14:paraId="49FE88C2" w14:textId="77777777" w:rsidR="00D3202C" w:rsidRDefault="00D3202C">
            <w:pPr>
              <w:pStyle w:val="TableSideHeading"/>
              <w:keepLines w:val="0"/>
            </w:pPr>
            <w:r>
              <w:rPr>
                <w:rFonts w:hint="cs"/>
                <w:rtl/>
              </w:rPr>
              <w:t>לוח רשמי</w:t>
            </w:r>
          </w:p>
        </w:tc>
        <w:tc>
          <w:tcPr>
            <w:tcW w:w="624" w:type="dxa"/>
            <w:hideMark/>
          </w:tcPr>
          <w:p w14:paraId="44D148ED" w14:textId="77777777" w:rsidR="00D3202C" w:rsidRDefault="00D3202C">
            <w:pPr>
              <w:pStyle w:val="TableText"/>
              <w:keepLines w:val="0"/>
            </w:pPr>
            <w:r>
              <w:rPr>
                <w:rFonts w:hint="cs"/>
                <w:rtl/>
              </w:rPr>
              <w:t>10.</w:t>
            </w:r>
          </w:p>
        </w:tc>
        <w:tc>
          <w:tcPr>
            <w:tcW w:w="7143" w:type="dxa"/>
            <w:hideMark/>
          </w:tcPr>
          <w:p w14:paraId="2BE78CC2" w14:textId="77777777" w:rsidR="00D3202C" w:rsidRDefault="00D3202C">
            <w:pPr>
              <w:pStyle w:val="TableBlock"/>
            </w:pPr>
            <w:r>
              <w:rPr>
                <w:rFonts w:hint="cs"/>
                <w:rtl/>
              </w:rPr>
              <w:t>הלוח העברי הוא לוח רשמי של המדינה.</w:t>
            </w:r>
          </w:p>
        </w:tc>
      </w:tr>
      <w:tr w:rsidR="00D3202C" w14:paraId="3E88FCAE" w14:textId="77777777" w:rsidTr="00D3202C">
        <w:trPr>
          <w:cantSplit/>
        </w:trPr>
        <w:tc>
          <w:tcPr>
            <w:tcW w:w="1871" w:type="dxa"/>
            <w:hideMark/>
          </w:tcPr>
          <w:p w14:paraId="0D968A5D" w14:textId="77777777" w:rsidR="00D3202C" w:rsidRDefault="00D3202C">
            <w:pPr>
              <w:pStyle w:val="TableSideHeading"/>
              <w:keepLines w:val="0"/>
            </w:pPr>
            <w:r>
              <w:rPr>
                <w:rFonts w:hint="cs"/>
                <w:rtl/>
              </w:rPr>
              <w:t>חג העצמאות וימי זיכרון</w:t>
            </w:r>
          </w:p>
        </w:tc>
        <w:tc>
          <w:tcPr>
            <w:tcW w:w="624" w:type="dxa"/>
            <w:hideMark/>
          </w:tcPr>
          <w:p w14:paraId="6346DBBD" w14:textId="77777777" w:rsidR="00D3202C" w:rsidRDefault="00D3202C">
            <w:pPr>
              <w:pStyle w:val="TableText"/>
              <w:keepLines w:val="0"/>
            </w:pPr>
            <w:r>
              <w:rPr>
                <w:rFonts w:hint="cs"/>
                <w:rtl/>
              </w:rPr>
              <w:t>11.</w:t>
            </w:r>
          </w:p>
        </w:tc>
        <w:tc>
          <w:tcPr>
            <w:tcW w:w="7143" w:type="dxa"/>
            <w:hideMark/>
          </w:tcPr>
          <w:p w14:paraId="3068C637" w14:textId="77777777" w:rsidR="00D3202C" w:rsidRDefault="00D3202C">
            <w:pPr>
              <w:pStyle w:val="TableBlock"/>
            </w:pPr>
            <w:r>
              <w:rPr>
                <w:rFonts w:hint="cs"/>
                <w:rtl/>
              </w:rPr>
              <w:t>(א)</w:t>
            </w:r>
            <w:r>
              <w:rPr>
                <w:rFonts w:hint="cs"/>
                <w:rtl/>
              </w:rPr>
              <w:tab/>
              <w:t>יום העצמאות הוא יום החג הלאומי של המדינה.</w:t>
            </w:r>
          </w:p>
        </w:tc>
      </w:tr>
      <w:tr w:rsidR="00D3202C" w14:paraId="7A22EA46" w14:textId="77777777" w:rsidTr="00D3202C">
        <w:trPr>
          <w:cantSplit/>
        </w:trPr>
        <w:tc>
          <w:tcPr>
            <w:tcW w:w="1871" w:type="dxa"/>
          </w:tcPr>
          <w:p w14:paraId="28526ABE" w14:textId="77777777" w:rsidR="00D3202C" w:rsidRDefault="00D3202C">
            <w:pPr>
              <w:pStyle w:val="TableSideHeading"/>
              <w:keepLines w:val="0"/>
            </w:pPr>
          </w:p>
        </w:tc>
        <w:tc>
          <w:tcPr>
            <w:tcW w:w="624" w:type="dxa"/>
          </w:tcPr>
          <w:p w14:paraId="7CD5B218" w14:textId="77777777" w:rsidR="00D3202C" w:rsidRDefault="00D3202C">
            <w:pPr>
              <w:pStyle w:val="TableText"/>
              <w:rPr>
                <w:rtl/>
              </w:rPr>
            </w:pPr>
          </w:p>
        </w:tc>
        <w:tc>
          <w:tcPr>
            <w:tcW w:w="7143" w:type="dxa"/>
            <w:hideMark/>
          </w:tcPr>
          <w:p w14:paraId="2D1E2FF7" w14:textId="77777777" w:rsidR="00D3202C" w:rsidRDefault="00D3202C">
            <w:pPr>
              <w:pStyle w:val="TableBlock"/>
            </w:pPr>
            <w:r>
              <w:rPr>
                <w:rFonts w:hint="cs"/>
                <w:rtl/>
              </w:rPr>
              <w:t>(ב)</w:t>
            </w:r>
            <w:r>
              <w:rPr>
                <w:rFonts w:hint="cs"/>
                <w:rtl/>
              </w:rPr>
              <w:tab/>
              <w:t>יום הזיכרון לחללי מערכות ישראל ויום השואה והגבורה הם ימי זיכרון רשמיים של המדינה.</w:t>
            </w:r>
          </w:p>
        </w:tc>
      </w:tr>
      <w:tr w:rsidR="00D3202C" w14:paraId="20AB9CAE" w14:textId="77777777" w:rsidTr="00D3202C">
        <w:trPr>
          <w:cantSplit/>
        </w:trPr>
        <w:tc>
          <w:tcPr>
            <w:tcW w:w="1871" w:type="dxa"/>
            <w:hideMark/>
          </w:tcPr>
          <w:p w14:paraId="28826D93" w14:textId="77777777" w:rsidR="00D3202C" w:rsidRDefault="00D3202C">
            <w:pPr>
              <w:pStyle w:val="TableSideHeading"/>
              <w:keepLines w:val="0"/>
              <w:rPr>
                <w:rtl/>
              </w:rPr>
            </w:pPr>
            <w:r>
              <w:rPr>
                <w:rFonts w:hint="cs"/>
                <w:rtl/>
              </w:rPr>
              <w:t>ימי שבתון</w:t>
            </w:r>
          </w:p>
        </w:tc>
        <w:tc>
          <w:tcPr>
            <w:tcW w:w="624" w:type="dxa"/>
            <w:hideMark/>
          </w:tcPr>
          <w:p w14:paraId="2EB27AD8" w14:textId="77777777" w:rsidR="00D3202C" w:rsidRDefault="00D3202C">
            <w:pPr>
              <w:pStyle w:val="TableText"/>
              <w:keepLines w:val="0"/>
            </w:pPr>
            <w:r>
              <w:rPr>
                <w:rFonts w:hint="cs"/>
                <w:rtl/>
              </w:rPr>
              <w:t>12.</w:t>
            </w:r>
          </w:p>
        </w:tc>
        <w:tc>
          <w:tcPr>
            <w:tcW w:w="7143" w:type="dxa"/>
            <w:hideMark/>
          </w:tcPr>
          <w:p w14:paraId="101F6D2A" w14:textId="77777777" w:rsidR="00D3202C" w:rsidRDefault="00D3202C">
            <w:pPr>
              <w:pStyle w:val="TableBlock"/>
            </w:pPr>
            <w:r>
              <w:rPr>
                <w:rFonts w:hint="cs"/>
                <w:rtl/>
              </w:rPr>
              <w:t>ימי השבתון הקבועים במדינת ישראל הם שבת ומועדי ישראל, בהם לא יועסק עובד אלא בתנאים שייקבעו בחוק; בני עדה המוכרת בחוק רשאים לשבות בחגיהם.</w:t>
            </w:r>
          </w:p>
        </w:tc>
      </w:tr>
      <w:tr w:rsidR="00D3202C" w14:paraId="0172397C" w14:textId="77777777" w:rsidTr="00D3202C">
        <w:trPr>
          <w:cantSplit/>
        </w:trPr>
        <w:tc>
          <w:tcPr>
            <w:tcW w:w="1871" w:type="dxa"/>
            <w:hideMark/>
          </w:tcPr>
          <w:p w14:paraId="72A6906E" w14:textId="77777777" w:rsidR="00D3202C" w:rsidRDefault="00D3202C">
            <w:pPr>
              <w:pStyle w:val="TableSideHeading"/>
              <w:keepLines w:val="0"/>
            </w:pPr>
            <w:r>
              <w:rPr>
                <w:rFonts w:hint="cs"/>
                <w:rtl/>
              </w:rPr>
              <w:t>המשפט העברי</w:t>
            </w:r>
          </w:p>
        </w:tc>
        <w:tc>
          <w:tcPr>
            <w:tcW w:w="624" w:type="dxa"/>
            <w:hideMark/>
          </w:tcPr>
          <w:p w14:paraId="7AFFC844" w14:textId="77777777" w:rsidR="00D3202C" w:rsidRDefault="00D3202C">
            <w:pPr>
              <w:pStyle w:val="TableText"/>
              <w:keepLines w:val="0"/>
            </w:pPr>
            <w:r>
              <w:rPr>
                <w:rFonts w:hint="cs"/>
                <w:rtl/>
              </w:rPr>
              <w:t>13.</w:t>
            </w:r>
          </w:p>
        </w:tc>
        <w:tc>
          <w:tcPr>
            <w:tcW w:w="7143" w:type="dxa"/>
            <w:hideMark/>
          </w:tcPr>
          <w:p w14:paraId="41B2BFBB" w14:textId="77777777" w:rsidR="00D3202C" w:rsidRDefault="00D3202C">
            <w:pPr>
              <w:pStyle w:val="TableBlock"/>
            </w:pPr>
            <w:r>
              <w:rPr>
                <w:rFonts w:hint="cs"/>
                <w:rtl/>
              </w:rPr>
              <w:t>(א)</w:t>
            </w:r>
            <w:r>
              <w:rPr>
                <w:rFonts w:hint="cs"/>
                <w:rtl/>
              </w:rPr>
              <w:tab/>
              <w:t>המשפט העברי ישמש מקור השראה למחוקקים ולשופטים בישראל.</w:t>
            </w:r>
          </w:p>
        </w:tc>
      </w:tr>
      <w:tr w:rsidR="00D3202C" w14:paraId="5F0B66BD" w14:textId="77777777" w:rsidTr="00D3202C">
        <w:trPr>
          <w:cantSplit/>
        </w:trPr>
        <w:tc>
          <w:tcPr>
            <w:tcW w:w="1871" w:type="dxa"/>
          </w:tcPr>
          <w:p w14:paraId="161407A4" w14:textId="77777777" w:rsidR="00D3202C" w:rsidRDefault="00D3202C">
            <w:pPr>
              <w:pStyle w:val="TableSideHeading"/>
              <w:keepLines w:val="0"/>
            </w:pPr>
          </w:p>
        </w:tc>
        <w:tc>
          <w:tcPr>
            <w:tcW w:w="624" w:type="dxa"/>
          </w:tcPr>
          <w:p w14:paraId="1975DDE5" w14:textId="77777777" w:rsidR="00D3202C" w:rsidRDefault="00D3202C">
            <w:pPr>
              <w:pStyle w:val="TableText"/>
              <w:rPr>
                <w:rtl/>
              </w:rPr>
            </w:pPr>
          </w:p>
        </w:tc>
        <w:tc>
          <w:tcPr>
            <w:tcW w:w="7143" w:type="dxa"/>
            <w:hideMark/>
          </w:tcPr>
          <w:p w14:paraId="59CE6BD3" w14:textId="77777777" w:rsidR="00D3202C" w:rsidRDefault="00D3202C">
            <w:pPr>
              <w:pStyle w:val="TableBlock"/>
            </w:pPr>
            <w:r>
              <w:rPr>
                <w:rFonts w:hint="cs"/>
                <w:rtl/>
              </w:rPr>
              <w:t>(ב)</w:t>
            </w:r>
            <w:r>
              <w:rPr>
                <w:rFonts w:hint="cs"/>
                <w:rtl/>
              </w:rPr>
              <w:tab/>
              <w:t>ראה בית המשפט שאלה משפטית הטעונה הכרעה, ולא מצא לה תשובה בדבר חקיקה, בהלכה פסוקה או בדרך של היקש מובהק, יכריע בה לאור עקרונות החירות, הצדק, היושר והשלום של מורשת ישראל.</w:t>
            </w:r>
          </w:p>
        </w:tc>
      </w:tr>
      <w:tr w:rsidR="00D3202C" w14:paraId="4E0BCA42" w14:textId="77777777" w:rsidTr="00D3202C">
        <w:trPr>
          <w:cantSplit/>
        </w:trPr>
        <w:tc>
          <w:tcPr>
            <w:tcW w:w="1871" w:type="dxa"/>
            <w:hideMark/>
          </w:tcPr>
          <w:p w14:paraId="5371442A" w14:textId="77777777" w:rsidR="00D3202C" w:rsidRDefault="00D3202C">
            <w:pPr>
              <w:pStyle w:val="TableSideHeading"/>
              <w:keepLines w:val="0"/>
              <w:rPr>
                <w:rtl/>
              </w:rPr>
            </w:pPr>
            <w:r>
              <w:rPr>
                <w:rFonts w:hint="cs"/>
                <w:rtl/>
              </w:rPr>
              <w:t>שמירת מקומות קדושים</w:t>
            </w:r>
          </w:p>
        </w:tc>
        <w:tc>
          <w:tcPr>
            <w:tcW w:w="624" w:type="dxa"/>
            <w:hideMark/>
          </w:tcPr>
          <w:p w14:paraId="3B50E17D" w14:textId="77777777" w:rsidR="00D3202C" w:rsidRDefault="00D3202C">
            <w:pPr>
              <w:pStyle w:val="TableText"/>
              <w:keepLines w:val="0"/>
            </w:pPr>
            <w:r>
              <w:rPr>
                <w:rFonts w:hint="cs"/>
                <w:rtl/>
              </w:rPr>
              <w:t>14.</w:t>
            </w:r>
          </w:p>
        </w:tc>
        <w:tc>
          <w:tcPr>
            <w:tcW w:w="7143" w:type="dxa"/>
            <w:hideMark/>
          </w:tcPr>
          <w:p w14:paraId="28E75745" w14:textId="77777777" w:rsidR="00D3202C" w:rsidRDefault="00D3202C">
            <w:pPr>
              <w:pStyle w:val="TableBlock"/>
            </w:pPr>
            <w:r>
              <w:rPr>
                <w:rFonts w:hint="cs"/>
                <w:rtl/>
              </w:rPr>
              <w:t>המקומות הקדושים יהיו שמורים מפני חילול וכל פגיעה אחרת ומפני כל דבר העלול לפגוע בחופש הגישה של בני הדתות אל המקומות המקודשים להם או ברגשותיהם כלפי אותם המקומות.</w:t>
            </w:r>
          </w:p>
        </w:tc>
      </w:tr>
      <w:tr w:rsidR="00D3202C" w14:paraId="362D9CFD" w14:textId="77777777" w:rsidTr="00D3202C">
        <w:trPr>
          <w:cantSplit/>
        </w:trPr>
        <w:tc>
          <w:tcPr>
            <w:tcW w:w="1871" w:type="dxa"/>
            <w:hideMark/>
          </w:tcPr>
          <w:p w14:paraId="355B17CD" w14:textId="77777777" w:rsidR="00D3202C" w:rsidRDefault="00D3202C">
            <w:pPr>
              <w:pStyle w:val="TableSideHeading"/>
              <w:keepLines w:val="0"/>
            </w:pPr>
            <w:r>
              <w:rPr>
                <w:rFonts w:hint="cs"/>
                <w:rtl/>
              </w:rPr>
              <w:t>פגיעה בזכויות</w:t>
            </w:r>
          </w:p>
        </w:tc>
        <w:tc>
          <w:tcPr>
            <w:tcW w:w="624" w:type="dxa"/>
            <w:hideMark/>
          </w:tcPr>
          <w:p w14:paraId="02ACD471" w14:textId="77777777" w:rsidR="00D3202C" w:rsidRDefault="00D3202C">
            <w:pPr>
              <w:pStyle w:val="TableText"/>
            </w:pPr>
            <w:r>
              <w:rPr>
                <w:rFonts w:hint="cs"/>
                <w:rtl/>
              </w:rPr>
              <w:t>15.</w:t>
            </w:r>
          </w:p>
        </w:tc>
        <w:tc>
          <w:tcPr>
            <w:tcW w:w="7143" w:type="dxa"/>
            <w:hideMark/>
          </w:tcPr>
          <w:p w14:paraId="3B5E92AC" w14:textId="77777777" w:rsidR="00D3202C" w:rsidRDefault="00D3202C">
            <w:pPr>
              <w:pStyle w:val="TableBlock"/>
            </w:pPr>
            <w:r>
              <w:rPr>
                <w:rFonts w:hint="cs"/>
                <w:rtl/>
              </w:rPr>
              <w:t>אין פוגעים בזכויות שלפי חוק-יסוד זה אלא בחוק ההולם את ערכיה של מדינת ישראל, שנועד לתכלית ראויה ובמידה שאינה עולה על הנדרש, או לפי חוק כאמור מכוח הסמכה מפורשת בו.</w:t>
            </w:r>
          </w:p>
        </w:tc>
      </w:tr>
      <w:tr w:rsidR="00D3202C" w14:paraId="4FB23007" w14:textId="77777777" w:rsidTr="00D3202C">
        <w:trPr>
          <w:cantSplit/>
        </w:trPr>
        <w:tc>
          <w:tcPr>
            <w:tcW w:w="1871" w:type="dxa"/>
            <w:hideMark/>
          </w:tcPr>
          <w:p w14:paraId="0EEC71DA" w14:textId="77777777" w:rsidR="00D3202C" w:rsidRDefault="00D3202C">
            <w:pPr>
              <w:pStyle w:val="TableSideHeading"/>
              <w:keepLines w:val="0"/>
              <w:rPr>
                <w:rtl/>
              </w:rPr>
            </w:pPr>
            <w:r>
              <w:rPr>
                <w:rFonts w:hint="cs"/>
                <w:rtl/>
              </w:rPr>
              <w:t>נוקשות</w:t>
            </w:r>
          </w:p>
        </w:tc>
        <w:tc>
          <w:tcPr>
            <w:tcW w:w="624" w:type="dxa"/>
            <w:hideMark/>
          </w:tcPr>
          <w:p w14:paraId="1FD866CE" w14:textId="77777777" w:rsidR="00D3202C" w:rsidRDefault="00D3202C">
            <w:pPr>
              <w:pStyle w:val="TableText"/>
              <w:keepLines w:val="0"/>
            </w:pPr>
            <w:r>
              <w:rPr>
                <w:rFonts w:hint="cs"/>
                <w:rtl/>
              </w:rPr>
              <w:t>16.</w:t>
            </w:r>
          </w:p>
        </w:tc>
        <w:tc>
          <w:tcPr>
            <w:tcW w:w="7143" w:type="dxa"/>
            <w:hideMark/>
          </w:tcPr>
          <w:p w14:paraId="4BEC9F90" w14:textId="77777777" w:rsidR="00D3202C" w:rsidRDefault="00D3202C">
            <w:pPr>
              <w:pStyle w:val="TableBlock"/>
            </w:pPr>
            <w:r>
              <w:rPr>
                <w:rFonts w:hint="cs"/>
                <w:rtl/>
              </w:rPr>
              <w:t xml:space="preserve">אין לשנות חוק-יסוד זה אלא בחוק-יסוד שקיבלה הכנסת ברוב חבריה. </w:t>
            </w:r>
          </w:p>
        </w:tc>
      </w:tr>
    </w:tbl>
    <w:p w14:paraId="01E958C9" w14:textId="77777777" w:rsidR="00D3202C" w:rsidRDefault="00D3202C" w:rsidP="00D3202C">
      <w:pPr>
        <w:pStyle w:val="HeadDivreiHesber"/>
        <w:spacing w:before="0" w:after="0"/>
      </w:pPr>
    </w:p>
    <w:p w14:paraId="6FFFBB22" w14:textId="77777777" w:rsidR="00D3202C" w:rsidRDefault="00D3202C" w:rsidP="00D3202C">
      <w:pPr>
        <w:pStyle w:val="HeadDivreiHesber"/>
        <w:spacing w:before="0" w:after="0"/>
        <w:rPr>
          <w:rtl/>
        </w:rPr>
      </w:pPr>
    </w:p>
    <w:p w14:paraId="40BAF653" w14:textId="77777777" w:rsidR="00D3202C" w:rsidRDefault="00D3202C" w:rsidP="00D3202C">
      <w:pPr>
        <w:pStyle w:val="HeadDivreiHesber"/>
        <w:spacing w:before="0" w:after="0"/>
        <w:rPr>
          <w:rtl/>
        </w:rPr>
      </w:pPr>
      <w:r>
        <w:rPr>
          <w:rFonts w:hint="cs"/>
          <w:rtl/>
        </w:rPr>
        <w:t>דברי הסבר</w:t>
      </w:r>
    </w:p>
    <w:p w14:paraId="5F889901" w14:textId="77777777" w:rsidR="00D3202C" w:rsidRDefault="00D3202C" w:rsidP="005B035C">
      <w:pPr>
        <w:pStyle w:val="Hesber"/>
        <w:spacing w:line="276" w:lineRule="auto"/>
        <w:rPr>
          <w:rtl/>
        </w:rPr>
      </w:pPr>
      <w:r>
        <w:rPr>
          <w:rFonts w:hint="cs"/>
          <w:rtl/>
        </w:rPr>
        <w:t xml:space="preserve">בקונגרס הציוני הראשון אושרה "תכנית באזל" שלפיה מטרת הציונות היא "להקים בית לאומי עבור העם היהודי בארץ-ישראל..."; במגילת העצמאות הוכרזה המדינה החדשה מדינה יהודית וכביתו הלאומי של העם היהודי; בשנת 2001 פורסמה אמנת כנרת, עליה חתמו אנשי ציבור מכל קצות הקשת הפוליטית, בה נקבע בסעיף הראשון כי: "מדינת ישראל היא ביתו הלאומי של העם היהודי". על אף ההסכמה הרחבה בציבור הישראלי על הגדרתה של מדינת ישראל כמדינה יהודית, מאפייניה של מדינת ישראל כמדינת הלאום של העם היהודי מעולם לא עוגנו בחוקי היסוד של המדינה. </w:t>
      </w:r>
    </w:p>
    <w:p w14:paraId="1662A6D0" w14:textId="77777777" w:rsidR="00D3202C" w:rsidRDefault="00D3202C" w:rsidP="005B035C">
      <w:pPr>
        <w:pStyle w:val="Hesber"/>
        <w:spacing w:line="276" w:lineRule="auto"/>
        <w:rPr>
          <w:rtl/>
        </w:rPr>
      </w:pPr>
      <w:r>
        <w:rPr>
          <w:rFonts w:hint="cs"/>
          <w:rtl/>
        </w:rPr>
        <w:lastRenderedPageBreak/>
        <w:t xml:space="preserve">הצעת החוק מדגישה את הקשר המסורתי וההיסטורי בין העם היהודי לארץ ישראל ואת הזכויות הלאומיות המוקנות לו כפי שבאות לידי ביטוי במגילת העצמאות: </w:t>
      </w:r>
      <w:r>
        <w:t>"</w:t>
      </w:r>
      <w:r>
        <w:rPr>
          <w:rFonts w:hint="cs"/>
          <w:rtl/>
        </w:rPr>
        <w:t>בארץ ישראל קם העם היהודי, בה עוצבה דמותו הרוחנית, הדתית והמדינית...לאחר שהוגלה העם מארצו בכוח הזרוע שמר לה אמונים בכל ארצות פזוריו... מתוך קשר היסטורי ומסורתי זה חתרו היהודים בכל דור לשוב ולהיאחז במולדתם העתיקה... זכות זו הוכרה בהצהרת בלפור מיום ב' נובמבר 1917 ואושרה במנדט מטעם חבר הלאומים, אשר נתן במיוחד תוקף בין-לאומי לקשר היסטורי שבין העם היהודי לבין ארץ-ישראל ולזכות העם היהודי להקים מחדש את ביתו הלאומי".</w:t>
      </w:r>
      <w:r>
        <w:t> </w:t>
      </w:r>
      <w:r>
        <w:rPr>
          <w:rFonts w:hint="cs"/>
          <w:rtl/>
        </w:rPr>
        <w:t>צדקת דרכו של העם היהודי בארץ ישראל מבוססת על נדבך מדיני,</w:t>
      </w:r>
      <w:r>
        <w:t> </w:t>
      </w:r>
      <w:r>
        <w:rPr>
          <w:rFonts w:hint="cs"/>
          <w:rtl/>
        </w:rPr>
        <w:t>לאומי והיסטורי וחלים עליו כל הכללים הנובעים מזכות ההגדרה העצמית של העם היהודי.</w:t>
      </w:r>
    </w:p>
    <w:p w14:paraId="61A63F2B" w14:textId="52211CB3" w:rsidR="00D3202C" w:rsidRDefault="00D3202C" w:rsidP="005B035C">
      <w:pPr>
        <w:pStyle w:val="Hesber"/>
        <w:spacing w:line="276" w:lineRule="auto"/>
        <w:rPr>
          <w:rtl/>
        </w:rPr>
      </w:pPr>
      <w:r>
        <w:rPr>
          <w:rFonts w:hint="cs"/>
          <w:rtl/>
        </w:rPr>
        <w:t>נחיצותו של חוק-יסוד: ישר</w:t>
      </w:r>
      <w:r w:rsidR="00CC12BF">
        <w:rPr>
          <w:rFonts w:hint="cs"/>
          <w:rtl/>
        </w:rPr>
        <w:t>אל – מדינת הלאום של העם היהודי,</w:t>
      </w:r>
      <w:r>
        <w:rPr>
          <w:rFonts w:hint="cs"/>
          <w:rtl/>
        </w:rPr>
        <w:t xml:space="preserve"> מקבלת משנה תוקף, במיוחד בזמנים בהם יש המבקשים לבטל את זכותו של העם היהודי לבית לאומי בארצו, ואת ההכרה במדינת ישראל כמדינת הלאום של העם היהודי. עיגון אופייה היהודי של מדינת ישראל בחוק-יסוד, יאפשר להגיע בעתיד להסכמה רחבה בכינונה של חוקה שלמה ומקיפה.</w:t>
      </w:r>
    </w:p>
    <w:p w14:paraId="41D24B02" w14:textId="77777777" w:rsidR="00D3202C" w:rsidRDefault="00D3202C" w:rsidP="005B035C">
      <w:pPr>
        <w:pStyle w:val="Hesber"/>
        <w:spacing w:line="276" w:lineRule="auto"/>
        <w:rPr>
          <w:rtl/>
        </w:rPr>
      </w:pPr>
      <w:r>
        <w:rPr>
          <w:rFonts w:hint="cs"/>
          <w:rtl/>
        </w:rPr>
        <w:t xml:space="preserve">לאורך החוק כלולים היבטים מעשיים המבטאים את היותה של מדינת ישראל כמדינת הלאום של העם היהודי שלחלקם יש ביטוי בחקיקה קיימת: סמלי המדינה (המנון, דגל וסמל), שפתה, חוק השבות, קיבוץ גלויות, התיישבות יהודית, הקשר עם יהודי התפוצות, מורשת יהודית, לוח שנה עברי ומקומות קדושים. </w:t>
      </w:r>
    </w:p>
    <w:p w14:paraId="3B946544" w14:textId="77777777" w:rsidR="00D3202C" w:rsidRDefault="00D3202C" w:rsidP="005B035C">
      <w:pPr>
        <w:pStyle w:val="Hesber"/>
        <w:spacing w:line="276" w:lineRule="auto"/>
        <w:rPr>
          <w:rtl/>
        </w:rPr>
      </w:pPr>
      <w:r>
        <w:rPr>
          <w:rFonts w:hint="cs"/>
          <w:rtl/>
        </w:rPr>
        <w:t xml:space="preserve">על פי החוק המוצע, המשפט העברי ועקרונות מורשת ישראל ישמשו כמקור השראה למחוקק בקביעת דברי חיקוק ולבית המשפט בפירושם. כפי שהגדיר זאת המשנה לנשיא בית המשפט העליון לשעבר השופט מנחם אלון (בפס"ד ד"נ 13/80 </w:t>
      </w:r>
      <w:r>
        <w:rPr>
          <w:rFonts w:hint="cs"/>
          <w:b/>
          <w:bCs/>
          <w:rtl/>
        </w:rPr>
        <w:t>אליעזר הנדלס נ' בנק קופת עם בע"מ</w:t>
      </w:r>
      <w:r>
        <w:rPr>
          <w:rFonts w:hint="cs"/>
          <w:rtl/>
        </w:rPr>
        <w:t xml:space="preserve"> פ"ד לה(2), 795 (1981)), "הפנייה למערכת המשפט העברי כמקור השראה ראשי וראשון במעלה לפרשנותו של המשפט הישראלי, כאשר פנייה זו נעשית בעיון הראוי והזהירות הדרושה, לפי צורכי שעה ועניינו של החוק, תעניק למשפט הישראלי שורשים היסטוריים משלו, ותפתח סינתזה זו שבין מערכת המשפט העברית לבין מערכת משפטה של המדינה היהודית".</w:t>
      </w:r>
    </w:p>
    <w:p w14:paraId="46FDBDDD" w14:textId="77777777" w:rsidR="00D3202C" w:rsidRDefault="00D3202C" w:rsidP="005B035C">
      <w:pPr>
        <w:pStyle w:val="Hesber"/>
        <w:spacing w:line="276" w:lineRule="auto"/>
        <w:rPr>
          <w:rtl/>
        </w:rPr>
      </w:pPr>
      <w:r>
        <w:rPr>
          <w:rFonts w:hint="cs"/>
          <w:rtl/>
        </w:rPr>
        <w:t>הקביעה לפיה מדינת ישראל היא מדינה דמוקרטית מלבד היותה יהודית, מעוגנת בסעיף 3 בהצעת החוק ושזורה כחוט השני בסעיפיה השונים, בהם אלה העוסקים בשפה, בשימור המורשת, בהתיישבות הקהילתית, בימי השבתון ובשמירה על המקומות הקדושים.</w:t>
      </w:r>
    </w:p>
    <w:p w14:paraId="0F69B12A" w14:textId="05FA7948" w:rsidR="00D3202C" w:rsidRDefault="00D3202C" w:rsidP="005B035C">
      <w:pPr>
        <w:pStyle w:val="Hesber"/>
        <w:spacing w:line="276" w:lineRule="auto"/>
        <w:rPr>
          <w:rtl/>
        </w:rPr>
      </w:pPr>
      <w:r>
        <w:rPr>
          <w:rFonts w:hint="cs"/>
          <w:rtl/>
        </w:rPr>
        <w:t>הצעות חוק בנושא דומה הונחו על שולחן הכנסת השמונה-עשרה על ידי חבר הכנסת זאב אלקין וקבוצת חברי הכנסת (פ/3541/18) ועל ידי חבר הכנסת אריה אלדד (פ/4096/18)</w:t>
      </w:r>
      <w:r w:rsidR="005B035C">
        <w:rPr>
          <w:rFonts w:hint="cs"/>
          <w:rtl/>
        </w:rPr>
        <w:t xml:space="preserve">, </w:t>
      </w:r>
      <w:r>
        <w:rPr>
          <w:rFonts w:hint="cs"/>
          <w:rtl/>
        </w:rPr>
        <w:t xml:space="preserve">על שולחן הכנסת התשע-עשרה על ידי חבר הכנסת זאב אלקין </w:t>
      </w:r>
      <w:r w:rsidR="0088098B">
        <w:rPr>
          <w:rFonts w:hint="cs"/>
          <w:rtl/>
        </w:rPr>
        <w:t xml:space="preserve">(פ/2502/19) ועל שולחן הכנסת </w:t>
      </w:r>
      <w:r w:rsidR="005B035C">
        <w:rPr>
          <w:rFonts w:hint="cs"/>
          <w:rtl/>
        </w:rPr>
        <w:t>ה</w:t>
      </w:r>
      <w:r w:rsidR="0088098B">
        <w:rPr>
          <w:rFonts w:hint="cs"/>
          <w:rtl/>
        </w:rPr>
        <w:t>עשרים על ידי חבר הכנסת אברהם דיכטר וקבוצת חברי הכנסת (פ/</w:t>
      </w:r>
      <w:r w:rsidR="005B035C">
        <w:rPr>
          <w:rFonts w:hint="cs"/>
          <w:rtl/>
        </w:rPr>
        <w:t>1989/20</w:t>
      </w:r>
      <w:r w:rsidR="0088098B">
        <w:rPr>
          <w:rFonts w:hint="cs"/>
          <w:rtl/>
        </w:rPr>
        <w:t>).</w:t>
      </w:r>
    </w:p>
    <w:p w14:paraId="64BE3E9F" w14:textId="77777777" w:rsidR="00D3202C" w:rsidRDefault="00D3202C" w:rsidP="005B035C">
      <w:pPr>
        <w:pStyle w:val="Hesber"/>
        <w:spacing w:line="276" w:lineRule="auto"/>
        <w:rPr>
          <w:rtl/>
        </w:rPr>
      </w:pPr>
      <w:r>
        <w:rPr>
          <w:rFonts w:hint="cs"/>
          <w:rtl/>
        </w:rPr>
        <w:t>הצעות חוק זהות הונחו על שולחן הכנסת התשע-עשרה על ידי חברת הכנסת איילת שקד וקבוצת חברי הכנסת (פ/1550/19) ועל ידי חברת הכנסת מירי רגב (פ/2530/19) ועל שולחן הכנסת העשרים על ידי חבר הכנסת שרון גל וקבוצת חברי הכנסת (פ/1337/20).</w:t>
      </w:r>
    </w:p>
    <w:p w14:paraId="1F039868" w14:textId="017C27BC" w:rsidR="005B035C" w:rsidRDefault="005B035C" w:rsidP="005B035C">
      <w:pPr>
        <w:pStyle w:val="Hesber"/>
        <w:spacing w:line="276" w:lineRule="auto"/>
        <w:rPr>
          <w:rtl/>
        </w:rPr>
      </w:pPr>
    </w:p>
    <w:p w14:paraId="68618D71" w14:textId="77777777" w:rsidR="005B035C" w:rsidRDefault="005B035C" w:rsidP="005B035C">
      <w:pPr>
        <w:pStyle w:val="Hesber"/>
        <w:spacing w:line="276" w:lineRule="auto"/>
        <w:rPr>
          <w:rtl/>
        </w:rPr>
      </w:pPr>
      <w:bookmarkStart w:id="7" w:name="_GoBack"/>
      <w:bookmarkEnd w:id="7"/>
    </w:p>
    <w:p w14:paraId="750B78EC" w14:textId="285F91BC" w:rsidR="005B035C" w:rsidRDefault="005B035C" w:rsidP="005B035C">
      <w:pPr>
        <w:pStyle w:val="Hesber"/>
        <w:spacing w:line="276" w:lineRule="auto"/>
        <w:rPr>
          <w:rtl/>
        </w:rPr>
      </w:pPr>
    </w:p>
    <w:p w14:paraId="1FF05395" w14:textId="77777777" w:rsidR="005B035C" w:rsidRPr="0022704F" w:rsidRDefault="005B035C" w:rsidP="005B035C">
      <w:pPr>
        <w:spacing w:before="0" w:line="276"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61C33965" w14:textId="77777777" w:rsidR="005B035C" w:rsidRPr="0022704F" w:rsidRDefault="005B035C" w:rsidP="005B035C">
      <w:pPr>
        <w:spacing w:before="0" w:line="276"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197DAF5C" w14:textId="77777777" w:rsidR="005B035C" w:rsidRPr="0022704F" w:rsidRDefault="005B035C" w:rsidP="005B035C">
      <w:pPr>
        <w:spacing w:before="0" w:line="276" w:lineRule="auto"/>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05BD23D5" w14:textId="77777777" w:rsidR="005B035C" w:rsidRPr="00935520" w:rsidRDefault="005B035C" w:rsidP="005B035C">
      <w:pPr>
        <w:spacing w:before="0" w:line="276" w:lineRule="auto"/>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י"ג  באב התשע"ה</w:t>
      </w:r>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29</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7</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p>
    <w:p w14:paraId="398B198A" w14:textId="77777777" w:rsidR="005B035C" w:rsidRDefault="005B035C" w:rsidP="00D3202C">
      <w:pPr>
        <w:pStyle w:val="Hesber"/>
        <w:rPr>
          <w:rtl/>
        </w:rPr>
      </w:pPr>
    </w:p>
    <w:p w14:paraId="71753399" w14:textId="77777777" w:rsidR="00D3202C" w:rsidRDefault="00D3202C" w:rsidP="00D3202C">
      <w:pPr>
        <w:pStyle w:val="Hesber"/>
        <w:ind w:firstLine="0"/>
        <w:rPr>
          <w:rtl/>
        </w:rPr>
      </w:pPr>
    </w:p>
    <w:p w14:paraId="38496C9E" w14:textId="77777777" w:rsidR="00D3202C" w:rsidRDefault="00D3202C" w:rsidP="00D3202C">
      <w:pPr>
        <w:ind w:firstLine="0"/>
        <w:rPr>
          <w:rtl/>
        </w:rPr>
      </w:pPr>
    </w:p>
    <w:p w14:paraId="73D8C2EF" w14:textId="77777777" w:rsidR="00D3202C" w:rsidRDefault="00D3202C" w:rsidP="00D3202C"/>
    <w:p w14:paraId="7F6961CB" w14:textId="77777777" w:rsidR="00E13C27" w:rsidRPr="00D3202C" w:rsidRDefault="00E13C27" w:rsidP="00D3202C">
      <w:pPr>
        <w:rPr>
          <w:rtl/>
        </w:rPr>
      </w:pPr>
    </w:p>
    <w:sectPr w:rsidR="00E13C27" w:rsidRPr="00D3202C"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5B035C">
      <w:rPr>
        <w:rStyle w:val="aa"/>
        <w:noProof/>
        <w:rtl/>
      </w:rPr>
      <w:t>3</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63CD7"/>
    <w:rsid w:val="005B035C"/>
    <w:rsid w:val="005B064E"/>
    <w:rsid w:val="005D51AE"/>
    <w:rsid w:val="0062674B"/>
    <w:rsid w:val="006363B2"/>
    <w:rsid w:val="00644940"/>
    <w:rsid w:val="006818A9"/>
    <w:rsid w:val="006A2D81"/>
    <w:rsid w:val="006C1D0D"/>
    <w:rsid w:val="0070601E"/>
    <w:rsid w:val="00712C72"/>
    <w:rsid w:val="00735FE9"/>
    <w:rsid w:val="00763CAA"/>
    <w:rsid w:val="00765F66"/>
    <w:rsid w:val="007833D2"/>
    <w:rsid w:val="0078664F"/>
    <w:rsid w:val="007C3FA6"/>
    <w:rsid w:val="007D585A"/>
    <w:rsid w:val="007D5A12"/>
    <w:rsid w:val="007E59F9"/>
    <w:rsid w:val="00810BCD"/>
    <w:rsid w:val="00812C98"/>
    <w:rsid w:val="00814D92"/>
    <w:rsid w:val="0083181D"/>
    <w:rsid w:val="00843EB2"/>
    <w:rsid w:val="00865572"/>
    <w:rsid w:val="00874BBC"/>
    <w:rsid w:val="0088098B"/>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56D42"/>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C12BF"/>
    <w:rsid w:val="00CF1AA2"/>
    <w:rsid w:val="00D17774"/>
    <w:rsid w:val="00D3202C"/>
    <w:rsid w:val="00D63620"/>
    <w:rsid w:val="00D8410D"/>
    <w:rsid w:val="00D867D7"/>
    <w:rsid w:val="00DB7060"/>
    <w:rsid w:val="00DE3153"/>
    <w:rsid w:val="00E06736"/>
    <w:rsid w:val="00E13C27"/>
    <w:rsid w:val="00E2211B"/>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E0C036D-9C08-49D5-BA90-3934D993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 w:id="209893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F7A3BCE8-A33B-4770-B84D-A50DE65F1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9211B352-7B8C-408B-ADF7-B2CB22163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969</Words>
  <Characters>4846</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תהל טהר לב</cp:lastModifiedBy>
  <cp:revision>8</cp:revision>
  <cp:lastPrinted>2015-07-27T18:05:00Z</cp:lastPrinted>
  <dcterms:created xsi:type="dcterms:W3CDTF">2015-04-20T09:58:00Z</dcterms:created>
  <dcterms:modified xsi:type="dcterms:W3CDTF">2015-07-28T06:45:00Z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567834</vt:r8>
  </property>
</Properties>
</file>