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566780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בצלאל סמוטריץ'</w:t>
      </w:r>
      <w:r>
        <w:br/>
      </w:r>
      <w:r>
        <w:rPr>
          <w:rFonts w:hint="cs"/>
          <w:b/>
          <w:bCs/>
          <w:rtl/>
        </w:rPr>
        <w:t xml:space="preserve"> </w:t>
      </w:r>
      <w:r>
        <w:tab/>
      </w:r>
      <w:r>
        <w:tab/>
      </w:r>
      <w:r>
        <w:tab/>
      </w:r>
      <w:r>
        <w:tab/>
      </w:r>
      <w:r>
        <w:rPr>
          <w:rFonts w:hint="cs"/>
          <w:b/>
          <w:bCs/>
          <w:rtl/>
        </w:rPr>
        <w:t>ינון מגל</w:t>
      </w:r>
      <w:r>
        <w:br/>
      </w:r>
      <w:r>
        <w:rPr>
          <w:rFonts w:hint="cs"/>
          <w:b/>
          <w:bCs/>
          <w:rtl/>
        </w:rPr>
        <w:t xml:space="preserve"> </w:t>
      </w:r>
      <w:r>
        <w:tab/>
      </w:r>
      <w:r>
        <w:tab/>
      </w:r>
      <w:r>
        <w:tab/>
      </w:r>
      <w:r>
        <w:tab/>
      </w:r>
      <w:r>
        <w:rPr>
          <w:rFonts w:hint="cs"/>
          <w:b/>
          <w:bCs/>
          <w:rtl/>
        </w:rPr>
        <w:t>מכלוף מיקי זוהר</w:t>
      </w:r>
      <w:r>
        <w:br/>
      </w:r>
      <w:r>
        <w:rPr>
          <w:rFonts w:hint="cs"/>
          <w:b/>
          <w:bCs/>
          <w:rtl/>
        </w:rPr>
        <w:t xml:space="preserve"> </w:t>
      </w:r>
      <w:r>
        <w:tab/>
      </w:r>
      <w:r>
        <w:tab/>
      </w:r>
      <w:r>
        <w:tab/>
      </w:r>
      <w:r>
        <w:tab/>
      </w:r>
      <w:r>
        <w:rPr>
          <w:rFonts w:hint="cs"/>
          <w:b/>
          <w:bCs/>
          <w:rtl/>
        </w:rPr>
        <w:t>מרדכי יוגב</w:t>
      </w:r>
      <w:r>
        <w:br/>
      </w:r>
      <w:r>
        <w:rPr>
          <w:rFonts w:hint="cs"/>
          <w:b/>
          <w:bCs/>
          <w:rtl/>
        </w:rPr>
        <w:t xml:space="preserve"> </w:t>
      </w:r>
      <w:r>
        <w:tab/>
      </w:r>
      <w:r>
        <w:tab/>
      </w:r>
      <w:r>
        <w:tab/>
      </w:r>
      <w:r>
        <w:tab/>
      </w:r>
      <w:r>
        <w:rPr>
          <w:rFonts w:hint="cs"/>
          <w:b/>
          <w:bCs/>
          <w:rtl/>
        </w:rPr>
        <w:t>אורן אסף חזן</w:t>
      </w:r>
      <w:r>
        <w:br/>
      </w:r>
      <w:r>
        <w:rPr>
          <w:rFonts w:hint="cs"/>
          <w:b/>
          <w:bCs/>
          <w:rtl/>
        </w:rPr>
        <w:t xml:space="preserve"> </w:t>
      </w:r>
      <w:r>
        <w:tab/>
      </w:r>
      <w:r>
        <w:tab/>
      </w:r>
      <w:r>
        <w:tab/>
      </w:r>
      <w:r>
        <w:tab/>
      </w:r>
      <w:r>
        <w:rPr>
          <w:rFonts w:hint="cs"/>
          <w:b/>
          <w:bCs/>
          <w:rtl/>
        </w:rPr>
        <w:t>שרון גל</w:t>
      </w:r>
      <w:r>
        <w:br/>
      </w:r>
      <w:r>
        <w:rPr>
          <w:rFonts w:hint="cs"/>
          <w:b/>
          <w:bCs/>
          <w:rtl/>
        </w:rPr>
        <w:t xml:space="preserve"> </w:t>
      </w:r>
      <w:r>
        <w:tab/>
      </w:r>
      <w:r>
        <w:tab/>
      </w:r>
      <w:r>
        <w:tab/>
      </w:r>
      <w:r>
        <w:tab/>
      </w:r>
      <w:r>
        <w:rPr>
          <w:rFonts w:hint="cs"/>
          <w:b/>
          <w:bCs/>
          <w:rtl/>
        </w:rPr>
        <w:t>יואב קיש</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6259D9A" w:rsidR="00E13C27" w:rsidRDefault="00904591" w:rsidP="00C35ED9">
      <w:pPr>
        <w:pStyle w:val="David"/>
        <w:spacing w:before="0" w:line="240" w:lineRule="auto"/>
        <w:ind w:left="3544"/>
        <w:rPr>
          <w:rtl/>
        </w:rPr>
      </w:pPr>
      <w:r>
        <w:t xml:space="preserve">                                            </w:t>
      </w:r>
      <w:r w:rsidR="008F1308">
        <w:t xml:space="preserve"> </w:t>
      </w:r>
      <w:bookmarkStart w:id="6" w:name="Private_Number"/>
      <w:r>
        <w:rPr>
          <w:rFonts w:hint="cs"/>
          <w:rtl/>
        </w:rPr>
        <w:t>פ/1954/20</w:t>
      </w:r>
      <w:bookmarkEnd w:id="6"/>
    </w:p>
    <w:p w14:paraId="7F6961AD" w14:textId="20F76D93" w:rsidR="00E13C27" w:rsidRDefault="00A443CF" w:rsidP="0021633A">
      <w:pPr>
        <w:pStyle w:val="HeadHatzaotHok"/>
        <w:rPr>
          <w:rtl/>
        </w:rPr>
      </w:pPr>
      <w:bookmarkStart w:id="7" w:name="LGS_Subject"/>
      <w:r>
        <w:rPr>
          <w:rFonts w:hint="cs"/>
          <w:rtl/>
        </w:rPr>
        <w:t>הצעת חוק השמירה על זכויות מחזיקים בקרקע ביהודה והשומרון, התשע"ה–2015</w:t>
      </w:r>
      <w:bookmarkEnd w:id="7"/>
    </w:p>
    <w:p w14:paraId="4825E797" w14:textId="77777777" w:rsidR="005258FD" w:rsidRDefault="005258FD" w:rsidP="005258FD">
      <w:pPr>
        <w:pStyle w:val="HeadHatzaotHok"/>
        <w:tabs>
          <w:tab w:val="left" w:pos="4071"/>
          <w:tab w:val="center" w:pos="4819"/>
        </w:tabs>
        <w:spacing w:before="0"/>
        <w:jc w:val="both"/>
        <w:rPr>
          <w:sz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5258FD" w14:paraId="61A27BFC" w14:textId="77777777" w:rsidTr="00024930">
        <w:trPr>
          <w:cantSplit/>
        </w:trPr>
        <w:tc>
          <w:tcPr>
            <w:tcW w:w="1871" w:type="dxa"/>
          </w:tcPr>
          <w:p w14:paraId="713278E0" w14:textId="77777777" w:rsidR="005258FD" w:rsidRDefault="005258FD" w:rsidP="00BC7160">
            <w:pPr>
              <w:pStyle w:val="TableSideHeading"/>
              <w:keepLines w:val="0"/>
              <w:rPr>
                <w:rtl/>
              </w:rPr>
            </w:pPr>
            <w:r>
              <w:rPr>
                <w:rFonts w:hint="cs"/>
                <w:rtl/>
              </w:rPr>
              <w:t>מטרה</w:t>
            </w:r>
          </w:p>
        </w:tc>
        <w:tc>
          <w:tcPr>
            <w:tcW w:w="624" w:type="dxa"/>
          </w:tcPr>
          <w:p w14:paraId="38540E3B" w14:textId="77777777" w:rsidR="005258FD" w:rsidRPr="00C35ED9" w:rsidRDefault="005258FD" w:rsidP="00C35ED9">
            <w:pPr>
              <w:pStyle w:val="TableText"/>
              <w:ind w:right="0"/>
              <w:jc w:val="both"/>
              <w:rPr>
                <w:rtl/>
              </w:rPr>
            </w:pPr>
            <w:r w:rsidRPr="00C35ED9">
              <w:rPr>
                <w:rFonts w:hint="cs"/>
                <w:rtl/>
              </w:rPr>
              <w:t>1.</w:t>
            </w:r>
          </w:p>
        </w:tc>
        <w:tc>
          <w:tcPr>
            <w:tcW w:w="7143" w:type="dxa"/>
          </w:tcPr>
          <w:p w14:paraId="0BB2B3A5" w14:textId="76321FE3" w:rsidR="005258FD" w:rsidRDefault="005258FD" w:rsidP="00024930">
            <w:pPr>
              <w:pStyle w:val="TableBlock"/>
              <w:rPr>
                <w:rtl/>
              </w:rPr>
            </w:pPr>
            <w:r>
              <w:rPr>
                <w:rFonts w:hint="cs"/>
                <w:rtl/>
              </w:rPr>
              <w:t xml:space="preserve">מטרת חוק זה למנוע פגיעה בלתי מידתית בתושבי מבנים ושכונות </w:t>
            </w:r>
            <w:r w:rsidRPr="001B0D68">
              <w:rPr>
                <w:rFonts w:hint="cs"/>
                <w:rtl/>
              </w:rPr>
              <w:t>שהוקמו</w:t>
            </w:r>
            <w:r w:rsidRPr="001B0D68">
              <w:rPr>
                <w:rtl/>
              </w:rPr>
              <w:t xml:space="preserve"> </w:t>
            </w:r>
            <w:r w:rsidRPr="001B0D68">
              <w:rPr>
                <w:rFonts w:hint="cs"/>
                <w:rtl/>
              </w:rPr>
              <w:t>בהסכמת</w:t>
            </w:r>
            <w:r w:rsidRPr="001B0D68">
              <w:rPr>
                <w:rtl/>
              </w:rPr>
              <w:t xml:space="preserve"> </w:t>
            </w:r>
            <w:r w:rsidRPr="001B0D68">
              <w:rPr>
                <w:rFonts w:hint="cs"/>
                <w:rtl/>
              </w:rPr>
              <w:t xml:space="preserve">הממשלה </w:t>
            </w:r>
            <w:r>
              <w:rPr>
                <w:rFonts w:hint="cs"/>
                <w:rtl/>
              </w:rPr>
              <w:t>באזור יהודה ו</w:t>
            </w:r>
            <w:r w:rsidR="00472185">
              <w:rPr>
                <w:rFonts w:hint="cs"/>
                <w:rtl/>
              </w:rPr>
              <w:t>ה</w:t>
            </w:r>
            <w:r>
              <w:rPr>
                <w:rFonts w:hint="cs"/>
                <w:rtl/>
              </w:rPr>
              <w:t xml:space="preserve">שומרון. </w:t>
            </w:r>
          </w:p>
        </w:tc>
      </w:tr>
      <w:tr w:rsidR="005258FD" w14:paraId="1B215F53" w14:textId="77777777" w:rsidTr="00024930">
        <w:trPr>
          <w:cantSplit/>
        </w:trPr>
        <w:tc>
          <w:tcPr>
            <w:tcW w:w="1871" w:type="dxa"/>
          </w:tcPr>
          <w:p w14:paraId="317B517B" w14:textId="77777777" w:rsidR="005258FD" w:rsidRDefault="005258FD" w:rsidP="00BC7160">
            <w:pPr>
              <w:pStyle w:val="TableSideHeading"/>
              <w:keepLines w:val="0"/>
              <w:rPr>
                <w:rtl/>
              </w:rPr>
            </w:pPr>
            <w:r>
              <w:rPr>
                <w:rFonts w:hint="cs"/>
                <w:rtl/>
              </w:rPr>
              <w:t>הגדרות</w:t>
            </w:r>
          </w:p>
        </w:tc>
        <w:tc>
          <w:tcPr>
            <w:tcW w:w="624" w:type="dxa"/>
          </w:tcPr>
          <w:p w14:paraId="62F1BAD7" w14:textId="77777777" w:rsidR="005258FD" w:rsidRPr="00C35ED9" w:rsidRDefault="005258FD" w:rsidP="00C35ED9">
            <w:pPr>
              <w:pStyle w:val="TableText"/>
              <w:ind w:right="0"/>
              <w:jc w:val="both"/>
              <w:rPr>
                <w:rtl/>
              </w:rPr>
            </w:pPr>
            <w:r w:rsidRPr="00C35ED9">
              <w:rPr>
                <w:rFonts w:hint="cs"/>
                <w:rtl/>
              </w:rPr>
              <w:t>2.</w:t>
            </w:r>
          </w:p>
        </w:tc>
        <w:tc>
          <w:tcPr>
            <w:tcW w:w="7143" w:type="dxa"/>
          </w:tcPr>
          <w:p w14:paraId="6E99BE2B" w14:textId="49FCCDA2" w:rsidR="005258FD" w:rsidRDefault="005258FD" w:rsidP="00024930">
            <w:pPr>
              <w:pStyle w:val="TableBlock"/>
              <w:rPr>
                <w:rtl/>
              </w:rPr>
            </w:pPr>
            <w:r>
              <w:rPr>
                <w:rFonts w:hint="cs"/>
                <w:rtl/>
              </w:rPr>
              <w:t xml:space="preserve">בחוק זה </w:t>
            </w:r>
            <w:r w:rsidR="00637882">
              <w:rPr>
                <w:rtl/>
              </w:rPr>
              <w:t>–</w:t>
            </w:r>
          </w:p>
        </w:tc>
      </w:tr>
      <w:tr w:rsidR="005258FD" w14:paraId="7249ED4C" w14:textId="77777777" w:rsidTr="00024930">
        <w:trPr>
          <w:cantSplit/>
        </w:trPr>
        <w:tc>
          <w:tcPr>
            <w:tcW w:w="1871" w:type="dxa"/>
          </w:tcPr>
          <w:p w14:paraId="6A52B59D" w14:textId="77777777" w:rsidR="005258FD" w:rsidRDefault="005258FD" w:rsidP="00BC7160">
            <w:pPr>
              <w:pStyle w:val="TableSideHeading"/>
              <w:keepLines w:val="0"/>
              <w:rPr>
                <w:rtl/>
              </w:rPr>
            </w:pPr>
          </w:p>
        </w:tc>
        <w:tc>
          <w:tcPr>
            <w:tcW w:w="624" w:type="dxa"/>
          </w:tcPr>
          <w:p w14:paraId="020E264D" w14:textId="77777777" w:rsidR="005258FD" w:rsidRPr="00C35ED9" w:rsidRDefault="005258FD" w:rsidP="00C35ED9">
            <w:pPr>
              <w:pStyle w:val="TableText"/>
              <w:ind w:right="0"/>
              <w:jc w:val="both"/>
              <w:rPr>
                <w:rtl/>
              </w:rPr>
            </w:pPr>
          </w:p>
        </w:tc>
        <w:tc>
          <w:tcPr>
            <w:tcW w:w="7143" w:type="dxa"/>
          </w:tcPr>
          <w:p w14:paraId="73DFF86A" w14:textId="5762D0E2" w:rsidR="005258FD" w:rsidRPr="00C35ED9" w:rsidRDefault="005258FD" w:rsidP="00024930">
            <w:pPr>
              <w:pStyle w:val="TableBlockOutdent"/>
              <w:rPr>
                <w:rtl/>
              </w:rPr>
            </w:pPr>
            <w:r w:rsidRPr="00C35ED9">
              <w:rPr>
                <w:rFonts w:hint="cs"/>
                <w:rtl/>
              </w:rPr>
              <w:t xml:space="preserve">"אזור" </w:t>
            </w:r>
            <w:r w:rsidRPr="00C35ED9">
              <w:rPr>
                <w:rtl/>
              </w:rPr>
              <w:t>–</w:t>
            </w:r>
            <w:r w:rsidRPr="00C35ED9">
              <w:rPr>
                <w:rFonts w:hint="cs"/>
                <w:rtl/>
              </w:rPr>
              <w:t xml:space="preserve"> כהגדרתו </w:t>
            </w:r>
            <w:r w:rsidRPr="00C35ED9">
              <w:rPr>
                <w:rtl/>
              </w:rPr>
              <w:t xml:space="preserve">בחוק לתיקון ולהארכת תקפן של תקנות שעת-חירום (יהודה והשומרון – שיפוט בעבירות ועזרה משפטית), </w:t>
            </w:r>
            <w:r w:rsidR="00637882" w:rsidRPr="00C35ED9">
              <w:rPr>
                <w:rFonts w:hint="cs"/>
                <w:rtl/>
              </w:rPr>
              <w:t>התשס"ז</w:t>
            </w:r>
            <w:r w:rsidR="00637882" w:rsidRPr="00C35ED9">
              <w:rPr>
                <w:rtl/>
              </w:rPr>
              <w:t>–</w:t>
            </w:r>
            <w:r w:rsidR="00637882" w:rsidRPr="00C35ED9">
              <w:rPr>
                <w:rFonts w:hint="cs"/>
                <w:rtl/>
              </w:rPr>
              <w:t>2007</w:t>
            </w:r>
            <w:r w:rsidR="00637882" w:rsidRPr="00241032">
              <w:rPr>
                <w:szCs w:val="20"/>
                <w:rtl/>
              </w:rPr>
              <w:footnoteReference w:id="2"/>
            </w:r>
            <w:r w:rsidR="00637882" w:rsidRPr="00C35ED9">
              <w:rPr>
                <w:rFonts w:hint="cs"/>
                <w:rtl/>
              </w:rPr>
              <w:t>;</w:t>
            </w:r>
          </w:p>
        </w:tc>
      </w:tr>
      <w:tr w:rsidR="005258FD" w14:paraId="3160E82C" w14:textId="77777777" w:rsidTr="00024930">
        <w:trPr>
          <w:cantSplit/>
        </w:trPr>
        <w:tc>
          <w:tcPr>
            <w:tcW w:w="1871" w:type="dxa"/>
          </w:tcPr>
          <w:p w14:paraId="192177DE" w14:textId="77777777" w:rsidR="005258FD" w:rsidRDefault="005258FD" w:rsidP="00BC7160">
            <w:pPr>
              <w:pStyle w:val="TableSideHeading"/>
              <w:keepLines w:val="0"/>
              <w:rPr>
                <w:rtl/>
              </w:rPr>
            </w:pPr>
          </w:p>
        </w:tc>
        <w:tc>
          <w:tcPr>
            <w:tcW w:w="624" w:type="dxa"/>
          </w:tcPr>
          <w:p w14:paraId="340051D9" w14:textId="77777777" w:rsidR="005258FD" w:rsidRPr="00C35ED9" w:rsidRDefault="005258FD" w:rsidP="00C35ED9">
            <w:pPr>
              <w:pStyle w:val="TableText"/>
              <w:ind w:right="0"/>
              <w:jc w:val="both"/>
              <w:rPr>
                <w:rtl/>
              </w:rPr>
            </w:pPr>
          </w:p>
        </w:tc>
        <w:tc>
          <w:tcPr>
            <w:tcW w:w="7143" w:type="dxa"/>
          </w:tcPr>
          <w:p w14:paraId="0B50AF47" w14:textId="77777777" w:rsidR="005258FD" w:rsidRPr="00C35ED9" w:rsidRDefault="005258FD" w:rsidP="00024930">
            <w:pPr>
              <w:pStyle w:val="TableBlockOutdent"/>
              <w:rPr>
                <w:rtl/>
              </w:rPr>
            </w:pPr>
            <w:r w:rsidRPr="00C35ED9">
              <w:rPr>
                <w:rFonts w:hint="cs"/>
                <w:rtl/>
              </w:rPr>
              <w:t xml:space="preserve">"גוף מיישב" </w:t>
            </w:r>
            <w:r w:rsidRPr="00C35ED9">
              <w:rPr>
                <w:rtl/>
              </w:rPr>
              <w:t>–</w:t>
            </w:r>
            <w:r w:rsidRPr="00C35ED9">
              <w:rPr>
                <w:rFonts w:hint="cs"/>
                <w:rtl/>
              </w:rPr>
              <w:t xml:space="preserve"> כל</w:t>
            </w:r>
            <w:r w:rsidRPr="00C35ED9">
              <w:rPr>
                <w:rtl/>
              </w:rPr>
              <w:t xml:space="preserve"> </w:t>
            </w:r>
            <w:r w:rsidRPr="00C35ED9">
              <w:rPr>
                <w:rFonts w:hint="cs"/>
                <w:rtl/>
              </w:rPr>
              <w:t>גוף</w:t>
            </w:r>
            <w:r w:rsidRPr="00C35ED9">
              <w:rPr>
                <w:rtl/>
              </w:rPr>
              <w:t xml:space="preserve"> </w:t>
            </w:r>
            <w:r w:rsidRPr="00C35ED9">
              <w:rPr>
                <w:rFonts w:hint="cs"/>
                <w:rtl/>
              </w:rPr>
              <w:t>שהממשלה</w:t>
            </w:r>
            <w:r w:rsidRPr="00C35ED9">
              <w:rPr>
                <w:rtl/>
              </w:rPr>
              <w:t xml:space="preserve"> </w:t>
            </w:r>
            <w:r w:rsidRPr="00C35ED9">
              <w:rPr>
                <w:rFonts w:hint="cs"/>
                <w:rtl/>
              </w:rPr>
              <w:t>הכירה</w:t>
            </w:r>
            <w:r w:rsidRPr="00C35ED9">
              <w:rPr>
                <w:rtl/>
              </w:rPr>
              <w:t xml:space="preserve"> </w:t>
            </w:r>
            <w:r w:rsidRPr="00C35ED9">
              <w:rPr>
                <w:rFonts w:hint="cs"/>
                <w:rtl/>
              </w:rPr>
              <w:t>בו</w:t>
            </w:r>
            <w:r w:rsidRPr="00C35ED9">
              <w:rPr>
                <w:rtl/>
              </w:rPr>
              <w:t xml:space="preserve"> </w:t>
            </w:r>
            <w:r w:rsidRPr="00C35ED9">
              <w:rPr>
                <w:rFonts w:hint="cs"/>
                <w:rtl/>
              </w:rPr>
              <w:t>בהודעה ברשומות כגוף</w:t>
            </w:r>
            <w:r w:rsidRPr="00C35ED9">
              <w:rPr>
                <w:rtl/>
              </w:rPr>
              <w:t xml:space="preserve"> </w:t>
            </w:r>
            <w:r w:rsidRPr="00C35ED9">
              <w:rPr>
                <w:rFonts w:hint="cs"/>
                <w:rtl/>
              </w:rPr>
              <w:t>מיישב</w:t>
            </w:r>
            <w:r w:rsidRPr="00C35ED9">
              <w:rPr>
                <w:rtl/>
              </w:rPr>
              <w:t xml:space="preserve"> </w:t>
            </w:r>
            <w:r w:rsidRPr="00C35ED9">
              <w:rPr>
                <w:rFonts w:hint="cs"/>
                <w:rtl/>
              </w:rPr>
              <w:t>לעניין</w:t>
            </w:r>
            <w:r w:rsidRPr="00C35ED9">
              <w:rPr>
                <w:rtl/>
              </w:rPr>
              <w:t xml:space="preserve"> </w:t>
            </w:r>
            <w:r w:rsidRPr="00C35ED9">
              <w:rPr>
                <w:rFonts w:hint="cs"/>
                <w:rtl/>
              </w:rPr>
              <w:t>חוק</w:t>
            </w:r>
            <w:r w:rsidRPr="00C35ED9">
              <w:rPr>
                <w:rtl/>
              </w:rPr>
              <w:t xml:space="preserve"> </w:t>
            </w:r>
            <w:r w:rsidRPr="00C35ED9">
              <w:rPr>
                <w:rFonts w:hint="cs"/>
                <w:rtl/>
              </w:rPr>
              <w:t>זה;</w:t>
            </w:r>
          </w:p>
        </w:tc>
      </w:tr>
      <w:tr w:rsidR="005258FD" w14:paraId="1840A592" w14:textId="77777777" w:rsidTr="00024930">
        <w:trPr>
          <w:cantSplit/>
        </w:trPr>
        <w:tc>
          <w:tcPr>
            <w:tcW w:w="1871" w:type="dxa"/>
          </w:tcPr>
          <w:p w14:paraId="6DB7AE5B" w14:textId="77777777" w:rsidR="005258FD" w:rsidRDefault="005258FD" w:rsidP="00BC7160">
            <w:pPr>
              <w:pStyle w:val="TableSideHeading"/>
              <w:keepLines w:val="0"/>
              <w:rPr>
                <w:rtl/>
              </w:rPr>
            </w:pPr>
          </w:p>
        </w:tc>
        <w:tc>
          <w:tcPr>
            <w:tcW w:w="624" w:type="dxa"/>
          </w:tcPr>
          <w:p w14:paraId="3AA8D91D" w14:textId="77777777" w:rsidR="005258FD" w:rsidRPr="00C35ED9" w:rsidRDefault="005258FD" w:rsidP="00C35ED9">
            <w:pPr>
              <w:pStyle w:val="TableText"/>
              <w:ind w:right="0"/>
              <w:jc w:val="both"/>
              <w:rPr>
                <w:rtl/>
              </w:rPr>
            </w:pPr>
          </w:p>
        </w:tc>
        <w:tc>
          <w:tcPr>
            <w:tcW w:w="7143" w:type="dxa"/>
          </w:tcPr>
          <w:p w14:paraId="7A9DF158" w14:textId="0EFAAAAE" w:rsidR="005258FD" w:rsidRPr="00C35ED9" w:rsidRDefault="005258FD" w:rsidP="00024930">
            <w:pPr>
              <w:pStyle w:val="TableBlockOutdent"/>
              <w:rPr>
                <w:rtl/>
              </w:rPr>
            </w:pPr>
            <w:r w:rsidRPr="00C35ED9">
              <w:rPr>
                <w:rtl/>
              </w:rPr>
              <w:t>"</w:t>
            </w:r>
            <w:r w:rsidRPr="00C35ED9">
              <w:rPr>
                <w:rFonts w:hint="cs"/>
                <w:rtl/>
              </w:rPr>
              <w:t>הממונה</w:t>
            </w:r>
            <w:r w:rsidRPr="00C35ED9">
              <w:rPr>
                <w:rtl/>
              </w:rPr>
              <w:t>" –</w:t>
            </w:r>
            <w:r w:rsidR="00241032">
              <w:rPr>
                <w:rFonts w:hint="cs"/>
                <w:rtl/>
              </w:rPr>
              <w:t xml:space="preserve"> </w:t>
            </w:r>
            <w:r w:rsidR="00926E3E" w:rsidRPr="00C35ED9">
              <w:rPr>
                <w:rFonts w:hint="cs"/>
                <w:rtl/>
              </w:rPr>
              <w:t>כהגדרתו ב</w:t>
            </w:r>
            <w:r w:rsidRPr="00C35ED9">
              <w:rPr>
                <w:rFonts w:hint="cs"/>
                <w:rtl/>
              </w:rPr>
              <w:t>צו</w:t>
            </w:r>
            <w:r w:rsidRPr="00C35ED9">
              <w:rPr>
                <w:rtl/>
              </w:rPr>
              <w:t xml:space="preserve"> </w:t>
            </w:r>
            <w:r w:rsidRPr="00C35ED9">
              <w:rPr>
                <w:rFonts w:hint="cs"/>
                <w:rtl/>
              </w:rPr>
              <w:t>בדבר</w:t>
            </w:r>
            <w:r w:rsidRPr="00C35ED9">
              <w:rPr>
                <w:rtl/>
              </w:rPr>
              <w:t xml:space="preserve"> </w:t>
            </w:r>
            <w:r w:rsidRPr="00C35ED9">
              <w:rPr>
                <w:rFonts w:hint="cs"/>
                <w:rtl/>
              </w:rPr>
              <w:t>רכוש</w:t>
            </w:r>
            <w:r w:rsidRPr="00C35ED9">
              <w:rPr>
                <w:rtl/>
              </w:rPr>
              <w:t xml:space="preserve"> </w:t>
            </w:r>
            <w:r w:rsidRPr="00C35ED9">
              <w:rPr>
                <w:rFonts w:hint="cs"/>
                <w:rtl/>
              </w:rPr>
              <w:t>ממשלתי</w:t>
            </w:r>
            <w:r w:rsidRPr="00C35ED9">
              <w:rPr>
                <w:rtl/>
              </w:rPr>
              <w:t xml:space="preserve"> (</w:t>
            </w:r>
            <w:r w:rsidRPr="00C35ED9">
              <w:rPr>
                <w:rFonts w:hint="cs"/>
                <w:rtl/>
              </w:rPr>
              <w:t>יהודה</w:t>
            </w:r>
            <w:r w:rsidRPr="00C35ED9">
              <w:rPr>
                <w:rtl/>
              </w:rPr>
              <w:t xml:space="preserve"> </w:t>
            </w:r>
            <w:r w:rsidRPr="00C35ED9">
              <w:rPr>
                <w:rFonts w:hint="cs"/>
                <w:rtl/>
              </w:rPr>
              <w:t>והשומרון</w:t>
            </w:r>
            <w:r w:rsidRPr="00C35ED9">
              <w:rPr>
                <w:rtl/>
              </w:rPr>
              <w:t>) (</w:t>
            </w:r>
            <w:r w:rsidRPr="00C35ED9">
              <w:rPr>
                <w:rFonts w:hint="cs"/>
                <w:rtl/>
              </w:rPr>
              <w:t>מס</w:t>
            </w:r>
            <w:r w:rsidRPr="00C35ED9">
              <w:rPr>
                <w:rtl/>
              </w:rPr>
              <w:t xml:space="preserve">' 59), </w:t>
            </w:r>
            <w:r w:rsidRPr="00C35ED9">
              <w:rPr>
                <w:rFonts w:hint="cs"/>
                <w:rtl/>
              </w:rPr>
              <w:t>התשכ</w:t>
            </w:r>
            <w:r w:rsidRPr="00C35ED9">
              <w:rPr>
                <w:rtl/>
              </w:rPr>
              <w:t>"</w:t>
            </w:r>
            <w:r w:rsidRPr="00C35ED9">
              <w:rPr>
                <w:rFonts w:hint="cs"/>
                <w:rtl/>
              </w:rPr>
              <w:t>ז</w:t>
            </w:r>
            <w:r w:rsidR="00241032" w:rsidRPr="00C35ED9">
              <w:rPr>
                <w:rtl/>
              </w:rPr>
              <w:t>–</w:t>
            </w:r>
            <w:r w:rsidRPr="00C35ED9">
              <w:rPr>
                <w:rtl/>
              </w:rPr>
              <w:t>1967</w:t>
            </w:r>
            <w:r w:rsidRPr="00241032">
              <w:rPr>
                <w:szCs w:val="20"/>
                <w:rtl/>
              </w:rPr>
              <w:footnoteReference w:id="3"/>
            </w:r>
            <w:r w:rsidRPr="00C35ED9">
              <w:rPr>
                <w:rFonts w:hint="cs"/>
                <w:rtl/>
              </w:rPr>
              <w:t>;</w:t>
            </w:r>
          </w:p>
        </w:tc>
      </w:tr>
      <w:tr w:rsidR="005258FD" w14:paraId="2CE28964" w14:textId="77777777" w:rsidTr="00024930">
        <w:trPr>
          <w:cantSplit/>
        </w:trPr>
        <w:tc>
          <w:tcPr>
            <w:tcW w:w="1871" w:type="dxa"/>
          </w:tcPr>
          <w:p w14:paraId="031C9B66" w14:textId="77777777" w:rsidR="005258FD" w:rsidRDefault="005258FD" w:rsidP="00BC7160">
            <w:pPr>
              <w:pStyle w:val="TableSideHeading"/>
              <w:keepLines w:val="0"/>
              <w:rPr>
                <w:rtl/>
              </w:rPr>
            </w:pPr>
          </w:p>
        </w:tc>
        <w:tc>
          <w:tcPr>
            <w:tcW w:w="624" w:type="dxa"/>
          </w:tcPr>
          <w:p w14:paraId="7B8244DC" w14:textId="77777777" w:rsidR="005258FD" w:rsidRPr="00C35ED9" w:rsidRDefault="005258FD" w:rsidP="00C35ED9">
            <w:pPr>
              <w:pStyle w:val="TableText"/>
              <w:ind w:right="0"/>
              <w:jc w:val="both"/>
              <w:rPr>
                <w:rtl/>
              </w:rPr>
            </w:pPr>
          </w:p>
        </w:tc>
        <w:tc>
          <w:tcPr>
            <w:tcW w:w="7143" w:type="dxa"/>
          </w:tcPr>
          <w:p w14:paraId="4F989D97" w14:textId="0701A0DB" w:rsidR="005258FD" w:rsidRPr="00C35ED9" w:rsidRDefault="005258FD" w:rsidP="00024930">
            <w:pPr>
              <w:pStyle w:val="TableBlockOutdent"/>
              <w:rPr>
                <w:rtl/>
              </w:rPr>
            </w:pPr>
            <w:r w:rsidRPr="00C35ED9">
              <w:rPr>
                <w:rFonts w:hint="cs"/>
                <w:rtl/>
              </w:rPr>
              <w:t xml:space="preserve">"המפקד הצבאי" </w:t>
            </w:r>
            <w:r w:rsidRPr="00C35ED9">
              <w:rPr>
                <w:rtl/>
              </w:rPr>
              <w:t>–</w:t>
            </w:r>
            <w:r w:rsidRPr="00C35ED9">
              <w:rPr>
                <w:rFonts w:hint="cs"/>
                <w:rtl/>
              </w:rPr>
              <w:t xml:space="preserve"> מי שנטל את כל הסמכויות השלטוניות </w:t>
            </w:r>
            <w:r w:rsidR="00B8436C" w:rsidRPr="00C35ED9">
              <w:rPr>
                <w:rFonts w:hint="cs"/>
                <w:rtl/>
              </w:rPr>
              <w:t>לפי</w:t>
            </w:r>
            <w:r w:rsidRPr="00C35ED9">
              <w:rPr>
                <w:rFonts w:hint="cs"/>
                <w:rtl/>
              </w:rPr>
              <w:t xml:space="preserve"> סעיף 3 למנשר בדבר סדרי השלטון המשפט (יהודה והשומרון) (מס' 2)</w:t>
            </w:r>
            <w:r w:rsidR="00637882" w:rsidRPr="00C35ED9">
              <w:rPr>
                <w:rFonts w:hint="cs"/>
                <w:rtl/>
              </w:rPr>
              <w:t>, התשכ"ז</w:t>
            </w:r>
            <w:r w:rsidR="00637882" w:rsidRPr="00C35ED9">
              <w:rPr>
                <w:rtl/>
              </w:rPr>
              <w:t>–</w:t>
            </w:r>
            <w:r w:rsidR="00637882" w:rsidRPr="00C35ED9">
              <w:rPr>
                <w:rFonts w:hint="cs"/>
                <w:rtl/>
              </w:rPr>
              <w:t>1967</w:t>
            </w:r>
            <w:r w:rsidR="00637882" w:rsidRPr="00241032">
              <w:rPr>
                <w:szCs w:val="20"/>
                <w:rtl/>
              </w:rPr>
              <w:footnoteReference w:id="4"/>
            </w:r>
            <w:r w:rsidR="00637882" w:rsidRPr="00C35ED9">
              <w:rPr>
                <w:rFonts w:hint="cs"/>
                <w:rtl/>
              </w:rPr>
              <w:t>;</w:t>
            </w:r>
            <w:r w:rsidR="00637882" w:rsidRPr="00C35ED9">
              <w:rPr>
                <w:rtl/>
              </w:rPr>
              <w:t xml:space="preserve"> </w:t>
            </w:r>
            <w:r w:rsidR="00637882" w:rsidRPr="00C35ED9">
              <w:rPr>
                <w:rFonts w:hint="cs"/>
                <w:rtl/>
              </w:rPr>
              <w:t xml:space="preserve"> </w:t>
            </w:r>
            <w:r w:rsidRPr="00C35ED9">
              <w:rPr>
                <w:rFonts w:hint="cs"/>
                <w:rtl/>
              </w:rPr>
              <w:t xml:space="preserve"> </w:t>
            </w:r>
          </w:p>
        </w:tc>
      </w:tr>
      <w:tr w:rsidR="005258FD" w14:paraId="5F3E610F" w14:textId="77777777" w:rsidTr="00024930">
        <w:trPr>
          <w:cantSplit/>
        </w:trPr>
        <w:tc>
          <w:tcPr>
            <w:tcW w:w="1871" w:type="dxa"/>
          </w:tcPr>
          <w:p w14:paraId="09BD8B83" w14:textId="77777777" w:rsidR="005258FD" w:rsidRDefault="005258FD" w:rsidP="00BC7160">
            <w:pPr>
              <w:pStyle w:val="TableSideHeading"/>
              <w:keepLines w:val="0"/>
              <w:rPr>
                <w:rtl/>
              </w:rPr>
            </w:pPr>
          </w:p>
        </w:tc>
        <w:tc>
          <w:tcPr>
            <w:tcW w:w="624" w:type="dxa"/>
          </w:tcPr>
          <w:p w14:paraId="479DCD52" w14:textId="77777777" w:rsidR="005258FD" w:rsidRPr="00C35ED9" w:rsidRDefault="005258FD" w:rsidP="00C35ED9">
            <w:pPr>
              <w:pStyle w:val="TableText"/>
              <w:ind w:right="0"/>
              <w:jc w:val="both"/>
              <w:rPr>
                <w:rtl/>
              </w:rPr>
            </w:pPr>
          </w:p>
        </w:tc>
        <w:tc>
          <w:tcPr>
            <w:tcW w:w="7143" w:type="dxa"/>
          </w:tcPr>
          <w:p w14:paraId="0BDAAD7E" w14:textId="13597CE3" w:rsidR="005258FD" w:rsidRPr="00C35ED9" w:rsidRDefault="005258FD" w:rsidP="00024930">
            <w:pPr>
              <w:pStyle w:val="TableBlockOutdent"/>
              <w:rPr>
                <w:rtl/>
              </w:rPr>
            </w:pPr>
            <w:r w:rsidRPr="00C35ED9">
              <w:rPr>
                <w:rFonts w:hint="cs"/>
                <w:rtl/>
              </w:rPr>
              <w:t xml:space="preserve">"יישוב" </w:t>
            </w:r>
            <w:r w:rsidRPr="00C35ED9">
              <w:rPr>
                <w:rtl/>
              </w:rPr>
              <w:t>–</w:t>
            </w:r>
            <w:r w:rsidRPr="00C35ED9">
              <w:rPr>
                <w:rFonts w:hint="cs"/>
                <w:rtl/>
              </w:rPr>
              <w:t xml:space="preserve"> מקום המשמש למגורי חבר בני אדם, ולרבות כל מתקן המשמש לצרכי מקום זה או לצרכי תושביו;</w:t>
            </w:r>
            <w:r w:rsidR="00E06DCA" w:rsidRPr="00C35ED9">
              <w:rPr>
                <w:rFonts w:hint="cs"/>
                <w:rtl/>
              </w:rPr>
              <w:t xml:space="preserve"> </w:t>
            </w:r>
          </w:p>
        </w:tc>
      </w:tr>
      <w:tr w:rsidR="005258FD" w14:paraId="5A16DFE0" w14:textId="77777777" w:rsidTr="00024930">
        <w:trPr>
          <w:cantSplit/>
        </w:trPr>
        <w:tc>
          <w:tcPr>
            <w:tcW w:w="1871" w:type="dxa"/>
          </w:tcPr>
          <w:p w14:paraId="771E75AE" w14:textId="77777777" w:rsidR="005258FD" w:rsidRDefault="005258FD" w:rsidP="00BC7160">
            <w:pPr>
              <w:pStyle w:val="TableSideHeading"/>
              <w:keepLines w:val="0"/>
              <w:rPr>
                <w:rtl/>
              </w:rPr>
            </w:pPr>
          </w:p>
        </w:tc>
        <w:tc>
          <w:tcPr>
            <w:tcW w:w="624" w:type="dxa"/>
          </w:tcPr>
          <w:p w14:paraId="6695905D" w14:textId="77777777" w:rsidR="005258FD" w:rsidRPr="00C35ED9" w:rsidRDefault="005258FD" w:rsidP="00C35ED9">
            <w:pPr>
              <w:pStyle w:val="TableText"/>
              <w:ind w:right="0"/>
              <w:jc w:val="both"/>
              <w:rPr>
                <w:rtl/>
              </w:rPr>
            </w:pPr>
          </w:p>
        </w:tc>
        <w:tc>
          <w:tcPr>
            <w:tcW w:w="7143" w:type="dxa"/>
          </w:tcPr>
          <w:p w14:paraId="12D03F3E" w14:textId="77777777" w:rsidR="005258FD" w:rsidRPr="00C35ED9" w:rsidRDefault="005258FD" w:rsidP="00024930">
            <w:pPr>
              <w:pStyle w:val="TableBlockOutdent"/>
              <w:rPr>
                <w:rtl/>
              </w:rPr>
            </w:pPr>
            <w:r w:rsidRPr="00C35ED9">
              <w:rPr>
                <w:rFonts w:hint="cs"/>
                <w:rtl/>
              </w:rPr>
              <w:t xml:space="preserve">"שכונה" </w:t>
            </w:r>
            <w:r w:rsidRPr="00C35ED9">
              <w:rPr>
                <w:rtl/>
              </w:rPr>
              <w:t>–</w:t>
            </w:r>
            <w:r w:rsidRPr="00C35ED9">
              <w:rPr>
                <w:rFonts w:hint="cs"/>
                <w:rtl/>
              </w:rPr>
              <w:t xml:space="preserve"> חלק מיישוב או הרחבה שלו.</w:t>
            </w:r>
          </w:p>
        </w:tc>
      </w:tr>
      <w:tr w:rsidR="00C35ED9" w14:paraId="3DA7BEEE" w14:textId="77777777" w:rsidTr="00024930">
        <w:trPr>
          <w:cantSplit/>
        </w:trPr>
        <w:tc>
          <w:tcPr>
            <w:tcW w:w="1871" w:type="dxa"/>
          </w:tcPr>
          <w:p w14:paraId="3A97709D" w14:textId="77777777" w:rsidR="00C35ED9" w:rsidRDefault="00C35ED9" w:rsidP="00BC7160">
            <w:pPr>
              <w:pStyle w:val="TableSideHeading"/>
              <w:keepLines w:val="0"/>
              <w:rPr>
                <w:rtl/>
              </w:rPr>
            </w:pPr>
            <w:r>
              <w:rPr>
                <w:rFonts w:hint="cs"/>
                <w:rtl/>
              </w:rPr>
              <w:lastRenderedPageBreak/>
              <w:t>הפקעת מקרקעי יישוב קיים</w:t>
            </w:r>
          </w:p>
        </w:tc>
        <w:tc>
          <w:tcPr>
            <w:tcW w:w="624" w:type="dxa"/>
          </w:tcPr>
          <w:p w14:paraId="39EEED8F" w14:textId="058F79D7" w:rsidR="00C35ED9" w:rsidRPr="00C35ED9" w:rsidRDefault="00C35ED9" w:rsidP="00C35ED9">
            <w:pPr>
              <w:pStyle w:val="TableText"/>
              <w:ind w:right="0"/>
              <w:jc w:val="both"/>
              <w:rPr>
                <w:rtl/>
              </w:rPr>
            </w:pPr>
            <w:r w:rsidRPr="00C35ED9">
              <w:rPr>
                <w:rFonts w:hint="cs"/>
                <w:rtl/>
              </w:rPr>
              <w:t>3.</w:t>
            </w:r>
            <w:r w:rsidRPr="00C35ED9">
              <w:rPr>
                <w:rtl/>
              </w:rPr>
              <w:t xml:space="preserve">  </w:t>
            </w:r>
          </w:p>
        </w:tc>
        <w:tc>
          <w:tcPr>
            <w:tcW w:w="7143" w:type="dxa"/>
          </w:tcPr>
          <w:p w14:paraId="41C85669" w14:textId="678EDA85" w:rsidR="00C35ED9" w:rsidRPr="00C35ED9" w:rsidRDefault="00C35ED9" w:rsidP="00024930">
            <w:pPr>
              <w:pStyle w:val="TableBlock"/>
              <w:rPr>
                <w:rtl/>
              </w:rPr>
            </w:pPr>
            <w:r w:rsidRPr="00C35ED9">
              <w:rPr>
                <w:rFonts w:hint="cs"/>
                <w:rtl/>
              </w:rPr>
              <w:t>(א)</w:t>
            </w:r>
            <w:r w:rsidRPr="00C35ED9">
              <w:rPr>
                <w:rtl/>
              </w:rPr>
              <w:tab/>
            </w:r>
            <w:r w:rsidRPr="00C35ED9">
              <w:rPr>
                <w:rFonts w:hint="cs"/>
                <w:rtl/>
              </w:rPr>
              <w:t xml:space="preserve">נבנו בהסכמת הממשלה יישוב או שכונה על מקרקעין באזור עובר למועד תחילתו של חוק זה, ונמצא כי על פי הדין החל באזור אין למחזיק במקרקעין, או לממונה, הזכויות הדרושות לצורך תכנון במקום, יופקעו המקרקעין בהתאם להוראות חוק זה. </w:t>
            </w:r>
          </w:p>
        </w:tc>
      </w:tr>
      <w:tr w:rsidR="00C35ED9" w14:paraId="4A70D497" w14:textId="77777777" w:rsidTr="00024930">
        <w:trPr>
          <w:cantSplit/>
        </w:trPr>
        <w:tc>
          <w:tcPr>
            <w:tcW w:w="1871" w:type="dxa"/>
          </w:tcPr>
          <w:p w14:paraId="6754808F" w14:textId="77777777" w:rsidR="00C35ED9" w:rsidRDefault="00C35ED9" w:rsidP="00BC7160">
            <w:pPr>
              <w:pStyle w:val="TableSideHeading"/>
              <w:keepLines w:val="0"/>
              <w:rPr>
                <w:rtl/>
              </w:rPr>
            </w:pPr>
          </w:p>
        </w:tc>
        <w:tc>
          <w:tcPr>
            <w:tcW w:w="624" w:type="dxa"/>
          </w:tcPr>
          <w:p w14:paraId="2FD4CE75" w14:textId="77777777" w:rsidR="00C35ED9" w:rsidRPr="00C35ED9" w:rsidRDefault="00C35ED9" w:rsidP="00C35ED9">
            <w:pPr>
              <w:pStyle w:val="TableText"/>
              <w:ind w:right="0"/>
              <w:jc w:val="both"/>
              <w:rPr>
                <w:rtl/>
              </w:rPr>
            </w:pPr>
          </w:p>
        </w:tc>
        <w:tc>
          <w:tcPr>
            <w:tcW w:w="7143" w:type="dxa"/>
          </w:tcPr>
          <w:p w14:paraId="53965CBE" w14:textId="73BEB6CD" w:rsidR="00C35ED9" w:rsidRPr="00C35ED9" w:rsidRDefault="00C35ED9" w:rsidP="00024930">
            <w:pPr>
              <w:pStyle w:val="TableBlock"/>
              <w:rPr>
                <w:rtl/>
              </w:rPr>
            </w:pPr>
            <w:r w:rsidRPr="00C35ED9">
              <w:rPr>
                <w:rFonts w:hint="cs"/>
                <w:rtl/>
              </w:rPr>
              <w:t>(ב)</w:t>
            </w:r>
            <w:r w:rsidRPr="00C35ED9">
              <w:rPr>
                <w:rtl/>
              </w:rPr>
              <w:tab/>
            </w:r>
            <w:r w:rsidRPr="00C35ED9">
              <w:rPr>
                <w:rFonts w:hint="cs"/>
                <w:rtl/>
              </w:rPr>
              <w:t>בסעיף</w:t>
            </w:r>
            <w:r w:rsidRPr="00C35ED9">
              <w:rPr>
                <w:rtl/>
              </w:rPr>
              <w:t xml:space="preserve"> </w:t>
            </w:r>
            <w:r w:rsidRPr="00C35ED9">
              <w:rPr>
                <w:rFonts w:hint="cs"/>
                <w:rtl/>
              </w:rPr>
              <w:t>זה</w:t>
            </w:r>
            <w:r w:rsidRPr="00C35ED9">
              <w:rPr>
                <w:rtl/>
              </w:rPr>
              <w:t>, "</w:t>
            </w:r>
            <w:r w:rsidRPr="00C35ED9">
              <w:rPr>
                <w:rFonts w:hint="cs"/>
                <w:rtl/>
              </w:rPr>
              <w:t>הסכמת</w:t>
            </w:r>
            <w:r w:rsidRPr="00C35ED9">
              <w:rPr>
                <w:rtl/>
              </w:rPr>
              <w:t xml:space="preserve"> </w:t>
            </w:r>
            <w:r w:rsidRPr="00C35ED9">
              <w:rPr>
                <w:rFonts w:hint="cs"/>
                <w:rtl/>
              </w:rPr>
              <w:t>הממשלה</w:t>
            </w:r>
            <w:r w:rsidRPr="00C35ED9">
              <w:rPr>
                <w:rtl/>
              </w:rPr>
              <w:t xml:space="preserve">" – </w:t>
            </w:r>
            <w:r w:rsidRPr="00C35ED9">
              <w:rPr>
                <w:rFonts w:hint="cs"/>
                <w:rtl/>
              </w:rPr>
              <w:t>במפורש</w:t>
            </w:r>
            <w:r w:rsidRPr="00C35ED9">
              <w:rPr>
                <w:rtl/>
              </w:rPr>
              <w:t xml:space="preserve"> </w:t>
            </w:r>
            <w:r w:rsidRPr="00C35ED9">
              <w:rPr>
                <w:rFonts w:hint="cs"/>
                <w:rtl/>
              </w:rPr>
              <w:t>או</w:t>
            </w:r>
            <w:r w:rsidRPr="00C35ED9">
              <w:rPr>
                <w:rtl/>
              </w:rPr>
              <w:t xml:space="preserve"> </w:t>
            </w:r>
            <w:r w:rsidRPr="00C35ED9">
              <w:rPr>
                <w:rFonts w:hint="cs"/>
                <w:rtl/>
              </w:rPr>
              <w:t>במשתמע</w:t>
            </w:r>
            <w:r w:rsidRPr="00C35ED9">
              <w:rPr>
                <w:rtl/>
              </w:rPr>
              <w:t xml:space="preserve">, </w:t>
            </w:r>
            <w:r w:rsidRPr="00C35ED9">
              <w:rPr>
                <w:rFonts w:hint="cs"/>
                <w:rtl/>
              </w:rPr>
              <w:t>לרבות</w:t>
            </w:r>
            <w:r w:rsidRPr="00C35ED9">
              <w:rPr>
                <w:rtl/>
              </w:rPr>
              <w:t xml:space="preserve"> </w:t>
            </w:r>
            <w:r w:rsidRPr="00C35ED9">
              <w:rPr>
                <w:rFonts w:hint="cs"/>
                <w:rtl/>
              </w:rPr>
              <w:t>סיוע</w:t>
            </w:r>
            <w:r w:rsidRPr="00C35ED9">
              <w:rPr>
                <w:rtl/>
              </w:rPr>
              <w:t xml:space="preserve"> </w:t>
            </w:r>
            <w:r w:rsidRPr="00C35ED9">
              <w:rPr>
                <w:rFonts w:hint="cs"/>
                <w:rtl/>
              </w:rPr>
              <w:t>בהנחת</w:t>
            </w:r>
            <w:r w:rsidRPr="00C35ED9">
              <w:rPr>
                <w:rtl/>
              </w:rPr>
              <w:t xml:space="preserve"> </w:t>
            </w:r>
            <w:r w:rsidRPr="00C35ED9">
              <w:rPr>
                <w:rFonts w:hint="cs"/>
                <w:rtl/>
              </w:rPr>
              <w:t>תשתיות</w:t>
            </w:r>
            <w:r w:rsidRPr="00C35ED9">
              <w:rPr>
                <w:rtl/>
              </w:rPr>
              <w:t xml:space="preserve">, </w:t>
            </w:r>
            <w:r w:rsidRPr="00C35ED9">
              <w:rPr>
                <w:rFonts w:hint="cs"/>
                <w:rtl/>
              </w:rPr>
              <w:t>הענקת</w:t>
            </w:r>
            <w:r w:rsidRPr="00C35ED9">
              <w:rPr>
                <w:rtl/>
              </w:rPr>
              <w:t xml:space="preserve"> </w:t>
            </w:r>
            <w:r w:rsidRPr="00C35ED9">
              <w:rPr>
                <w:rFonts w:hint="cs"/>
                <w:rtl/>
              </w:rPr>
              <w:t>תמריצים</w:t>
            </w:r>
            <w:r w:rsidRPr="00C35ED9">
              <w:rPr>
                <w:rtl/>
              </w:rPr>
              <w:t xml:space="preserve">, </w:t>
            </w:r>
            <w:r w:rsidRPr="00C35ED9">
              <w:rPr>
                <w:rFonts w:hint="cs"/>
                <w:rtl/>
              </w:rPr>
              <w:t>פרסום</w:t>
            </w:r>
            <w:r w:rsidRPr="00C35ED9">
              <w:rPr>
                <w:rtl/>
              </w:rPr>
              <w:t xml:space="preserve"> </w:t>
            </w:r>
            <w:r w:rsidRPr="00C35ED9">
              <w:rPr>
                <w:rFonts w:hint="cs"/>
                <w:rtl/>
              </w:rPr>
              <w:t>פרסומים</w:t>
            </w:r>
            <w:r w:rsidRPr="00C35ED9">
              <w:rPr>
                <w:rtl/>
              </w:rPr>
              <w:t xml:space="preserve"> </w:t>
            </w:r>
            <w:r w:rsidRPr="00C35ED9">
              <w:rPr>
                <w:rFonts w:hint="cs"/>
                <w:rtl/>
              </w:rPr>
              <w:t>ממריצים</w:t>
            </w:r>
            <w:r w:rsidRPr="00C35ED9">
              <w:rPr>
                <w:rtl/>
              </w:rPr>
              <w:t xml:space="preserve"> </w:t>
            </w:r>
            <w:r w:rsidRPr="00C35ED9">
              <w:rPr>
                <w:rFonts w:hint="cs"/>
                <w:rtl/>
              </w:rPr>
              <w:t>לבנייה</w:t>
            </w:r>
            <w:r w:rsidRPr="00C35ED9">
              <w:rPr>
                <w:rtl/>
              </w:rPr>
              <w:t xml:space="preserve"> </w:t>
            </w:r>
            <w:r w:rsidRPr="00C35ED9">
              <w:rPr>
                <w:rFonts w:hint="cs"/>
                <w:rtl/>
              </w:rPr>
              <w:t>או</w:t>
            </w:r>
            <w:r w:rsidRPr="00C35ED9">
              <w:rPr>
                <w:rtl/>
              </w:rPr>
              <w:t xml:space="preserve"> </w:t>
            </w:r>
            <w:r w:rsidRPr="00C35ED9">
              <w:rPr>
                <w:rFonts w:hint="cs"/>
                <w:rtl/>
              </w:rPr>
              <w:t>פיתוח</w:t>
            </w:r>
            <w:r w:rsidRPr="00C35ED9">
              <w:rPr>
                <w:rtl/>
              </w:rPr>
              <w:t>.</w:t>
            </w:r>
          </w:p>
        </w:tc>
      </w:tr>
      <w:tr w:rsidR="005258FD" w14:paraId="477F0522" w14:textId="77777777" w:rsidTr="00024930">
        <w:trPr>
          <w:cantSplit/>
        </w:trPr>
        <w:tc>
          <w:tcPr>
            <w:tcW w:w="1871" w:type="dxa"/>
          </w:tcPr>
          <w:p w14:paraId="65989073" w14:textId="77777777" w:rsidR="005258FD" w:rsidRDefault="005258FD" w:rsidP="00BC7160">
            <w:pPr>
              <w:pStyle w:val="TableSideHeading"/>
              <w:keepLines w:val="0"/>
              <w:rPr>
                <w:rtl/>
              </w:rPr>
            </w:pPr>
            <w:r>
              <w:rPr>
                <w:rFonts w:hint="cs"/>
                <w:rtl/>
              </w:rPr>
              <w:t>הפקעה בצו המפקד הצבאי</w:t>
            </w:r>
          </w:p>
        </w:tc>
        <w:tc>
          <w:tcPr>
            <w:tcW w:w="624" w:type="dxa"/>
          </w:tcPr>
          <w:p w14:paraId="28EA85B0" w14:textId="77777777" w:rsidR="005258FD" w:rsidRPr="00C35ED9" w:rsidRDefault="005258FD" w:rsidP="00C35ED9">
            <w:pPr>
              <w:pStyle w:val="TableText"/>
              <w:ind w:right="0"/>
              <w:jc w:val="both"/>
              <w:rPr>
                <w:rtl/>
              </w:rPr>
            </w:pPr>
            <w:r w:rsidRPr="00C35ED9">
              <w:rPr>
                <w:rFonts w:hint="cs"/>
                <w:rtl/>
              </w:rPr>
              <w:t>4.</w:t>
            </w:r>
          </w:p>
        </w:tc>
        <w:tc>
          <w:tcPr>
            <w:tcW w:w="7143" w:type="dxa"/>
          </w:tcPr>
          <w:p w14:paraId="481778B8" w14:textId="77777777" w:rsidR="005258FD" w:rsidRPr="00260D3B" w:rsidRDefault="005258FD" w:rsidP="00024930">
            <w:pPr>
              <w:pStyle w:val="TableBlock"/>
              <w:rPr>
                <w:rtl/>
              </w:rPr>
            </w:pPr>
            <w:r>
              <w:rPr>
                <w:rFonts w:hint="cs"/>
                <w:rtl/>
              </w:rPr>
              <w:t xml:space="preserve">הפקעה לפי חוק זה תהיה בצו הפקעה שיקבע המפקד הצבאי בהתאם להוראות חוק זה. </w:t>
            </w:r>
          </w:p>
        </w:tc>
      </w:tr>
      <w:tr w:rsidR="005258FD" w14:paraId="171176A8" w14:textId="77777777" w:rsidTr="00024930">
        <w:trPr>
          <w:cantSplit/>
        </w:trPr>
        <w:tc>
          <w:tcPr>
            <w:tcW w:w="1871" w:type="dxa"/>
          </w:tcPr>
          <w:p w14:paraId="6EF4BE78" w14:textId="77777777" w:rsidR="005258FD" w:rsidRDefault="005258FD" w:rsidP="00BC7160">
            <w:pPr>
              <w:pStyle w:val="TableSideHeading"/>
              <w:keepLines w:val="0"/>
              <w:rPr>
                <w:rtl/>
              </w:rPr>
            </w:pPr>
            <w:r>
              <w:rPr>
                <w:rFonts w:hint="cs"/>
                <w:rtl/>
              </w:rPr>
              <w:t>זכויות מכוח הפקעת מקרקעי יישוב קיים</w:t>
            </w:r>
          </w:p>
        </w:tc>
        <w:tc>
          <w:tcPr>
            <w:tcW w:w="624" w:type="dxa"/>
          </w:tcPr>
          <w:p w14:paraId="3E3BE89F" w14:textId="77777777" w:rsidR="005258FD" w:rsidRPr="00C35ED9" w:rsidRDefault="005258FD" w:rsidP="00C35ED9">
            <w:pPr>
              <w:pStyle w:val="TableText"/>
              <w:ind w:right="0"/>
              <w:jc w:val="both"/>
              <w:rPr>
                <w:rtl/>
              </w:rPr>
            </w:pPr>
            <w:r w:rsidRPr="00C35ED9">
              <w:rPr>
                <w:rFonts w:hint="cs"/>
                <w:rtl/>
              </w:rPr>
              <w:t xml:space="preserve">5. </w:t>
            </w:r>
          </w:p>
        </w:tc>
        <w:tc>
          <w:tcPr>
            <w:tcW w:w="7143" w:type="dxa"/>
          </w:tcPr>
          <w:p w14:paraId="1B57EC50" w14:textId="77777777" w:rsidR="005258FD" w:rsidRDefault="005258FD" w:rsidP="00024930">
            <w:pPr>
              <w:pStyle w:val="TableBlock"/>
              <w:rPr>
                <w:rtl/>
              </w:rPr>
            </w:pPr>
            <w:r>
              <w:rPr>
                <w:rFonts w:hint="cs"/>
                <w:rtl/>
              </w:rPr>
              <w:t xml:space="preserve">הפקעה לפי חוק זה תהיה לטובת הממונה; </w:t>
            </w:r>
            <w:r w:rsidRPr="00260D3B">
              <w:rPr>
                <w:rFonts w:hint="cs"/>
                <w:rtl/>
              </w:rPr>
              <w:t>הופקעו</w:t>
            </w:r>
            <w:r w:rsidRPr="00260D3B">
              <w:rPr>
                <w:rtl/>
              </w:rPr>
              <w:t xml:space="preserve"> </w:t>
            </w:r>
            <w:r w:rsidRPr="00260D3B">
              <w:rPr>
                <w:rFonts w:hint="cs"/>
                <w:rtl/>
              </w:rPr>
              <w:t>מקרקעין</w:t>
            </w:r>
            <w:r w:rsidRPr="00260D3B">
              <w:rPr>
                <w:rtl/>
              </w:rPr>
              <w:t xml:space="preserve"> </w:t>
            </w:r>
            <w:r>
              <w:rPr>
                <w:rFonts w:hint="cs"/>
                <w:rtl/>
              </w:rPr>
              <w:t>כאמור</w:t>
            </w:r>
            <w:r w:rsidRPr="00260D3B">
              <w:rPr>
                <w:rtl/>
              </w:rPr>
              <w:t xml:space="preserve">, </w:t>
            </w:r>
            <w:r w:rsidRPr="00260D3B">
              <w:rPr>
                <w:rFonts w:hint="cs"/>
                <w:rtl/>
              </w:rPr>
              <w:t>יקצה</w:t>
            </w:r>
            <w:r w:rsidRPr="00260D3B">
              <w:rPr>
                <w:rtl/>
              </w:rPr>
              <w:t xml:space="preserve"> </w:t>
            </w:r>
            <w:r w:rsidRPr="00260D3B">
              <w:rPr>
                <w:rFonts w:hint="cs"/>
                <w:rtl/>
              </w:rPr>
              <w:t>אותם</w:t>
            </w:r>
            <w:r w:rsidRPr="00260D3B">
              <w:rPr>
                <w:rtl/>
              </w:rPr>
              <w:t xml:space="preserve"> </w:t>
            </w:r>
            <w:r w:rsidRPr="00260D3B">
              <w:rPr>
                <w:rFonts w:hint="cs"/>
                <w:rtl/>
              </w:rPr>
              <w:t>הממונה</w:t>
            </w:r>
            <w:r w:rsidRPr="00260D3B">
              <w:rPr>
                <w:rtl/>
              </w:rPr>
              <w:t xml:space="preserve"> </w:t>
            </w:r>
            <w:r w:rsidRPr="00260D3B">
              <w:rPr>
                <w:rFonts w:hint="cs"/>
                <w:rtl/>
              </w:rPr>
              <w:t>ליישוב</w:t>
            </w:r>
            <w:r>
              <w:rPr>
                <w:rFonts w:hint="cs"/>
                <w:rtl/>
              </w:rPr>
              <w:t xml:space="preserve"> שנבנה עליהם</w:t>
            </w:r>
            <w:r w:rsidRPr="00260D3B">
              <w:rPr>
                <w:rtl/>
              </w:rPr>
              <w:t xml:space="preserve">, </w:t>
            </w:r>
            <w:r w:rsidRPr="00260D3B">
              <w:rPr>
                <w:rFonts w:hint="cs"/>
                <w:rtl/>
              </w:rPr>
              <w:t>בעצמו</w:t>
            </w:r>
            <w:r w:rsidRPr="00260D3B">
              <w:rPr>
                <w:rtl/>
              </w:rPr>
              <w:t xml:space="preserve"> </w:t>
            </w:r>
            <w:r w:rsidRPr="00260D3B">
              <w:rPr>
                <w:rFonts w:hint="cs"/>
                <w:rtl/>
              </w:rPr>
              <w:t>או</w:t>
            </w:r>
            <w:r w:rsidRPr="00260D3B">
              <w:rPr>
                <w:rtl/>
              </w:rPr>
              <w:t xml:space="preserve"> </w:t>
            </w:r>
            <w:r>
              <w:rPr>
                <w:rFonts w:hint="cs"/>
                <w:rtl/>
              </w:rPr>
              <w:t>באמצעות</w:t>
            </w:r>
            <w:r w:rsidRPr="00260D3B">
              <w:rPr>
                <w:rtl/>
              </w:rPr>
              <w:t xml:space="preserve"> </w:t>
            </w:r>
            <w:r>
              <w:rPr>
                <w:rFonts w:hint="cs"/>
                <w:rtl/>
              </w:rPr>
              <w:t>גוף מיישב</w:t>
            </w:r>
            <w:r w:rsidRPr="00260D3B">
              <w:rPr>
                <w:rtl/>
              </w:rPr>
              <w:t>.</w:t>
            </w:r>
          </w:p>
        </w:tc>
      </w:tr>
      <w:tr w:rsidR="00C35ED9" w14:paraId="01EC1123" w14:textId="77777777" w:rsidTr="00024930">
        <w:trPr>
          <w:cantSplit/>
        </w:trPr>
        <w:tc>
          <w:tcPr>
            <w:tcW w:w="1871" w:type="dxa"/>
          </w:tcPr>
          <w:p w14:paraId="1401CA59" w14:textId="77777777" w:rsidR="00C35ED9" w:rsidRDefault="00C35ED9" w:rsidP="00BC7160">
            <w:pPr>
              <w:pStyle w:val="TableSideHeading"/>
              <w:keepLines w:val="0"/>
              <w:rPr>
                <w:rtl/>
              </w:rPr>
            </w:pPr>
            <w:r>
              <w:rPr>
                <w:rFonts w:hint="cs"/>
                <w:rtl/>
              </w:rPr>
              <w:t>פיצוי בעל זכויות</w:t>
            </w:r>
          </w:p>
        </w:tc>
        <w:tc>
          <w:tcPr>
            <w:tcW w:w="624" w:type="dxa"/>
          </w:tcPr>
          <w:p w14:paraId="23BC7E78" w14:textId="77777777" w:rsidR="00C35ED9" w:rsidRPr="00C35ED9" w:rsidRDefault="00C35ED9" w:rsidP="00C35ED9">
            <w:pPr>
              <w:pStyle w:val="TableText"/>
              <w:ind w:right="0"/>
              <w:jc w:val="both"/>
              <w:rPr>
                <w:rtl/>
              </w:rPr>
            </w:pPr>
            <w:r w:rsidRPr="00C35ED9">
              <w:rPr>
                <w:rFonts w:hint="cs"/>
                <w:rtl/>
              </w:rPr>
              <w:t xml:space="preserve">6. </w:t>
            </w:r>
          </w:p>
        </w:tc>
        <w:tc>
          <w:tcPr>
            <w:tcW w:w="7143" w:type="dxa"/>
          </w:tcPr>
          <w:p w14:paraId="3D4B042D" w14:textId="4A89F2BE" w:rsidR="00C35ED9" w:rsidRPr="00C35ED9" w:rsidRDefault="00C35ED9" w:rsidP="00024930">
            <w:pPr>
              <w:pStyle w:val="TableBlock"/>
              <w:rPr>
                <w:rtl/>
              </w:rPr>
            </w:pPr>
            <w:r w:rsidRPr="00C35ED9">
              <w:rPr>
                <w:rFonts w:hint="cs"/>
                <w:rtl/>
              </w:rPr>
              <w:t>(א)</w:t>
            </w:r>
            <w:r w:rsidRPr="00C35ED9">
              <w:rPr>
                <w:rtl/>
              </w:rPr>
              <w:tab/>
            </w:r>
            <w:r w:rsidRPr="00C35ED9">
              <w:rPr>
                <w:rFonts w:hint="cs"/>
                <w:rtl/>
              </w:rPr>
              <w:t>הוכיח</w:t>
            </w:r>
            <w:r w:rsidRPr="00C35ED9">
              <w:rPr>
                <w:rtl/>
              </w:rPr>
              <w:t xml:space="preserve"> </w:t>
            </w:r>
            <w:r w:rsidRPr="00C35ED9">
              <w:rPr>
                <w:rFonts w:hint="cs"/>
                <w:rtl/>
              </w:rPr>
              <w:t>אדם</w:t>
            </w:r>
            <w:r w:rsidRPr="00C35ED9">
              <w:rPr>
                <w:rtl/>
              </w:rPr>
              <w:t xml:space="preserve"> </w:t>
            </w:r>
            <w:r w:rsidRPr="00C35ED9">
              <w:rPr>
                <w:rFonts w:hint="cs"/>
                <w:rtl/>
              </w:rPr>
              <w:t>כי</w:t>
            </w:r>
            <w:r w:rsidRPr="00C35ED9">
              <w:rPr>
                <w:rtl/>
              </w:rPr>
              <w:t xml:space="preserve"> </w:t>
            </w:r>
            <w:r w:rsidRPr="00C35ED9">
              <w:rPr>
                <w:rFonts w:hint="cs"/>
                <w:rtl/>
              </w:rPr>
              <w:t>היו בידיו זכויות</w:t>
            </w:r>
            <w:r w:rsidRPr="00C35ED9">
              <w:rPr>
                <w:rtl/>
              </w:rPr>
              <w:t xml:space="preserve"> </w:t>
            </w:r>
            <w:r w:rsidRPr="00C35ED9">
              <w:rPr>
                <w:rFonts w:hint="cs"/>
                <w:rtl/>
              </w:rPr>
              <w:t>במקרקעין</w:t>
            </w:r>
            <w:r w:rsidRPr="00C35ED9">
              <w:rPr>
                <w:rtl/>
              </w:rPr>
              <w:t xml:space="preserve"> </w:t>
            </w:r>
            <w:r w:rsidRPr="00C35ED9">
              <w:rPr>
                <w:rFonts w:hint="cs"/>
                <w:rtl/>
              </w:rPr>
              <w:t>שהופקעו עובר ליום</w:t>
            </w:r>
            <w:r w:rsidRPr="00C35ED9">
              <w:rPr>
                <w:rtl/>
              </w:rPr>
              <w:t xml:space="preserve"> </w:t>
            </w:r>
            <w:r w:rsidRPr="00C35ED9">
              <w:rPr>
                <w:rFonts w:hint="cs"/>
                <w:rtl/>
              </w:rPr>
              <w:t>ההפקעה</w:t>
            </w:r>
            <w:r w:rsidRPr="00C35ED9">
              <w:rPr>
                <w:rtl/>
              </w:rPr>
              <w:t xml:space="preserve">, </w:t>
            </w:r>
            <w:r w:rsidRPr="00C35ED9">
              <w:rPr>
                <w:rFonts w:hint="cs"/>
                <w:rtl/>
              </w:rPr>
              <w:t>יהיה</w:t>
            </w:r>
            <w:r w:rsidRPr="00C35ED9">
              <w:rPr>
                <w:rtl/>
              </w:rPr>
              <w:t xml:space="preserve"> </w:t>
            </w:r>
            <w:r w:rsidRPr="00C35ED9">
              <w:rPr>
                <w:rFonts w:hint="cs"/>
                <w:rtl/>
              </w:rPr>
              <w:t>זכאי</w:t>
            </w:r>
            <w:r w:rsidRPr="00C35ED9">
              <w:rPr>
                <w:rtl/>
              </w:rPr>
              <w:t xml:space="preserve"> </w:t>
            </w:r>
            <w:r w:rsidRPr="00C35ED9">
              <w:rPr>
                <w:rFonts w:hint="cs"/>
                <w:rtl/>
              </w:rPr>
              <w:t>לפיצוי</w:t>
            </w:r>
            <w:r w:rsidRPr="00C35ED9">
              <w:rPr>
                <w:rtl/>
              </w:rPr>
              <w:t xml:space="preserve"> </w:t>
            </w:r>
            <w:r w:rsidRPr="00C35ED9">
              <w:rPr>
                <w:rFonts w:hint="cs"/>
                <w:rtl/>
              </w:rPr>
              <w:t>מאוצר המדינה בשיעור</w:t>
            </w:r>
            <w:r w:rsidRPr="00C35ED9">
              <w:rPr>
                <w:rtl/>
              </w:rPr>
              <w:t xml:space="preserve"> </w:t>
            </w:r>
            <w:r w:rsidRPr="00C35ED9">
              <w:rPr>
                <w:rFonts w:hint="cs"/>
                <w:rtl/>
              </w:rPr>
              <w:t>ערכם</w:t>
            </w:r>
            <w:r w:rsidRPr="00C35ED9">
              <w:rPr>
                <w:rtl/>
              </w:rPr>
              <w:t xml:space="preserve"> </w:t>
            </w:r>
            <w:r w:rsidRPr="00C35ED9">
              <w:rPr>
                <w:rFonts w:hint="cs"/>
                <w:rtl/>
              </w:rPr>
              <w:t>ביום</w:t>
            </w:r>
            <w:r w:rsidRPr="00C35ED9">
              <w:rPr>
                <w:rtl/>
              </w:rPr>
              <w:t xml:space="preserve"> </w:t>
            </w:r>
            <w:r w:rsidRPr="00C35ED9">
              <w:rPr>
                <w:rFonts w:hint="cs"/>
                <w:rtl/>
              </w:rPr>
              <w:t>ההפקעה</w:t>
            </w:r>
            <w:r w:rsidRPr="00C35ED9">
              <w:rPr>
                <w:rtl/>
              </w:rPr>
              <w:t xml:space="preserve"> </w:t>
            </w:r>
            <w:r w:rsidRPr="00C35ED9">
              <w:rPr>
                <w:rFonts w:hint="cs"/>
                <w:rtl/>
              </w:rPr>
              <w:t>בלא</w:t>
            </w:r>
            <w:r w:rsidRPr="00C35ED9">
              <w:rPr>
                <w:rtl/>
              </w:rPr>
              <w:t xml:space="preserve"> </w:t>
            </w:r>
            <w:r w:rsidRPr="00C35ED9">
              <w:rPr>
                <w:rFonts w:hint="cs"/>
                <w:rtl/>
              </w:rPr>
              <w:t>המחוברים</w:t>
            </w:r>
            <w:r w:rsidRPr="00C35ED9">
              <w:rPr>
                <w:rtl/>
              </w:rPr>
              <w:t xml:space="preserve"> </w:t>
            </w:r>
            <w:r w:rsidRPr="00C35ED9">
              <w:rPr>
                <w:rFonts w:hint="cs"/>
                <w:rtl/>
              </w:rPr>
              <w:t>שעליהם, בתוספת רבע מערך זה.</w:t>
            </w:r>
          </w:p>
        </w:tc>
      </w:tr>
      <w:tr w:rsidR="00C35ED9" w14:paraId="5F44B9B3" w14:textId="77777777" w:rsidTr="00024930">
        <w:trPr>
          <w:cantSplit/>
        </w:trPr>
        <w:tc>
          <w:tcPr>
            <w:tcW w:w="1871" w:type="dxa"/>
          </w:tcPr>
          <w:p w14:paraId="585A1693" w14:textId="77777777" w:rsidR="00C35ED9" w:rsidRDefault="00C35ED9" w:rsidP="00BC7160">
            <w:pPr>
              <w:pStyle w:val="TableSideHeading"/>
              <w:keepLines w:val="0"/>
              <w:rPr>
                <w:rtl/>
              </w:rPr>
            </w:pPr>
          </w:p>
        </w:tc>
        <w:tc>
          <w:tcPr>
            <w:tcW w:w="624" w:type="dxa"/>
          </w:tcPr>
          <w:p w14:paraId="1320DB5A" w14:textId="77777777" w:rsidR="00C35ED9" w:rsidRPr="00C35ED9" w:rsidRDefault="00C35ED9" w:rsidP="00C35ED9">
            <w:pPr>
              <w:pStyle w:val="TableText"/>
              <w:ind w:right="0"/>
              <w:jc w:val="both"/>
              <w:rPr>
                <w:rtl/>
              </w:rPr>
            </w:pPr>
          </w:p>
        </w:tc>
        <w:tc>
          <w:tcPr>
            <w:tcW w:w="7143" w:type="dxa"/>
          </w:tcPr>
          <w:p w14:paraId="01DB908A" w14:textId="10B0A6F8" w:rsidR="00C35ED9" w:rsidRPr="00C35ED9" w:rsidRDefault="00C35ED9" w:rsidP="00024930">
            <w:pPr>
              <w:pStyle w:val="TableBlock"/>
              <w:rPr>
                <w:rtl/>
              </w:rPr>
            </w:pPr>
            <w:r w:rsidRPr="00C35ED9">
              <w:rPr>
                <w:rFonts w:hint="cs"/>
                <w:rtl/>
              </w:rPr>
              <w:t xml:space="preserve">(ב) </w:t>
            </w:r>
            <w:r w:rsidRPr="00C35ED9">
              <w:rPr>
                <w:rtl/>
              </w:rPr>
              <w:tab/>
            </w:r>
            <w:r w:rsidRPr="00C35ED9">
              <w:rPr>
                <w:rFonts w:hint="cs"/>
                <w:rtl/>
              </w:rPr>
              <w:t>הפיצוי לפי סעיף זה יינתן בכסף או בקרקע.</w:t>
            </w:r>
          </w:p>
        </w:tc>
      </w:tr>
      <w:tr w:rsidR="005258FD" w14:paraId="36AAEB6B" w14:textId="77777777" w:rsidTr="00024930">
        <w:trPr>
          <w:cantSplit/>
        </w:trPr>
        <w:tc>
          <w:tcPr>
            <w:tcW w:w="1871" w:type="dxa"/>
          </w:tcPr>
          <w:p w14:paraId="6A94F160" w14:textId="77777777" w:rsidR="005258FD" w:rsidRDefault="005258FD" w:rsidP="00BC7160">
            <w:pPr>
              <w:pStyle w:val="TableSideHeading"/>
              <w:keepLines w:val="0"/>
              <w:rPr>
                <w:rtl/>
              </w:rPr>
            </w:pPr>
            <w:r>
              <w:rPr>
                <w:rFonts w:hint="cs"/>
                <w:rtl/>
              </w:rPr>
              <w:t>תחולה</w:t>
            </w:r>
          </w:p>
        </w:tc>
        <w:tc>
          <w:tcPr>
            <w:tcW w:w="624" w:type="dxa"/>
          </w:tcPr>
          <w:p w14:paraId="6EFCEF8D" w14:textId="77777777" w:rsidR="005258FD" w:rsidRPr="00C35ED9" w:rsidRDefault="005258FD" w:rsidP="00C35ED9">
            <w:pPr>
              <w:pStyle w:val="TableText"/>
              <w:ind w:right="0"/>
              <w:jc w:val="both"/>
              <w:rPr>
                <w:rtl/>
              </w:rPr>
            </w:pPr>
            <w:r w:rsidRPr="00C35ED9">
              <w:rPr>
                <w:rFonts w:hint="cs"/>
                <w:rtl/>
              </w:rPr>
              <w:t xml:space="preserve">7. </w:t>
            </w:r>
          </w:p>
        </w:tc>
        <w:tc>
          <w:tcPr>
            <w:tcW w:w="7143" w:type="dxa"/>
          </w:tcPr>
          <w:p w14:paraId="787EE1D7" w14:textId="77777777" w:rsidR="005258FD" w:rsidRPr="0096219F" w:rsidRDefault="005258FD" w:rsidP="00024930">
            <w:pPr>
              <w:pStyle w:val="TableBlock"/>
              <w:rPr>
                <w:rtl/>
              </w:rPr>
            </w:pPr>
            <w:r>
              <w:rPr>
                <w:rFonts w:hint="cs"/>
                <w:rtl/>
              </w:rPr>
              <w:t>הוראות חוק זה יחולו גם על יישוב או שכונה לגביהם ניתן פסק דין חלוט, עובר לתחילת חוק זה.</w:t>
            </w:r>
          </w:p>
        </w:tc>
      </w:tr>
      <w:tr w:rsidR="005258FD" w14:paraId="025F6ADD" w14:textId="77777777" w:rsidTr="00024930">
        <w:trPr>
          <w:cantSplit/>
        </w:trPr>
        <w:tc>
          <w:tcPr>
            <w:tcW w:w="1871" w:type="dxa"/>
          </w:tcPr>
          <w:p w14:paraId="56163A84" w14:textId="77777777" w:rsidR="005258FD" w:rsidRDefault="005258FD" w:rsidP="00BC7160">
            <w:pPr>
              <w:pStyle w:val="TableSideHeading"/>
              <w:keepLines w:val="0"/>
              <w:rPr>
                <w:rtl/>
              </w:rPr>
            </w:pPr>
            <w:r>
              <w:rPr>
                <w:rFonts w:hint="cs"/>
                <w:rtl/>
              </w:rPr>
              <w:t>החלה לאחר תחילה</w:t>
            </w:r>
          </w:p>
        </w:tc>
        <w:tc>
          <w:tcPr>
            <w:tcW w:w="624" w:type="dxa"/>
          </w:tcPr>
          <w:p w14:paraId="1633CD45" w14:textId="595BFBB4" w:rsidR="005258FD" w:rsidRPr="00C35ED9" w:rsidRDefault="005258FD" w:rsidP="00C35ED9">
            <w:pPr>
              <w:pStyle w:val="TableText"/>
              <w:ind w:right="0"/>
              <w:jc w:val="both"/>
              <w:rPr>
                <w:rtl/>
              </w:rPr>
            </w:pPr>
            <w:r w:rsidRPr="00C35ED9">
              <w:rPr>
                <w:rFonts w:hint="cs"/>
                <w:rtl/>
              </w:rPr>
              <w:t xml:space="preserve">8. </w:t>
            </w:r>
            <w:r w:rsidR="00C35ED9" w:rsidRPr="00C35ED9">
              <w:rPr>
                <w:rtl/>
              </w:rPr>
              <w:t xml:space="preserve"> </w:t>
            </w:r>
          </w:p>
        </w:tc>
        <w:tc>
          <w:tcPr>
            <w:tcW w:w="7143" w:type="dxa"/>
          </w:tcPr>
          <w:p w14:paraId="5C56A0B0" w14:textId="77777777" w:rsidR="005258FD" w:rsidRPr="0096219F" w:rsidRDefault="005258FD" w:rsidP="00024930">
            <w:pPr>
              <w:pStyle w:val="TableBlock"/>
              <w:rPr>
                <w:rtl/>
              </w:rPr>
            </w:pPr>
            <w:r>
              <w:rPr>
                <w:rFonts w:hint="cs"/>
                <w:rtl/>
              </w:rPr>
              <w:t>הוקמו</w:t>
            </w:r>
            <w:r w:rsidRPr="0096219F">
              <w:rPr>
                <w:rtl/>
              </w:rPr>
              <w:t xml:space="preserve"> </w:t>
            </w:r>
            <w:r w:rsidRPr="0096219F">
              <w:rPr>
                <w:rFonts w:hint="cs"/>
                <w:rtl/>
              </w:rPr>
              <w:t>יישוב</w:t>
            </w:r>
            <w:r>
              <w:rPr>
                <w:rFonts w:hint="cs"/>
                <w:rtl/>
              </w:rPr>
              <w:t xml:space="preserve"> או שכונה</w:t>
            </w:r>
            <w:r w:rsidRPr="0096219F">
              <w:rPr>
                <w:rtl/>
              </w:rPr>
              <w:t xml:space="preserve"> </w:t>
            </w:r>
            <w:r w:rsidRPr="0096219F">
              <w:rPr>
                <w:rFonts w:hint="cs"/>
                <w:rtl/>
              </w:rPr>
              <w:t>לאחר</w:t>
            </w:r>
            <w:r w:rsidRPr="0096219F">
              <w:rPr>
                <w:rtl/>
              </w:rPr>
              <w:t xml:space="preserve"> </w:t>
            </w:r>
            <w:r w:rsidRPr="0096219F">
              <w:rPr>
                <w:rFonts w:hint="cs"/>
                <w:rtl/>
              </w:rPr>
              <w:t>תחילת</w:t>
            </w:r>
            <w:r>
              <w:rPr>
                <w:rFonts w:hint="cs"/>
                <w:rtl/>
              </w:rPr>
              <w:t>ו של</w:t>
            </w:r>
            <w:r w:rsidRPr="0096219F">
              <w:rPr>
                <w:rtl/>
              </w:rPr>
              <w:t xml:space="preserve"> </w:t>
            </w:r>
            <w:r w:rsidRPr="0096219F">
              <w:rPr>
                <w:rFonts w:hint="cs"/>
                <w:rtl/>
              </w:rPr>
              <w:t>חוק</w:t>
            </w:r>
            <w:r w:rsidRPr="0096219F">
              <w:rPr>
                <w:rtl/>
              </w:rPr>
              <w:t xml:space="preserve"> </w:t>
            </w:r>
            <w:r w:rsidRPr="0096219F">
              <w:rPr>
                <w:rFonts w:hint="cs"/>
                <w:rtl/>
              </w:rPr>
              <w:t>זה</w:t>
            </w:r>
            <w:r w:rsidRPr="0096219F">
              <w:rPr>
                <w:rtl/>
              </w:rPr>
              <w:t xml:space="preserve">, </w:t>
            </w:r>
            <w:r w:rsidRPr="0096219F">
              <w:rPr>
                <w:rFonts w:hint="cs"/>
                <w:rtl/>
              </w:rPr>
              <w:t>רשאית</w:t>
            </w:r>
            <w:r w:rsidRPr="0096219F">
              <w:rPr>
                <w:rtl/>
              </w:rPr>
              <w:t xml:space="preserve"> </w:t>
            </w:r>
            <w:r w:rsidRPr="0096219F">
              <w:rPr>
                <w:rFonts w:hint="cs"/>
                <w:rtl/>
              </w:rPr>
              <w:t>הממשלה</w:t>
            </w:r>
            <w:r w:rsidRPr="0096219F">
              <w:rPr>
                <w:rtl/>
              </w:rPr>
              <w:t xml:space="preserve"> </w:t>
            </w:r>
            <w:r w:rsidRPr="0096219F">
              <w:rPr>
                <w:rFonts w:hint="cs"/>
                <w:rtl/>
              </w:rPr>
              <w:t>ל</w:t>
            </w:r>
            <w:r>
              <w:rPr>
                <w:rFonts w:hint="cs"/>
                <w:rtl/>
              </w:rPr>
              <w:t>החליט ל</w:t>
            </w:r>
            <w:r w:rsidRPr="0096219F">
              <w:rPr>
                <w:rFonts w:hint="cs"/>
                <w:rtl/>
              </w:rPr>
              <w:t>החיל</w:t>
            </w:r>
            <w:r w:rsidRPr="0096219F">
              <w:rPr>
                <w:rtl/>
              </w:rPr>
              <w:t xml:space="preserve"> </w:t>
            </w:r>
            <w:r>
              <w:rPr>
                <w:rFonts w:hint="cs"/>
                <w:rtl/>
              </w:rPr>
              <w:t>עליהם</w:t>
            </w:r>
            <w:r w:rsidRPr="0096219F">
              <w:rPr>
                <w:rtl/>
              </w:rPr>
              <w:t xml:space="preserve"> </w:t>
            </w:r>
            <w:r w:rsidRPr="0096219F">
              <w:rPr>
                <w:rFonts w:hint="cs"/>
                <w:rtl/>
              </w:rPr>
              <w:t>את</w:t>
            </w:r>
            <w:r w:rsidRPr="0096219F">
              <w:rPr>
                <w:rtl/>
              </w:rPr>
              <w:t xml:space="preserve"> </w:t>
            </w:r>
            <w:r w:rsidRPr="0096219F">
              <w:rPr>
                <w:rFonts w:hint="cs"/>
                <w:rtl/>
              </w:rPr>
              <w:t>הוראות</w:t>
            </w:r>
            <w:r>
              <w:rPr>
                <w:rFonts w:hint="cs"/>
                <w:rtl/>
              </w:rPr>
              <w:t>יו</w:t>
            </w:r>
            <w:r w:rsidRPr="0096219F">
              <w:rPr>
                <w:rtl/>
              </w:rPr>
              <w:t>.</w:t>
            </w:r>
          </w:p>
        </w:tc>
      </w:tr>
      <w:tr w:rsidR="005258FD" w14:paraId="1C5DF398" w14:textId="77777777" w:rsidTr="00024930">
        <w:trPr>
          <w:cantSplit/>
        </w:trPr>
        <w:tc>
          <w:tcPr>
            <w:tcW w:w="1871" w:type="dxa"/>
          </w:tcPr>
          <w:p w14:paraId="21935B7B" w14:textId="77777777" w:rsidR="005258FD" w:rsidRDefault="005258FD" w:rsidP="00BC7160">
            <w:pPr>
              <w:pStyle w:val="TableSideHeading"/>
              <w:keepLines w:val="0"/>
              <w:rPr>
                <w:rtl/>
              </w:rPr>
            </w:pPr>
            <w:r>
              <w:rPr>
                <w:rFonts w:hint="cs"/>
                <w:rtl/>
              </w:rPr>
              <w:t>ביצוע והוראות</w:t>
            </w:r>
          </w:p>
        </w:tc>
        <w:tc>
          <w:tcPr>
            <w:tcW w:w="624" w:type="dxa"/>
          </w:tcPr>
          <w:p w14:paraId="2D294432" w14:textId="77777777" w:rsidR="005258FD" w:rsidRPr="00C35ED9" w:rsidRDefault="005258FD" w:rsidP="00C35ED9">
            <w:pPr>
              <w:pStyle w:val="TableText"/>
              <w:ind w:right="0"/>
              <w:jc w:val="both"/>
              <w:rPr>
                <w:rtl/>
              </w:rPr>
            </w:pPr>
            <w:r w:rsidRPr="00C35ED9">
              <w:rPr>
                <w:rFonts w:hint="cs"/>
                <w:rtl/>
              </w:rPr>
              <w:t>9.</w:t>
            </w:r>
          </w:p>
        </w:tc>
        <w:tc>
          <w:tcPr>
            <w:tcW w:w="7143" w:type="dxa"/>
          </w:tcPr>
          <w:p w14:paraId="2329F9B9" w14:textId="77777777" w:rsidR="005258FD" w:rsidRPr="0096219F" w:rsidRDefault="005258FD" w:rsidP="00024930">
            <w:pPr>
              <w:pStyle w:val="TableBlock"/>
              <w:rPr>
                <w:rtl/>
              </w:rPr>
            </w:pPr>
            <w:r>
              <w:rPr>
                <w:rFonts w:hint="cs"/>
                <w:rtl/>
              </w:rPr>
              <w:t>המפקד הצבאי יקבע הוראות לביצועו של חוק זה תוך 30 יום מתחילתו, לרבות הליכי שימוע ובירור טענות של בעלי זכויות לפי סעיף 5.</w:t>
            </w:r>
          </w:p>
        </w:tc>
      </w:tr>
    </w:tbl>
    <w:p w14:paraId="2B76CE25" w14:textId="77777777" w:rsidR="005258FD" w:rsidRPr="00F03E01" w:rsidRDefault="005258FD" w:rsidP="005258FD">
      <w:pPr>
        <w:pStyle w:val="HeadDivreiHesber"/>
        <w:rPr>
          <w:rtl/>
        </w:rPr>
      </w:pPr>
      <w:r>
        <w:rPr>
          <w:rtl/>
        </w:rPr>
        <w:tab/>
      </w:r>
      <w:r w:rsidRPr="00101EEA">
        <w:rPr>
          <w:rFonts w:hint="cs"/>
          <w:rtl/>
        </w:rPr>
        <w:t>דברי הסבר</w:t>
      </w:r>
    </w:p>
    <w:p w14:paraId="07CF3C7C" w14:textId="77777777" w:rsidR="005258FD" w:rsidRPr="00024930" w:rsidRDefault="005258FD" w:rsidP="00024930">
      <w:pPr>
        <w:pStyle w:val="Hesber"/>
        <w:rPr>
          <w:rtl/>
        </w:rPr>
      </w:pPr>
      <w:r w:rsidRPr="00024930">
        <w:rPr>
          <w:rFonts w:hint="cs"/>
          <w:rtl/>
        </w:rPr>
        <w:t>בחבלי</w:t>
      </w:r>
      <w:r w:rsidRPr="00024930">
        <w:rPr>
          <w:rtl/>
        </w:rPr>
        <w:t xml:space="preserve"> </w:t>
      </w:r>
      <w:r w:rsidRPr="00024930">
        <w:rPr>
          <w:rFonts w:hint="cs"/>
          <w:rtl/>
        </w:rPr>
        <w:t>יהודה</w:t>
      </w:r>
      <w:r w:rsidRPr="00024930">
        <w:rPr>
          <w:rtl/>
        </w:rPr>
        <w:t xml:space="preserve">, </w:t>
      </w:r>
      <w:r w:rsidRPr="00024930">
        <w:rPr>
          <w:rFonts w:hint="cs"/>
          <w:rtl/>
        </w:rPr>
        <w:t>השומרון</w:t>
      </w:r>
      <w:r w:rsidRPr="00024930">
        <w:rPr>
          <w:rtl/>
        </w:rPr>
        <w:t xml:space="preserve">, </w:t>
      </w:r>
      <w:r w:rsidRPr="00024930">
        <w:rPr>
          <w:rFonts w:hint="cs"/>
          <w:rtl/>
        </w:rPr>
        <w:t>בנימין</w:t>
      </w:r>
      <w:r w:rsidRPr="00024930">
        <w:rPr>
          <w:rtl/>
        </w:rPr>
        <w:t xml:space="preserve"> </w:t>
      </w:r>
      <w:r w:rsidRPr="00024930">
        <w:rPr>
          <w:rFonts w:hint="cs"/>
          <w:rtl/>
        </w:rPr>
        <w:t>ובקעת</w:t>
      </w:r>
      <w:r w:rsidRPr="00024930">
        <w:rPr>
          <w:rtl/>
        </w:rPr>
        <w:t xml:space="preserve"> </w:t>
      </w:r>
      <w:r w:rsidRPr="00024930">
        <w:rPr>
          <w:rFonts w:hint="cs"/>
          <w:rtl/>
        </w:rPr>
        <w:t>הירדן</w:t>
      </w:r>
      <w:r w:rsidRPr="00024930">
        <w:rPr>
          <w:rtl/>
        </w:rPr>
        <w:t xml:space="preserve"> </w:t>
      </w:r>
      <w:r w:rsidRPr="00024930">
        <w:rPr>
          <w:rFonts w:hint="cs"/>
          <w:rtl/>
        </w:rPr>
        <w:t>מתגוררים</w:t>
      </w:r>
      <w:r w:rsidRPr="00024930">
        <w:rPr>
          <w:rtl/>
        </w:rPr>
        <w:t xml:space="preserve"> </w:t>
      </w:r>
      <w:r w:rsidRPr="00024930">
        <w:rPr>
          <w:rFonts w:hint="cs"/>
          <w:rtl/>
        </w:rPr>
        <w:t>כיום למעלה מ</w:t>
      </w:r>
      <w:r w:rsidRPr="00024930">
        <w:rPr>
          <w:rtl/>
        </w:rPr>
        <w:t xml:space="preserve">-350,000 </w:t>
      </w:r>
      <w:r w:rsidRPr="00024930">
        <w:rPr>
          <w:rFonts w:hint="cs"/>
          <w:rtl/>
        </w:rPr>
        <w:t>אזרחי</w:t>
      </w:r>
      <w:r w:rsidRPr="00024930">
        <w:rPr>
          <w:rtl/>
        </w:rPr>
        <w:t xml:space="preserve"> </w:t>
      </w:r>
      <w:r w:rsidRPr="00024930">
        <w:rPr>
          <w:rFonts w:hint="cs"/>
          <w:rtl/>
        </w:rPr>
        <w:t>מדינת</w:t>
      </w:r>
      <w:r w:rsidRPr="00024930">
        <w:rPr>
          <w:rtl/>
        </w:rPr>
        <w:t xml:space="preserve"> </w:t>
      </w:r>
      <w:r w:rsidRPr="00024930">
        <w:rPr>
          <w:rFonts w:hint="cs"/>
          <w:rtl/>
        </w:rPr>
        <w:t>ישראל</w:t>
      </w:r>
      <w:r w:rsidRPr="00024930">
        <w:rPr>
          <w:rtl/>
        </w:rPr>
        <w:t>.</w:t>
      </w:r>
    </w:p>
    <w:p w14:paraId="345008C3" w14:textId="573D4196" w:rsidR="005258FD" w:rsidRPr="00024930" w:rsidRDefault="005258FD" w:rsidP="00024930">
      <w:pPr>
        <w:pStyle w:val="Hesber"/>
        <w:rPr>
          <w:rtl/>
        </w:rPr>
      </w:pPr>
      <w:r w:rsidRPr="00024930">
        <w:rPr>
          <w:rFonts w:hint="cs"/>
          <w:rtl/>
        </w:rPr>
        <w:t>מבין תושבי אזורים אלו ישנם אלפי</w:t>
      </w:r>
      <w:r w:rsidRPr="00024930">
        <w:rPr>
          <w:rtl/>
        </w:rPr>
        <w:t xml:space="preserve"> </w:t>
      </w:r>
      <w:r w:rsidRPr="00024930">
        <w:rPr>
          <w:rFonts w:hint="cs"/>
          <w:rtl/>
        </w:rPr>
        <w:t>אזרחים המתגוררים</w:t>
      </w:r>
      <w:r w:rsidRPr="00024930">
        <w:rPr>
          <w:rtl/>
        </w:rPr>
        <w:t xml:space="preserve"> </w:t>
      </w:r>
      <w:r w:rsidRPr="00024930">
        <w:rPr>
          <w:rFonts w:hint="cs"/>
          <w:rtl/>
        </w:rPr>
        <w:t>במאות</w:t>
      </w:r>
      <w:r w:rsidRPr="00024930">
        <w:rPr>
          <w:rtl/>
        </w:rPr>
        <w:t xml:space="preserve"> </w:t>
      </w:r>
      <w:r w:rsidRPr="00024930">
        <w:rPr>
          <w:rFonts w:hint="cs"/>
          <w:rtl/>
        </w:rPr>
        <w:t>בתי</w:t>
      </w:r>
      <w:r w:rsidRPr="00024930">
        <w:rPr>
          <w:rtl/>
        </w:rPr>
        <w:t xml:space="preserve"> </w:t>
      </w:r>
      <w:r w:rsidRPr="00024930">
        <w:rPr>
          <w:rFonts w:hint="cs"/>
          <w:rtl/>
        </w:rPr>
        <w:t>קבע</w:t>
      </w:r>
      <w:r w:rsidRPr="00024930">
        <w:rPr>
          <w:rtl/>
        </w:rPr>
        <w:t xml:space="preserve"> </w:t>
      </w:r>
      <w:r w:rsidRPr="00024930">
        <w:rPr>
          <w:rFonts w:hint="cs"/>
          <w:rtl/>
        </w:rPr>
        <w:t>שנבנו על קרקע שמעמדה בעת בנייתם היה נתון בספק או שהמדינה סברה כי מדובר באדמות מדינה, ולאחר זמן התברר כי סברה זו בטעות הי</w:t>
      </w:r>
      <w:r w:rsidR="00E06DCA" w:rsidRPr="00024930">
        <w:rPr>
          <w:rFonts w:hint="cs"/>
          <w:rtl/>
        </w:rPr>
        <w:t>י</w:t>
      </w:r>
      <w:r w:rsidRPr="00024930">
        <w:rPr>
          <w:rFonts w:hint="cs"/>
          <w:rtl/>
        </w:rPr>
        <w:t>תה יסודה</w:t>
      </w:r>
      <w:r w:rsidRPr="00024930">
        <w:rPr>
          <w:rtl/>
        </w:rPr>
        <w:t xml:space="preserve">. </w:t>
      </w:r>
      <w:r w:rsidRPr="00024930">
        <w:rPr>
          <w:rFonts w:hint="cs"/>
          <w:rtl/>
        </w:rPr>
        <w:t>כך או כך, מדובר במקומות שאוכלסו בעידוד של ממשלות</w:t>
      </w:r>
      <w:r w:rsidRPr="00024930">
        <w:rPr>
          <w:rtl/>
        </w:rPr>
        <w:t xml:space="preserve"> </w:t>
      </w:r>
      <w:r w:rsidRPr="00024930">
        <w:rPr>
          <w:rFonts w:hint="cs"/>
          <w:rtl/>
        </w:rPr>
        <w:t>ישראל לדורותיהן, לעיתים אף במתן</w:t>
      </w:r>
      <w:r w:rsidRPr="00024930">
        <w:rPr>
          <w:rtl/>
        </w:rPr>
        <w:t xml:space="preserve"> </w:t>
      </w:r>
      <w:r w:rsidRPr="00024930">
        <w:rPr>
          <w:rFonts w:hint="cs"/>
          <w:rtl/>
        </w:rPr>
        <w:t>משכנתאות</w:t>
      </w:r>
      <w:r w:rsidRPr="00024930">
        <w:rPr>
          <w:rtl/>
        </w:rPr>
        <w:t xml:space="preserve"> </w:t>
      </w:r>
      <w:r w:rsidRPr="00024930">
        <w:rPr>
          <w:rFonts w:hint="cs"/>
          <w:rtl/>
        </w:rPr>
        <w:t>מוזלות</w:t>
      </w:r>
      <w:r w:rsidRPr="00024930">
        <w:rPr>
          <w:rtl/>
        </w:rPr>
        <w:t xml:space="preserve"> </w:t>
      </w:r>
      <w:r w:rsidRPr="00024930">
        <w:rPr>
          <w:rFonts w:hint="cs"/>
          <w:rtl/>
        </w:rPr>
        <w:t>ומענקים</w:t>
      </w:r>
      <w:r w:rsidRPr="00024930">
        <w:rPr>
          <w:rtl/>
        </w:rPr>
        <w:t xml:space="preserve"> </w:t>
      </w:r>
      <w:r w:rsidRPr="00024930">
        <w:rPr>
          <w:rFonts w:hint="cs"/>
          <w:rtl/>
        </w:rPr>
        <w:t>לזוגות</w:t>
      </w:r>
      <w:r w:rsidRPr="00024930">
        <w:rPr>
          <w:rtl/>
        </w:rPr>
        <w:t xml:space="preserve"> </w:t>
      </w:r>
      <w:r w:rsidRPr="00024930">
        <w:rPr>
          <w:rFonts w:hint="cs"/>
          <w:rtl/>
        </w:rPr>
        <w:t>צעירים</w:t>
      </w:r>
      <w:r w:rsidRPr="00024930">
        <w:rPr>
          <w:rtl/>
        </w:rPr>
        <w:t xml:space="preserve"> </w:t>
      </w:r>
      <w:r w:rsidRPr="00024930">
        <w:rPr>
          <w:rFonts w:hint="cs"/>
          <w:rtl/>
        </w:rPr>
        <w:t>כתמריץ ממשלתי להתגורר</w:t>
      </w:r>
      <w:r w:rsidRPr="00024930">
        <w:rPr>
          <w:rtl/>
        </w:rPr>
        <w:t xml:space="preserve"> </w:t>
      </w:r>
      <w:r w:rsidRPr="00024930">
        <w:rPr>
          <w:rFonts w:hint="cs"/>
          <w:rtl/>
        </w:rPr>
        <w:t>בהם</w:t>
      </w:r>
      <w:r w:rsidRPr="00024930">
        <w:rPr>
          <w:rtl/>
        </w:rPr>
        <w:t>.</w:t>
      </w:r>
      <w:r w:rsidRPr="00024930">
        <w:rPr>
          <w:rFonts w:hint="cs"/>
          <w:rtl/>
        </w:rPr>
        <w:t xml:space="preserve"> </w:t>
      </w:r>
    </w:p>
    <w:p w14:paraId="7D6CDEA7" w14:textId="4EB2A182" w:rsidR="005258FD" w:rsidRPr="00024930" w:rsidRDefault="005258FD" w:rsidP="00024930">
      <w:pPr>
        <w:pStyle w:val="Hesber"/>
        <w:rPr>
          <w:rtl/>
        </w:rPr>
      </w:pPr>
      <w:r w:rsidRPr="00024930">
        <w:rPr>
          <w:rFonts w:hint="cs"/>
          <w:rtl/>
        </w:rPr>
        <w:t xml:space="preserve">יובהר, כי המצב המשפטי הנוגע למקרקעין </w:t>
      </w:r>
      <w:r w:rsidR="00E06DCA" w:rsidRPr="00024930">
        <w:rPr>
          <w:rFonts w:hint="cs"/>
          <w:rtl/>
        </w:rPr>
        <w:t>ביהודה ו</w:t>
      </w:r>
      <w:r w:rsidR="00472185">
        <w:rPr>
          <w:rFonts w:hint="cs"/>
          <w:rtl/>
        </w:rPr>
        <w:t>ה</w:t>
      </w:r>
      <w:r w:rsidR="00E06DCA" w:rsidRPr="00024930">
        <w:rPr>
          <w:rFonts w:hint="cs"/>
          <w:rtl/>
        </w:rPr>
        <w:t>שומרון</w:t>
      </w:r>
      <w:r w:rsidRPr="00024930">
        <w:rPr>
          <w:rFonts w:hint="cs"/>
          <w:rtl/>
        </w:rPr>
        <w:t xml:space="preserve"> שונה בתכלית מזה החל בתחומי הקו הירוק. מערכת הדינים הרלוונטית לשם בירור זכויות בקרקע </w:t>
      </w:r>
      <w:r w:rsidR="00E06DCA" w:rsidRPr="00024930">
        <w:rPr>
          <w:rFonts w:hint="cs"/>
          <w:rtl/>
        </w:rPr>
        <w:t xml:space="preserve"> ביהודה ו</w:t>
      </w:r>
      <w:r w:rsidR="00472185">
        <w:rPr>
          <w:rFonts w:hint="cs"/>
          <w:rtl/>
        </w:rPr>
        <w:t>ה</w:t>
      </w:r>
      <w:r w:rsidR="00E06DCA" w:rsidRPr="00024930">
        <w:rPr>
          <w:rFonts w:hint="cs"/>
          <w:rtl/>
        </w:rPr>
        <w:t>שומרון</w:t>
      </w:r>
      <w:r w:rsidRPr="00024930">
        <w:rPr>
          <w:rFonts w:hint="cs"/>
          <w:rtl/>
        </w:rPr>
        <w:t xml:space="preserve"> הינה מורכבת, סבוכה, ובמקרים רבים אף אינה בהירה דיה. נוסף על כך, גם הבירור העובדתי אודות הזיקה לקרקע מסוימת </w:t>
      </w:r>
      <w:r w:rsidR="00E06DCA" w:rsidRPr="00024930">
        <w:rPr>
          <w:rFonts w:hint="cs"/>
          <w:rtl/>
        </w:rPr>
        <w:t xml:space="preserve"> ביהודה ו</w:t>
      </w:r>
      <w:r w:rsidR="00472185">
        <w:rPr>
          <w:rFonts w:hint="cs"/>
          <w:rtl/>
        </w:rPr>
        <w:t>ה</w:t>
      </w:r>
      <w:r w:rsidR="00E06DCA" w:rsidRPr="00024930">
        <w:rPr>
          <w:rFonts w:hint="cs"/>
          <w:rtl/>
        </w:rPr>
        <w:t>שומרון</w:t>
      </w:r>
      <w:r w:rsidRPr="00024930">
        <w:rPr>
          <w:rFonts w:hint="cs"/>
          <w:rtl/>
        </w:rPr>
        <w:t>, הוא תהליך מורכב וסבוך על רקע סיבות היסטוריות ופוליטיות מגוונות. במציאות זו יכולתו של האזרח הסביר לעמוד על מצב הזכויות בקרקע שעליה נשלח להקים את ביתו הי</w:t>
      </w:r>
      <w:r w:rsidR="00E06DCA" w:rsidRPr="00024930">
        <w:rPr>
          <w:rFonts w:hint="cs"/>
          <w:rtl/>
        </w:rPr>
        <w:t>י</w:t>
      </w:r>
      <w:r w:rsidRPr="00024930">
        <w:rPr>
          <w:rFonts w:hint="cs"/>
          <w:rtl/>
        </w:rPr>
        <w:t xml:space="preserve">תה בלתי </w:t>
      </w:r>
      <w:r w:rsidRPr="00024930">
        <w:rPr>
          <w:rFonts w:hint="cs"/>
          <w:rtl/>
        </w:rPr>
        <w:lastRenderedPageBreak/>
        <w:t xml:space="preserve">אפשרית, וכל שהיה לנגד עיניו הוא עידוד המדינה להתיישב באותו מקום. השאיפה להביא כיום להבהרת מצב הזכויות בקרקע ולהסדרת הכללים לקביעתן, מבורכת אולם עליה להביא בחשבון את הפגיעה במי שהסתמך על המצב כפי שהיה. </w:t>
      </w:r>
    </w:p>
    <w:p w14:paraId="54A6A740" w14:textId="2BA07497" w:rsidR="005258FD" w:rsidRPr="00024930" w:rsidRDefault="005258FD" w:rsidP="00024930">
      <w:pPr>
        <w:pStyle w:val="Hesber"/>
        <w:rPr>
          <w:rtl/>
        </w:rPr>
      </w:pPr>
      <w:r w:rsidRPr="00024930">
        <w:rPr>
          <w:rFonts w:hint="cs"/>
          <w:rtl/>
        </w:rPr>
        <w:t>לאור פסיקות בג"</w:t>
      </w:r>
      <w:r w:rsidR="00E06DCA" w:rsidRPr="00024930">
        <w:rPr>
          <w:rFonts w:hint="cs"/>
          <w:rtl/>
        </w:rPr>
        <w:t>ץ</w:t>
      </w:r>
      <w:r w:rsidRPr="00024930">
        <w:rPr>
          <w:rFonts w:hint="cs"/>
          <w:rtl/>
        </w:rPr>
        <w:t xml:space="preserve"> בשנים האחרונות</w:t>
      </w:r>
      <w:r w:rsidR="00E06DCA" w:rsidRPr="00024930">
        <w:rPr>
          <w:rFonts w:hint="cs"/>
          <w:rtl/>
        </w:rPr>
        <w:t>,</w:t>
      </w:r>
      <w:r w:rsidRPr="00024930">
        <w:rPr>
          <w:rFonts w:hint="cs"/>
          <w:rtl/>
        </w:rPr>
        <w:t xml:space="preserve"> לפיהן</w:t>
      </w:r>
      <w:r w:rsidRPr="00024930">
        <w:rPr>
          <w:rtl/>
        </w:rPr>
        <w:t xml:space="preserve"> כל קרקע ביהודה ו</w:t>
      </w:r>
      <w:r w:rsidR="00472185">
        <w:rPr>
          <w:rFonts w:hint="cs"/>
          <w:rtl/>
        </w:rPr>
        <w:t>ה</w:t>
      </w:r>
      <w:r w:rsidRPr="00024930">
        <w:rPr>
          <w:rtl/>
        </w:rPr>
        <w:t xml:space="preserve">שומרון שאיננה אדמת מדינה </w:t>
      </w:r>
      <w:r w:rsidRPr="00024930">
        <w:rPr>
          <w:rFonts w:hint="cs"/>
          <w:rtl/>
        </w:rPr>
        <w:t>נחשבת כ</w:t>
      </w:r>
      <w:r w:rsidRPr="00024930">
        <w:rPr>
          <w:rtl/>
        </w:rPr>
        <w:t>קרקע פרטית</w:t>
      </w:r>
      <w:r w:rsidRPr="00024930">
        <w:rPr>
          <w:rFonts w:hint="cs"/>
          <w:rtl/>
        </w:rPr>
        <w:t xml:space="preserve"> </w:t>
      </w:r>
      <w:r w:rsidRPr="00024930">
        <w:rPr>
          <w:rtl/>
        </w:rPr>
        <w:t xml:space="preserve">אף אם אין מי שטוען </w:t>
      </w:r>
      <w:r w:rsidRPr="00024930">
        <w:rPr>
          <w:rFonts w:hint="cs"/>
          <w:rtl/>
        </w:rPr>
        <w:t xml:space="preserve">עליה </w:t>
      </w:r>
      <w:r w:rsidRPr="00024930">
        <w:rPr>
          <w:rtl/>
        </w:rPr>
        <w:t>לבעלות</w:t>
      </w:r>
      <w:r w:rsidRPr="00024930">
        <w:rPr>
          <w:rFonts w:hint="cs"/>
          <w:rtl/>
        </w:rPr>
        <w:t xml:space="preserve">, </w:t>
      </w:r>
      <w:r w:rsidRPr="00024930">
        <w:rPr>
          <w:rtl/>
        </w:rPr>
        <w:t>נוצר מצב שבו בית המשפט מורה על הריסת בתיהן של מאות משפחות המתגוררות בבתי קבע שנים רבות, ומחוברות לתשתיות בסיוע המדינה</w:t>
      </w:r>
      <w:r w:rsidRPr="00024930">
        <w:rPr>
          <w:rFonts w:hint="cs"/>
          <w:rtl/>
        </w:rPr>
        <w:t>, רק בשל כך שהתברר בדיעבד שהקרקע שעליה מצויים הבתים אינה בתחום אדמות המדינה המוכרזות באופן פורמלי. יודגש כי זכויותיה של המדינה במקרקעין באזור יהודה ו</w:t>
      </w:r>
      <w:r w:rsidR="00472185">
        <w:rPr>
          <w:rFonts w:hint="cs"/>
          <w:rtl/>
        </w:rPr>
        <w:t>ה</w:t>
      </w:r>
      <w:r w:rsidRPr="00024930">
        <w:rPr>
          <w:rFonts w:hint="cs"/>
          <w:rtl/>
        </w:rPr>
        <w:t xml:space="preserve">שומרון, אינן נובעות מן ההכרזות אלא מהיעדרן של זכויות אחרות בקרקע, בעוד שההכרזות עצמן מעמדן דקלרטיבי בלבד. כך, שההנחה כי אדמות שלא ניכרו בהן סימני עיבודים חקלאיים בעת שהוקמו עליהן יישובים הן אדמות בבעלות המדינה, היא הנחה מסתברת מאד. </w:t>
      </w:r>
    </w:p>
    <w:p w14:paraId="186B2263" w14:textId="77777777" w:rsidR="005258FD" w:rsidRPr="00024930" w:rsidRDefault="005258FD" w:rsidP="00024930">
      <w:pPr>
        <w:pStyle w:val="Hesber"/>
        <w:rPr>
          <w:rtl/>
        </w:rPr>
      </w:pPr>
      <w:r w:rsidRPr="00024930">
        <w:rPr>
          <w:rFonts w:hint="cs"/>
          <w:rtl/>
        </w:rPr>
        <w:t>תוצאה זו, המהווה פגיעה חמורה וחסרת מידתיות בזכויות היסוד של תושבי מקומות אלו, איננה מוכרחת.</w:t>
      </w:r>
    </w:p>
    <w:p w14:paraId="6112E52A" w14:textId="26A901B3" w:rsidR="005258FD" w:rsidRPr="00024930" w:rsidRDefault="005258FD" w:rsidP="00024930">
      <w:pPr>
        <w:pStyle w:val="Hesber"/>
        <w:rPr>
          <w:rtl/>
        </w:rPr>
      </w:pPr>
      <w:r w:rsidRPr="00024930">
        <w:rPr>
          <w:rFonts w:hint="cs"/>
          <w:rtl/>
        </w:rPr>
        <w:t>לזכות הקניין מעמד רם במשפטנו, אולם כיתר הזכויות אף היא אינה מוחלטת. לשם שמירת או הגשמת אינטרסים ציבוריים חשובים ישנה לעיתים הצדקה לפגיעה בזכויות קניין מסוימות. זאת, כאשר ההימנעות מפגיעה בהן תביא לפגיעה באינטרסים אלו או בזכויות יסוד אחרות, במידה בלתי סבירה.  בשיטות משפט רבות מעוגנת זכותה של המדינה להפקיע קרקעות מידי בעליהן, מקום שהיא רואה בכך צורך ציבורי המצדיק את הפגיעה בבעלי הקרקע. גם בישראל עוגנה בחוקים שונים זכותה של המדינה להפקיע קרקע למטרות שונות, בין בתמורה ובין שלא בתמורה, ובהם - פקודת</w:t>
      </w:r>
      <w:r w:rsidRPr="00024930">
        <w:rPr>
          <w:rtl/>
        </w:rPr>
        <w:t xml:space="preserve"> </w:t>
      </w:r>
      <w:r w:rsidRPr="00024930">
        <w:rPr>
          <w:rFonts w:hint="cs"/>
          <w:rtl/>
        </w:rPr>
        <w:t>הקרקעות</w:t>
      </w:r>
      <w:r w:rsidRPr="00024930">
        <w:rPr>
          <w:rtl/>
        </w:rPr>
        <w:t xml:space="preserve"> (</w:t>
      </w:r>
      <w:r w:rsidRPr="00024930">
        <w:rPr>
          <w:rFonts w:hint="cs"/>
          <w:rtl/>
        </w:rPr>
        <w:t>רכישה</w:t>
      </w:r>
      <w:r w:rsidRPr="00024930">
        <w:rPr>
          <w:rtl/>
        </w:rPr>
        <w:t xml:space="preserve"> </w:t>
      </w:r>
      <w:r w:rsidRPr="00024930">
        <w:rPr>
          <w:rFonts w:hint="cs"/>
          <w:rtl/>
        </w:rPr>
        <w:t>לצורכי</w:t>
      </w:r>
      <w:r w:rsidRPr="00024930">
        <w:rPr>
          <w:rtl/>
        </w:rPr>
        <w:t xml:space="preserve"> </w:t>
      </w:r>
      <w:r w:rsidRPr="00024930">
        <w:rPr>
          <w:rFonts w:hint="cs"/>
          <w:rtl/>
        </w:rPr>
        <w:t>ציבור</w:t>
      </w:r>
      <w:r w:rsidRPr="00024930">
        <w:rPr>
          <w:rtl/>
        </w:rPr>
        <w:t>) 1943</w:t>
      </w:r>
      <w:r w:rsidRPr="00024930">
        <w:rPr>
          <w:rFonts w:hint="cs"/>
          <w:rtl/>
        </w:rPr>
        <w:t>; חוק</w:t>
      </w:r>
      <w:r w:rsidRPr="00024930">
        <w:rPr>
          <w:rtl/>
        </w:rPr>
        <w:t xml:space="preserve"> </w:t>
      </w:r>
      <w:r w:rsidRPr="00024930">
        <w:rPr>
          <w:rFonts w:hint="cs"/>
          <w:rtl/>
        </w:rPr>
        <w:t>התכנון</w:t>
      </w:r>
      <w:r w:rsidRPr="00024930">
        <w:rPr>
          <w:rtl/>
        </w:rPr>
        <w:t xml:space="preserve"> </w:t>
      </w:r>
      <w:r w:rsidRPr="00024930">
        <w:rPr>
          <w:rFonts w:hint="cs"/>
          <w:rtl/>
        </w:rPr>
        <w:t>והבניה</w:t>
      </w:r>
      <w:r w:rsidRPr="00024930">
        <w:rPr>
          <w:rtl/>
        </w:rPr>
        <w:t xml:space="preserve">, </w:t>
      </w:r>
      <w:r w:rsidRPr="00024930">
        <w:rPr>
          <w:rFonts w:hint="cs"/>
          <w:rtl/>
        </w:rPr>
        <w:t>תשכ</w:t>
      </w:r>
      <w:r w:rsidRPr="00024930">
        <w:rPr>
          <w:rtl/>
        </w:rPr>
        <w:t>"</w:t>
      </w:r>
      <w:r w:rsidRPr="00024930">
        <w:rPr>
          <w:rFonts w:hint="cs"/>
          <w:rtl/>
        </w:rPr>
        <w:t>ה</w:t>
      </w:r>
      <w:r w:rsidRPr="00024930">
        <w:rPr>
          <w:rtl/>
        </w:rPr>
        <w:t>-1965</w:t>
      </w:r>
      <w:r w:rsidRPr="00024930">
        <w:rPr>
          <w:rFonts w:hint="cs"/>
          <w:rtl/>
        </w:rPr>
        <w:t>; חוק</w:t>
      </w:r>
      <w:r w:rsidRPr="00024930">
        <w:rPr>
          <w:rtl/>
        </w:rPr>
        <w:t xml:space="preserve"> </w:t>
      </w:r>
      <w:r w:rsidRPr="00024930">
        <w:rPr>
          <w:rFonts w:hint="cs"/>
          <w:rtl/>
        </w:rPr>
        <w:t>בינוי</w:t>
      </w:r>
      <w:r w:rsidRPr="00024930">
        <w:rPr>
          <w:rtl/>
        </w:rPr>
        <w:t xml:space="preserve"> </w:t>
      </w:r>
      <w:r w:rsidRPr="00024930">
        <w:rPr>
          <w:rFonts w:hint="cs"/>
          <w:rtl/>
        </w:rPr>
        <w:t>ופינוי</w:t>
      </w:r>
      <w:r w:rsidRPr="00024930">
        <w:rPr>
          <w:rtl/>
        </w:rPr>
        <w:t xml:space="preserve"> </w:t>
      </w:r>
      <w:r w:rsidRPr="00024930">
        <w:rPr>
          <w:rFonts w:hint="cs"/>
          <w:rtl/>
        </w:rPr>
        <w:t>של</w:t>
      </w:r>
      <w:r w:rsidRPr="00024930">
        <w:rPr>
          <w:rtl/>
        </w:rPr>
        <w:t xml:space="preserve"> </w:t>
      </w:r>
      <w:r w:rsidRPr="00024930">
        <w:rPr>
          <w:rFonts w:hint="cs"/>
          <w:rtl/>
        </w:rPr>
        <w:t>אזורי</w:t>
      </w:r>
      <w:r w:rsidRPr="00024930">
        <w:rPr>
          <w:rtl/>
        </w:rPr>
        <w:t xml:space="preserve"> </w:t>
      </w:r>
      <w:r w:rsidRPr="00024930">
        <w:rPr>
          <w:rFonts w:hint="cs"/>
          <w:rtl/>
        </w:rPr>
        <w:t>שיקום,</w:t>
      </w:r>
      <w:r w:rsidRPr="00024930">
        <w:rPr>
          <w:rtl/>
        </w:rPr>
        <w:t xml:space="preserve"> </w:t>
      </w:r>
      <w:r w:rsidRPr="00024930">
        <w:rPr>
          <w:rFonts w:hint="cs"/>
          <w:rtl/>
        </w:rPr>
        <w:t>תשכ</w:t>
      </w:r>
      <w:r w:rsidRPr="00024930">
        <w:rPr>
          <w:rtl/>
        </w:rPr>
        <w:t>"</w:t>
      </w:r>
      <w:r w:rsidRPr="00024930">
        <w:rPr>
          <w:rFonts w:hint="cs"/>
          <w:rtl/>
        </w:rPr>
        <w:t>ה-</w:t>
      </w:r>
      <w:r w:rsidRPr="00024930">
        <w:rPr>
          <w:rtl/>
        </w:rPr>
        <w:t>1965</w:t>
      </w:r>
      <w:r w:rsidRPr="00024930">
        <w:rPr>
          <w:rFonts w:hint="cs"/>
          <w:rtl/>
        </w:rPr>
        <w:t>; ועוד.</w:t>
      </w:r>
    </w:p>
    <w:p w14:paraId="2CEE54C0" w14:textId="29840464" w:rsidR="005258FD" w:rsidRPr="00024930" w:rsidRDefault="005258FD" w:rsidP="00024930">
      <w:pPr>
        <w:pStyle w:val="Hesber"/>
        <w:rPr>
          <w:rtl/>
        </w:rPr>
      </w:pPr>
      <w:r w:rsidRPr="00024930">
        <w:rPr>
          <w:rFonts w:hint="cs"/>
          <w:rtl/>
        </w:rPr>
        <w:t>החוק המוצע מסמיך את המדינה לבצע הליך של הפקעת קרקעות ביהודה ו</w:t>
      </w:r>
      <w:r w:rsidR="00472185">
        <w:rPr>
          <w:rFonts w:hint="cs"/>
          <w:rtl/>
        </w:rPr>
        <w:t>ה</w:t>
      </w:r>
      <w:r w:rsidRPr="00024930">
        <w:rPr>
          <w:rFonts w:hint="cs"/>
          <w:rtl/>
        </w:rPr>
        <w:t>שומרון אשר משמשות יישובים קיימים, שהוקמו עליהם</w:t>
      </w:r>
      <w:bookmarkStart w:id="8" w:name="_GoBack"/>
      <w:bookmarkEnd w:id="8"/>
      <w:r w:rsidRPr="00024930">
        <w:rPr>
          <w:rFonts w:hint="cs"/>
          <w:rtl/>
        </w:rPr>
        <w:t xml:space="preserve"> בשליחות המדינה, במידה שהן מתבררות כאדמות בבעלות פרטית. הואיל והמציאות המשפטית והעובדתית </w:t>
      </w:r>
      <w:r w:rsidR="00E06DCA" w:rsidRPr="00024930">
        <w:rPr>
          <w:rFonts w:hint="cs"/>
          <w:rtl/>
        </w:rPr>
        <w:t xml:space="preserve"> ביהודה ו</w:t>
      </w:r>
      <w:r w:rsidR="00472185">
        <w:rPr>
          <w:rFonts w:hint="cs"/>
          <w:rtl/>
        </w:rPr>
        <w:t>ה</w:t>
      </w:r>
      <w:r w:rsidR="00E06DCA" w:rsidRPr="00024930">
        <w:rPr>
          <w:rFonts w:hint="cs"/>
          <w:rtl/>
        </w:rPr>
        <w:t>שומרון</w:t>
      </w:r>
      <w:r w:rsidRPr="00024930">
        <w:rPr>
          <w:rFonts w:hint="cs"/>
          <w:rtl/>
        </w:rPr>
        <w:t xml:space="preserve"> התאפיינה בחוסר בהירות, במצבים שבהם נבנו בעידוד הממשלה מבנים על קרקעות </w:t>
      </w:r>
      <w:r w:rsidR="00E06DCA" w:rsidRPr="00024930">
        <w:rPr>
          <w:rFonts w:hint="cs"/>
          <w:rtl/>
        </w:rPr>
        <w:t xml:space="preserve"> ביהודה ו</w:t>
      </w:r>
      <w:r w:rsidR="00472185">
        <w:rPr>
          <w:rFonts w:hint="cs"/>
          <w:rtl/>
        </w:rPr>
        <w:t>ה</w:t>
      </w:r>
      <w:r w:rsidR="00E06DCA" w:rsidRPr="00024930">
        <w:rPr>
          <w:rFonts w:hint="cs"/>
          <w:rtl/>
        </w:rPr>
        <w:t>שומרון</w:t>
      </w:r>
      <w:r w:rsidRPr="00024930">
        <w:rPr>
          <w:rFonts w:hint="cs"/>
          <w:rtl/>
        </w:rPr>
        <w:t xml:space="preserve"> הנחת המוצא של המתיישב היא שהזכויות במקרקעין היו של הממשלה. לאור זאת, פתרונות של הריסת המבנים והשכונות משמעותם פגיעה אנושה בזכויות אדם של המתיישבים. מנגד, הפגיעה בזכויותיהם של הטוענים לבעלות במקרקעין אלו היא מתונה, שכן הללו לא עיבדו את הקרקעות הללו ולא עשו בהן שימוש. </w:t>
      </w:r>
    </w:p>
    <w:p w14:paraId="7F6961CB" w14:textId="16A04388" w:rsidR="00E13C27" w:rsidRDefault="005258FD" w:rsidP="00024930">
      <w:pPr>
        <w:pStyle w:val="Hesber"/>
        <w:rPr>
          <w:rtl/>
        </w:rPr>
      </w:pPr>
      <w:r w:rsidRPr="00024930">
        <w:rPr>
          <w:rFonts w:hint="cs"/>
          <w:rtl/>
        </w:rPr>
        <w:t>החוק המוצע נועד לאזן בין האינטרס הציבורי החזק של מניעת הריסה של מבנים ושכונות שנבנו בעידוד הממשלה, לצד זכויות האדם של המתיישבים שהתיישבו בהם בעידוד הממשלה, לבין זכויות הקניין של הבעלים הרשומים או הטוענים לבעלות על המקרקעין. החוק המוצע קובע מנגנון פיצוי לבעלי האדמות, במידה שתוכח זכותם בקרקע. הואיל ומדובר באדמות שקיימים עליהן יישובים חיים ופורחים, ואשר ככלל לא נעשה בהן שימוש בידי הבעלים במשך שנים ארוכות, הרי שהפיצוי המוצע בחוק זה ירפא את הנזק שנגרם לבעלי הקרקע, ובמרבית המקרים הפיצוי אף יהיה מעל ומעבר לכך.</w:t>
      </w:r>
    </w:p>
    <w:p w14:paraId="0F39A406" w14:textId="77777777" w:rsidR="00CC4F93" w:rsidRDefault="00CC4F93" w:rsidP="00CC4F93">
      <w:pPr>
        <w:pStyle w:val="Hesber"/>
        <w:spacing w:line="240" w:lineRule="auto"/>
        <w:rPr>
          <w:rtl/>
        </w:rPr>
      </w:pPr>
    </w:p>
    <w:p w14:paraId="170209B0" w14:textId="77777777" w:rsidR="009A4AEC" w:rsidRPr="00557D2C" w:rsidRDefault="009A4AEC" w:rsidP="00CC4F93">
      <w:pPr>
        <w:pStyle w:val="Hesber"/>
        <w:spacing w:line="240" w:lineRule="auto"/>
        <w:rPr>
          <w:rtl/>
        </w:rPr>
      </w:pPr>
      <w:r w:rsidRPr="00557D2C">
        <w:rPr>
          <w:rtl/>
        </w:rPr>
        <w:t>---------------------------------</w:t>
      </w:r>
    </w:p>
    <w:p w14:paraId="443A5A83" w14:textId="77777777" w:rsidR="009A4AEC" w:rsidRPr="00557D2C" w:rsidRDefault="009A4AEC" w:rsidP="00CC4F93">
      <w:pPr>
        <w:pStyle w:val="Hesber"/>
        <w:spacing w:line="240" w:lineRule="auto"/>
        <w:rPr>
          <w:rtl/>
        </w:rPr>
      </w:pPr>
      <w:r w:rsidRPr="00557D2C">
        <w:rPr>
          <w:rtl/>
        </w:rPr>
        <w:t>הוגשה ליו"ר הכנסת והסגנים</w:t>
      </w:r>
    </w:p>
    <w:p w14:paraId="0DAF2890" w14:textId="77777777" w:rsidR="009A4AEC" w:rsidRPr="00557D2C" w:rsidRDefault="009A4AEC" w:rsidP="00CC4F93">
      <w:pPr>
        <w:pStyle w:val="Hesber"/>
        <w:spacing w:line="240" w:lineRule="auto"/>
        <w:rPr>
          <w:rtl/>
        </w:rPr>
      </w:pPr>
      <w:r w:rsidRPr="00557D2C">
        <w:rPr>
          <w:rtl/>
        </w:rPr>
        <w:t>והונחה על שולחן הכנסת ביום</w:t>
      </w:r>
    </w:p>
    <w:p w14:paraId="7BF5D341" w14:textId="741A8B58" w:rsidR="009A4AEC" w:rsidRPr="00024930" w:rsidRDefault="009A4AEC" w:rsidP="00CC4F93">
      <w:pPr>
        <w:pStyle w:val="Hesber"/>
        <w:spacing w:line="240" w:lineRule="auto"/>
        <w:rPr>
          <w:rtl/>
        </w:rPr>
      </w:pPr>
      <w:r>
        <w:rPr>
          <w:rFonts w:hint="cs"/>
          <w:rtl/>
        </w:rPr>
        <w:t>י"ג</w:t>
      </w:r>
      <w:r w:rsidRPr="00557D2C">
        <w:rPr>
          <w:rFonts w:hint="cs"/>
          <w:rtl/>
        </w:rPr>
        <w:t xml:space="preserve"> </w:t>
      </w:r>
      <w:r>
        <w:rPr>
          <w:rFonts w:hint="cs"/>
          <w:rtl/>
        </w:rPr>
        <w:t xml:space="preserve">באב </w:t>
      </w:r>
      <w:r w:rsidRPr="00557D2C">
        <w:rPr>
          <w:rFonts w:hint="cs"/>
          <w:rtl/>
        </w:rPr>
        <w:t xml:space="preserve">התשע"ה </w:t>
      </w:r>
      <w:r w:rsidRPr="00557D2C">
        <w:rPr>
          <w:rtl/>
        </w:rPr>
        <w:t>–</w:t>
      </w:r>
      <w:r>
        <w:rPr>
          <w:rFonts w:hint="cs"/>
          <w:rtl/>
        </w:rPr>
        <w:t xml:space="preserve"> 29.7.15</w:t>
      </w:r>
    </w:p>
    <w:sectPr w:rsidR="009A4AEC" w:rsidRPr="00024930" w:rsidSect="00CC4F93">
      <w:footerReference w:type="even" r:id="rId11"/>
      <w:footerReference w:type="default" r:id="rId12"/>
      <w:pgSz w:w="11907" w:h="16840" w:code="9"/>
      <w:pgMar w:top="1134" w:right="1134" w:bottom="993"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72185">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4D405F43" w14:textId="77777777" w:rsidR="00637882" w:rsidRDefault="00637882" w:rsidP="00637882">
      <w:pPr>
        <w:pStyle w:val="a4"/>
        <w:rPr>
          <w:rtl/>
        </w:rPr>
      </w:pPr>
      <w:r>
        <w:rPr>
          <w:rStyle w:val="a6"/>
        </w:rPr>
        <w:footnoteRef/>
      </w:r>
      <w:r>
        <w:rPr>
          <w:rtl/>
        </w:rPr>
        <w:t xml:space="preserve"> </w:t>
      </w:r>
      <w:r>
        <w:rPr>
          <w:rFonts w:hint="cs"/>
          <w:rtl/>
        </w:rPr>
        <w:t>ס"ח התשס"ז, עמ' 364.</w:t>
      </w:r>
    </w:p>
  </w:footnote>
  <w:footnote w:id="3">
    <w:p w14:paraId="14BD5855" w14:textId="7429E5C9" w:rsidR="005258FD" w:rsidRDefault="005258FD" w:rsidP="005258FD">
      <w:pPr>
        <w:pStyle w:val="a4"/>
        <w:rPr>
          <w:rtl/>
        </w:rPr>
      </w:pPr>
      <w:r>
        <w:rPr>
          <w:rStyle w:val="a6"/>
        </w:rPr>
        <w:footnoteRef/>
      </w:r>
      <w:r>
        <w:rPr>
          <w:rtl/>
        </w:rPr>
        <w:t xml:space="preserve"> </w:t>
      </w:r>
      <w:r w:rsidR="00926E3E">
        <w:rPr>
          <w:rFonts w:hint="cs"/>
          <w:rtl/>
        </w:rPr>
        <w:t>קובץ</w:t>
      </w:r>
      <w:r>
        <w:rPr>
          <w:rFonts w:hint="cs"/>
          <w:rtl/>
        </w:rPr>
        <w:t xml:space="preserve"> המנשרים מס' 5, </w:t>
      </w:r>
      <w:r w:rsidR="00926E3E">
        <w:rPr>
          <w:rFonts w:hint="cs"/>
          <w:rtl/>
        </w:rPr>
        <w:t xml:space="preserve">1967, </w:t>
      </w:r>
      <w:r>
        <w:rPr>
          <w:rFonts w:hint="cs"/>
          <w:rtl/>
        </w:rPr>
        <w:t>עמ' 162</w:t>
      </w:r>
      <w:r w:rsidR="00926E3E">
        <w:rPr>
          <w:rFonts w:hint="cs"/>
          <w:rtl/>
        </w:rPr>
        <w:t>.</w:t>
      </w:r>
    </w:p>
  </w:footnote>
  <w:footnote w:id="4">
    <w:p w14:paraId="027B9278" w14:textId="77777777" w:rsidR="00637882" w:rsidRDefault="00637882" w:rsidP="00637882">
      <w:pPr>
        <w:pStyle w:val="a4"/>
        <w:rPr>
          <w:rtl/>
        </w:rPr>
      </w:pPr>
      <w:r>
        <w:rPr>
          <w:rStyle w:val="a6"/>
        </w:rPr>
        <w:footnoteRef/>
      </w:r>
      <w:r>
        <w:rPr>
          <w:rtl/>
        </w:rPr>
        <w:t xml:space="preserve"> </w:t>
      </w:r>
      <w:r>
        <w:rPr>
          <w:rFonts w:hint="cs"/>
          <w:rtl/>
        </w:rPr>
        <w:t>קובץ המנשרים מס' 1, 1967, עמ'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4930"/>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0237"/>
    <w:rsid w:val="001C23B0"/>
    <w:rsid w:val="001D7AAF"/>
    <w:rsid w:val="00203A7F"/>
    <w:rsid w:val="0021633A"/>
    <w:rsid w:val="002200A1"/>
    <w:rsid w:val="002362BF"/>
    <w:rsid w:val="00241032"/>
    <w:rsid w:val="00241B97"/>
    <w:rsid w:val="002425D1"/>
    <w:rsid w:val="00246756"/>
    <w:rsid w:val="00251E58"/>
    <w:rsid w:val="00254605"/>
    <w:rsid w:val="00266D86"/>
    <w:rsid w:val="002728B4"/>
    <w:rsid w:val="0027600C"/>
    <w:rsid w:val="00292712"/>
    <w:rsid w:val="002A487D"/>
    <w:rsid w:val="002C2E29"/>
    <w:rsid w:val="002C3041"/>
    <w:rsid w:val="002D1EE3"/>
    <w:rsid w:val="002D76AE"/>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72185"/>
    <w:rsid w:val="004A06DC"/>
    <w:rsid w:val="004B24ED"/>
    <w:rsid w:val="004B6625"/>
    <w:rsid w:val="004D2D82"/>
    <w:rsid w:val="004D3876"/>
    <w:rsid w:val="004E4552"/>
    <w:rsid w:val="004E6CDF"/>
    <w:rsid w:val="005258FD"/>
    <w:rsid w:val="00553C9D"/>
    <w:rsid w:val="00562A66"/>
    <w:rsid w:val="005B064E"/>
    <w:rsid w:val="005D51AE"/>
    <w:rsid w:val="0062674B"/>
    <w:rsid w:val="006363B2"/>
    <w:rsid w:val="0063788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6E3E"/>
    <w:rsid w:val="00930EFE"/>
    <w:rsid w:val="00943386"/>
    <w:rsid w:val="009456B6"/>
    <w:rsid w:val="00957589"/>
    <w:rsid w:val="00966D06"/>
    <w:rsid w:val="00982412"/>
    <w:rsid w:val="00983A8D"/>
    <w:rsid w:val="009A0DB8"/>
    <w:rsid w:val="009A4AEC"/>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436C"/>
    <w:rsid w:val="00B975AD"/>
    <w:rsid w:val="00BC45FB"/>
    <w:rsid w:val="00BF148D"/>
    <w:rsid w:val="00C23B1A"/>
    <w:rsid w:val="00C310EB"/>
    <w:rsid w:val="00C35ED9"/>
    <w:rsid w:val="00C9176A"/>
    <w:rsid w:val="00CC4F93"/>
    <w:rsid w:val="00CF1AA2"/>
    <w:rsid w:val="00D17774"/>
    <w:rsid w:val="00D63620"/>
    <w:rsid w:val="00D8410D"/>
    <w:rsid w:val="00D867D7"/>
    <w:rsid w:val="00D9664E"/>
    <w:rsid w:val="00DB7060"/>
    <w:rsid w:val="00DE3153"/>
    <w:rsid w:val="00E06736"/>
    <w:rsid w:val="00E06DCA"/>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7E2A4CE-8CA3-4AA9-9A11-0DAC2B25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3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2493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24930"/>
    <w:rPr>
      <w:sz w:val="36"/>
      <w:szCs w:val="52"/>
    </w:rPr>
  </w:style>
  <w:style w:type="paragraph" w:customStyle="1" w:styleId="Cover3-Haknesset">
    <w:name w:val="Cover 3-Haknesset"/>
    <w:basedOn w:val="Cover1-Reshumot"/>
    <w:rsid w:val="00024930"/>
    <w:rPr>
      <w:b/>
      <w:bCs/>
      <w:spacing w:val="60"/>
    </w:rPr>
  </w:style>
  <w:style w:type="paragraph" w:customStyle="1" w:styleId="Cover4-Date">
    <w:name w:val="Cover 4-Date"/>
    <w:basedOn w:val="a"/>
    <w:rsid w:val="0002493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2493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2493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024930"/>
    <w:pPr>
      <w:spacing w:before="120" w:after="120"/>
    </w:pPr>
    <w:rPr>
      <w:color w:val="FF0000"/>
      <w:w w:val="80"/>
    </w:rPr>
  </w:style>
  <w:style w:type="paragraph" w:styleId="a3">
    <w:name w:val="endnote text"/>
    <w:basedOn w:val="a"/>
    <w:semiHidden/>
    <w:rsid w:val="00024930"/>
    <w:pPr>
      <w:ind w:left="227" w:hanging="227"/>
    </w:pPr>
    <w:rPr>
      <w:sz w:val="14"/>
      <w:szCs w:val="22"/>
    </w:rPr>
  </w:style>
  <w:style w:type="paragraph" w:customStyle="1" w:styleId="TableText">
    <w:name w:val="Table Text"/>
    <w:basedOn w:val="a"/>
    <w:rsid w:val="0002493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24930"/>
  </w:style>
  <w:style w:type="paragraph" w:customStyle="1" w:styleId="TableBlock">
    <w:name w:val="Table Block"/>
    <w:basedOn w:val="TableText"/>
    <w:rsid w:val="00024930"/>
    <w:pPr>
      <w:ind w:right="0"/>
      <w:jc w:val="both"/>
    </w:pPr>
  </w:style>
  <w:style w:type="paragraph" w:customStyle="1" w:styleId="TableHead">
    <w:name w:val="Table Head"/>
    <w:basedOn w:val="TableText"/>
    <w:rsid w:val="0002493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24930"/>
  </w:style>
  <w:style w:type="paragraph" w:customStyle="1" w:styleId="Hesber">
    <w:name w:val="Hesber"/>
    <w:basedOn w:val="a"/>
    <w:rsid w:val="0002493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02493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024930"/>
    <w:rPr>
      <w:vertAlign w:val="superscript"/>
    </w:rPr>
  </w:style>
  <w:style w:type="paragraph" w:customStyle="1" w:styleId="HesberHeading">
    <w:name w:val="Hesber Heading"/>
    <w:basedOn w:val="Hesber"/>
    <w:rsid w:val="00024930"/>
    <w:pPr>
      <w:tabs>
        <w:tab w:val="left" w:pos="624"/>
        <w:tab w:val="left" w:pos="1247"/>
      </w:tabs>
      <w:ind w:firstLine="0"/>
    </w:pPr>
    <w:rPr>
      <w:b/>
      <w:bCs/>
    </w:rPr>
  </w:style>
  <w:style w:type="paragraph" w:customStyle="1" w:styleId="HesberWriters">
    <w:name w:val="Hesber Writers"/>
    <w:basedOn w:val="Hesber"/>
    <w:rsid w:val="00024930"/>
    <w:pPr>
      <w:spacing w:before="120" w:after="6000"/>
      <w:ind w:left="1418" w:firstLine="0"/>
      <w:jc w:val="right"/>
    </w:pPr>
    <w:rPr>
      <w:b/>
      <w:bCs/>
    </w:rPr>
  </w:style>
  <w:style w:type="paragraph" w:customStyle="1" w:styleId="Hesber1st">
    <w:name w:val="Hesber 1st"/>
    <w:basedOn w:val="Hesber"/>
    <w:rsid w:val="00024930"/>
    <w:pPr>
      <w:tabs>
        <w:tab w:val="left" w:pos="680"/>
        <w:tab w:val="left" w:pos="1020"/>
      </w:tabs>
      <w:ind w:firstLine="0"/>
    </w:pPr>
  </w:style>
  <w:style w:type="character" w:styleId="a7">
    <w:name w:val="endnote reference"/>
    <w:basedOn w:val="a0"/>
    <w:semiHidden/>
    <w:rsid w:val="00024930"/>
    <w:rPr>
      <w:vertAlign w:val="superscript"/>
    </w:rPr>
  </w:style>
  <w:style w:type="paragraph" w:customStyle="1" w:styleId="TableBlockOutdent">
    <w:name w:val="Table BlockOutdent"/>
    <w:basedOn w:val="TableBlock"/>
    <w:rsid w:val="00024930"/>
    <w:pPr>
      <w:ind w:left="624" w:hanging="624"/>
    </w:pPr>
  </w:style>
  <w:style w:type="paragraph" w:styleId="a8">
    <w:name w:val="header"/>
    <w:basedOn w:val="a"/>
    <w:rsid w:val="00024930"/>
    <w:pPr>
      <w:tabs>
        <w:tab w:val="center" w:pos="4153"/>
        <w:tab w:val="right" w:pos="8306"/>
      </w:tabs>
    </w:pPr>
  </w:style>
  <w:style w:type="paragraph" w:styleId="a9">
    <w:name w:val="footer"/>
    <w:basedOn w:val="a"/>
    <w:rsid w:val="00024930"/>
    <w:pPr>
      <w:tabs>
        <w:tab w:val="center" w:pos="4153"/>
        <w:tab w:val="right" w:pos="8306"/>
      </w:tabs>
    </w:pPr>
  </w:style>
  <w:style w:type="paragraph" w:customStyle="1" w:styleId="HeadDivreiHesber">
    <w:name w:val="Head DivreiHesber"/>
    <w:basedOn w:val="a"/>
    <w:rsid w:val="0002493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024930"/>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02493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5258F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ECC6-11AB-4B41-914F-D1BC6ECE1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19CC3C4A-727C-4B3F-A533-25EA8389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1040</Words>
  <Characters>4848</Characters>
  <Application>Microsoft Office Word</Application>
  <DocSecurity>0</DocSecurity>
  <Lines>372</Lines>
  <Paragraphs>196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2015-07-27T10:46:00Z</cp:lastPrinted>
  <dcterms:created xsi:type="dcterms:W3CDTF">2015-04-20T09:58:00Z</dcterms:created>
  <dcterms:modified xsi:type="dcterms:W3CDTF">2015-07-29T07:32:00Z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566780</vt:r8>
  </property>
</Properties>
</file>