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567692</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אלי אלאלוף</w:t>
      </w:r>
      <w:r>
        <w:br/>
      </w:r>
      <w:r>
        <w:rPr>
          <w:rFonts w:hint="cs"/>
          <w:b/>
          <w:bCs/>
          <w:rtl/>
        </w:rPr>
        <w:t xml:space="preserve"> </w:t>
      </w:r>
      <w:r>
        <w:tab/>
      </w:r>
      <w:r>
        <w:tab/>
      </w:r>
      <w:r>
        <w:tab/>
      </w:r>
      <w:r>
        <w:tab/>
      </w:r>
      <w:r>
        <w:rPr>
          <w:rFonts w:hint="cs"/>
          <w:b/>
          <w:bCs/>
          <w:rtl/>
        </w:rPr>
        <w:t>זהבה גלאון</w:t>
      </w:r>
      <w:r>
        <w:br/>
      </w:r>
      <w:r>
        <w:rPr>
          <w:rFonts w:hint="cs"/>
          <w:b/>
          <w:bCs/>
          <w:rtl/>
        </w:rPr>
        <w:t xml:space="preserve"> </w:t>
      </w:r>
      <w:r>
        <w:tab/>
      </w:r>
      <w:r>
        <w:tab/>
      </w:r>
      <w:r>
        <w:tab/>
      </w:r>
      <w:r>
        <w:tab/>
      </w:r>
      <w:r>
        <w:rPr>
          <w:rFonts w:hint="cs"/>
          <w:b/>
          <w:bCs/>
          <w:rtl/>
        </w:rPr>
        <w:t>מרב מיכאלי</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פ/1907/20</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לחלוקת חיסכון פנסיוני בין בני זוג שנפרדו (תיקון – הארכת התקופה להגשת בקשה לרישום פסק דין שניתן לפני יום התחילה), התשע"ה–2015</w:t>
      </w:r>
      <w:bookmarkEnd w:id="7"/>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7B4D6B" w14:paraId="035EEF3D" w14:textId="77777777" w:rsidTr="002C3041">
        <w:trPr>
          <w:cantSplit/>
          <w:trHeight w:val="60"/>
        </w:trPr>
        <w:tc>
          <w:tcPr>
            <w:tcW w:w="1871" w:type="dxa"/>
          </w:tcPr>
          <w:p w14:paraId="3863FF98" w14:textId="2B119D66" w:rsidR="007B4D6B" w:rsidRDefault="007B4D6B" w:rsidP="007B4D6B">
            <w:pPr>
              <w:pStyle w:val="TableSideHeading"/>
              <w:keepLines w:val="0"/>
            </w:pPr>
            <w:r>
              <w:rPr>
                <w:rFonts w:hint="cs"/>
                <w:rtl/>
              </w:rPr>
              <w:t>תיקון סעיף 30</w:t>
            </w:r>
          </w:p>
        </w:tc>
        <w:tc>
          <w:tcPr>
            <w:tcW w:w="624" w:type="dxa"/>
          </w:tcPr>
          <w:p w14:paraId="6F513EF6" w14:textId="020189F8" w:rsidR="007B4D6B" w:rsidRDefault="007B4D6B" w:rsidP="007B4D6B">
            <w:pPr>
              <w:pStyle w:val="TableText"/>
              <w:keepLines w:val="0"/>
            </w:pPr>
            <w:r>
              <w:rPr>
                <w:rFonts w:hint="cs"/>
                <w:rtl/>
              </w:rPr>
              <w:t>1.</w:t>
            </w:r>
          </w:p>
        </w:tc>
        <w:tc>
          <w:tcPr>
            <w:tcW w:w="7146" w:type="dxa"/>
          </w:tcPr>
          <w:p w14:paraId="1AE94DEB" w14:textId="596FAAA1" w:rsidR="007B4D6B" w:rsidRPr="00C34DE2" w:rsidRDefault="007B4D6B" w:rsidP="007B4D6B">
            <w:pPr>
              <w:pStyle w:val="TableHead"/>
              <w:jc w:val="both"/>
            </w:pPr>
            <w:r w:rsidRPr="007B4D6B">
              <w:rPr>
                <w:rFonts w:hint="cs"/>
                <w:b w:val="0"/>
                <w:bCs w:val="0"/>
                <w:rtl/>
              </w:rPr>
              <w:t>בחוק לחלוקת חיסכון פנסיוני בין בני זוג שנפרדו, התשע"ד</w:t>
            </w:r>
            <w:r w:rsidRPr="007B4D6B">
              <w:rPr>
                <w:rFonts w:hint="eastAsia"/>
                <w:b w:val="0"/>
                <w:bCs w:val="0"/>
              </w:rPr>
              <w:t>–</w:t>
            </w:r>
            <w:r w:rsidRPr="007B4D6B">
              <w:rPr>
                <w:rFonts w:hint="cs"/>
                <w:b w:val="0"/>
                <w:bCs w:val="0"/>
                <w:rtl/>
              </w:rPr>
              <w:t>2014</w:t>
            </w:r>
            <w:r w:rsidRPr="007B4D6B">
              <w:rPr>
                <w:b w:val="0"/>
                <w:bCs w:val="0"/>
                <w:szCs w:val="20"/>
                <w:rtl/>
              </w:rPr>
              <w:footnoteReference w:id="2"/>
            </w:r>
            <w:r w:rsidRPr="007B4D6B">
              <w:rPr>
                <w:rFonts w:hint="cs"/>
                <w:b w:val="0"/>
                <w:bCs w:val="0"/>
                <w:rtl/>
              </w:rPr>
              <w:t>, בסעיף 30(ב)(2)(ד), במקום "בתוך שנה מיום התחילה" יבוא "בתוך שלוש שנים מיום התחילה</w:t>
            </w:r>
            <w:r w:rsidR="00F2659F">
              <w:rPr>
                <w:rFonts w:hint="cs"/>
                <w:rtl/>
              </w:rPr>
              <w:t>"</w:t>
            </w:r>
            <w:r w:rsidR="00F2659F">
              <w:rPr>
                <w:rFonts w:hint="cs"/>
                <w:b w:val="0"/>
                <w:bCs w:val="0"/>
                <w:rtl/>
              </w:rPr>
              <w:t>.</w:t>
            </w:r>
          </w:p>
        </w:tc>
      </w:tr>
    </w:tbl>
    <w:p w14:paraId="7F6961CA" w14:textId="2E27DE06" w:rsidR="002D1EE3" w:rsidRDefault="009B0073" w:rsidP="009B0073">
      <w:pPr>
        <w:pStyle w:val="HeadDivreiHesber"/>
        <w:jc w:val="both"/>
        <w:rPr>
          <w:rtl/>
        </w:rPr>
      </w:pPr>
      <w:r>
        <w:rPr>
          <w:rFonts w:hint="cs"/>
          <w:rtl/>
        </w:rPr>
        <w:t xml:space="preserve">                                         </w:t>
      </w:r>
      <w:r w:rsidR="002D1EE3" w:rsidRPr="0027450A">
        <w:rPr>
          <w:rFonts w:hint="cs"/>
          <w:rtl/>
        </w:rPr>
        <w:t>דברי הסבר</w:t>
      </w:r>
    </w:p>
    <w:p w14:paraId="70017862" w14:textId="741D3070" w:rsidR="009B0073" w:rsidRPr="00F2659F" w:rsidRDefault="009B0073" w:rsidP="00F2659F">
      <w:pPr>
        <w:pStyle w:val="Hesber"/>
        <w:spacing w:line="276" w:lineRule="auto"/>
        <w:rPr>
          <w:rtl/>
        </w:rPr>
      </w:pPr>
      <w:r w:rsidRPr="00F2659F">
        <w:rPr>
          <w:rFonts w:hint="cs"/>
          <w:rtl/>
        </w:rPr>
        <w:t>סעיף 30 לחוק לחלוקת חיסכון פנסיוני בין בני זוג שנפרדו, התשע"ד</w:t>
      </w:r>
      <w:r w:rsidR="00F2659F" w:rsidRPr="00F2659F">
        <w:rPr>
          <w:rFonts w:hint="eastAsia"/>
          <w:rtl/>
        </w:rPr>
        <w:t>–</w:t>
      </w:r>
      <w:r w:rsidRPr="00F2659F">
        <w:rPr>
          <w:rFonts w:hint="cs"/>
          <w:rtl/>
        </w:rPr>
        <w:t>2014</w:t>
      </w:r>
      <w:r w:rsidR="00F2659F" w:rsidRPr="00F2659F">
        <w:rPr>
          <w:rFonts w:hint="cs"/>
          <w:rtl/>
        </w:rPr>
        <w:t xml:space="preserve"> (</w:t>
      </w:r>
      <w:r w:rsidRPr="00F2659F">
        <w:rPr>
          <w:rFonts w:hint="cs"/>
          <w:rtl/>
        </w:rPr>
        <w:t xml:space="preserve">להלן </w:t>
      </w:r>
      <w:r w:rsidRPr="00F2659F">
        <w:rPr>
          <w:rFonts w:hint="eastAsia"/>
          <w:rtl/>
        </w:rPr>
        <w:t>– החוק</w:t>
      </w:r>
      <w:r w:rsidRPr="00F2659F">
        <w:rPr>
          <w:rFonts w:hint="cs"/>
          <w:rtl/>
        </w:rPr>
        <w:t xml:space="preserve">), מאפשר </w:t>
      </w:r>
      <w:r w:rsidR="00F2659F" w:rsidRPr="00F2659F">
        <w:rPr>
          <w:rFonts w:hint="cs"/>
          <w:rtl/>
        </w:rPr>
        <w:t>להחיל את</w:t>
      </w:r>
      <w:r w:rsidRPr="00F2659F">
        <w:rPr>
          <w:rFonts w:hint="cs"/>
          <w:rtl/>
        </w:rPr>
        <w:t xml:space="preserve"> הוראות החוק גם לגבי פסק דין לחלוקת חיסכון פנסיוני שניתן לפני יום תחילתו של החוק (פברואר 2015).  </w:t>
      </w:r>
      <w:r w:rsidR="00F2659F" w:rsidRPr="00F2659F">
        <w:rPr>
          <w:rFonts w:hint="cs"/>
          <w:rtl/>
        </w:rPr>
        <w:t>ו</w:t>
      </w:r>
      <w:r w:rsidRPr="00F2659F">
        <w:rPr>
          <w:rFonts w:hint="cs"/>
          <w:rtl/>
        </w:rPr>
        <w:t>אולם החוק מתנה את החלת ההוראות המאפשרות לבן הזוג לשעבר להיות זכאי לקצבת שאירים בהסדר פנסיה של צבירת זכויות במספר תנאים מצטברים. בין השאר, דורש החוק כי אם חלפו שנתיים מהמועד שבו נ</w:t>
      </w:r>
      <w:bookmarkStart w:id="8" w:name="_GoBack"/>
      <w:bookmarkEnd w:id="8"/>
      <w:r w:rsidRPr="00F2659F">
        <w:rPr>
          <w:rFonts w:hint="cs"/>
          <w:rtl/>
        </w:rPr>
        <w:t xml:space="preserve">יתן פסק הדין לחלוקת חיסכון פנסיוני או מהמועד שבו החלה הזכאות של בעל הפנסיה לגמלה, לפי המאוחר, תוגש הבקשה לרישום פסק הדין לא יאוחר מתום שנה מיום תחילתו של החוק, קרי עד 6 בפברואר 2016.  </w:t>
      </w:r>
    </w:p>
    <w:p w14:paraId="03744470" w14:textId="179533F8" w:rsidR="009B0073" w:rsidRPr="00F2659F" w:rsidRDefault="009B0073" w:rsidP="00F2659F">
      <w:pPr>
        <w:pStyle w:val="Hesber"/>
        <w:spacing w:line="276" w:lineRule="auto"/>
        <w:rPr>
          <w:rtl/>
        </w:rPr>
      </w:pPr>
      <w:r w:rsidRPr="00F2659F">
        <w:rPr>
          <w:rFonts w:hint="cs"/>
          <w:rtl/>
        </w:rPr>
        <w:t>הוראות מעבר אלה נועדו לתת מענה לבני זוג לש</w:t>
      </w:r>
      <w:r w:rsidR="00F2659F" w:rsidRPr="00F2659F">
        <w:rPr>
          <w:rFonts w:hint="cs"/>
          <w:rtl/>
        </w:rPr>
        <w:t>עבר, אשר נפרדו לפני תחילת החוק ו</w:t>
      </w:r>
      <w:r w:rsidRPr="00F2659F">
        <w:rPr>
          <w:rFonts w:hint="cs"/>
          <w:rtl/>
        </w:rPr>
        <w:t>הסתמכו על גמלת הפרישה של העמית הרשום למחייתם</w:t>
      </w:r>
      <w:r w:rsidR="00460C53" w:rsidRPr="00F2659F">
        <w:rPr>
          <w:rFonts w:hint="cs"/>
          <w:rtl/>
        </w:rPr>
        <w:t>,</w:t>
      </w:r>
      <w:r w:rsidR="007B4D6B" w:rsidRPr="00F2659F">
        <w:rPr>
          <w:rFonts w:hint="cs"/>
          <w:rtl/>
        </w:rPr>
        <w:t xml:space="preserve"> לבל י</w:t>
      </w:r>
      <w:r w:rsidRPr="00F2659F">
        <w:rPr>
          <w:rFonts w:hint="cs"/>
          <w:rtl/>
        </w:rPr>
        <w:t>מצאו עצמם, עם מותו</w:t>
      </w:r>
      <w:r w:rsidR="007B4D6B" w:rsidRPr="00F2659F">
        <w:rPr>
          <w:rFonts w:hint="cs"/>
          <w:rtl/>
        </w:rPr>
        <w:t>,</w:t>
      </w:r>
      <w:r w:rsidR="00F2659F" w:rsidRPr="00F2659F">
        <w:rPr>
          <w:rFonts w:hint="cs"/>
          <w:rtl/>
        </w:rPr>
        <w:t xml:space="preserve"> ללא כל מקור הכנסה. </w:t>
      </w:r>
      <w:r w:rsidRPr="00F2659F">
        <w:rPr>
          <w:rFonts w:hint="cs"/>
          <w:rtl/>
        </w:rPr>
        <w:t xml:space="preserve">ואולם, המציאות בשטח מלמדת כי קיים קושי אובייקטיבי בהטמעת החוק ויישומו בפרק זמן כה קצר. </w:t>
      </w:r>
    </w:p>
    <w:p w14:paraId="1E723842" w14:textId="751FD4B2" w:rsidR="009B0073" w:rsidRDefault="009B0073" w:rsidP="00F2659F">
      <w:pPr>
        <w:pStyle w:val="Hesber"/>
        <w:spacing w:line="276" w:lineRule="auto"/>
        <w:rPr>
          <w:rtl/>
        </w:rPr>
      </w:pPr>
      <w:r w:rsidRPr="00F2659F">
        <w:rPr>
          <w:rFonts w:hint="cs"/>
          <w:rtl/>
        </w:rPr>
        <w:t xml:space="preserve">לפיכך מוצע שלא לחסום את דרכו של בן זוג לשעבר, שמתקיימים בו יתר התנאים לפי סעיף 30 לחוק, ליהנות מהזכות לקצבת שאירים בהסדר של צבירת זכויות, לאחר מות הגמלאי, רק בשל איחור במועד הגשת הבקשה לרישום פסק הדין. בהתאם מוצע להאריך את התקופה לרישום פסק דין לחלוקת חיסכון פנסיוני שניתן לפני יום התחילה, עד לשלוש שנים מיום התחילה. הצעת החוק </w:t>
      </w:r>
      <w:r w:rsidR="007B4D6B" w:rsidRPr="00F2659F">
        <w:rPr>
          <w:rFonts w:hint="cs"/>
          <w:rtl/>
        </w:rPr>
        <w:t>נוסחה בסיוע</w:t>
      </w:r>
      <w:r w:rsidRPr="00F2659F">
        <w:rPr>
          <w:rFonts w:hint="cs"/>
          <w:rtl/>
        </w:rPr>
        <w:t xml:space="preserve"> ארגון נעמת.</w:t>
      </w:r>
    </w:p>
    <w:p w14:paraId="24C3D965" w14:textId="77777777" w:rsidR="00F2659F" w:rsidRPr="00F2659F" w:rsidRDefault="00F2659F" w:rsidP="00F2659F">
      <w:pPr>
        <w:pStyle w:val="Hesber"/>
        <w:spacing w:line="276" w:lineRule="auto"/>
        <w:rPr>
          <w:rtl/>
        </w:rPr>
      </w:pPr>
    </w:p>
    <w:p w14:paraId="4F89F22B" w14:textId="77777777" w:rsidR="00F2659F" w:rsidRPr="0022704F" w:rsidRDefault="00F2659F" w:rsidP="00F2659F">
      <w:pPr>
        <w:spacing w:before="0" w:line="276"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w:t>
      </w:r>
    </w:p>
    <w:p w14:paraId="7A1C3A41" w14:textId="77777777" w:rsidR="00F2659F" w:rsidRPr="0022704F" w:rsidRDefault="00F2659F" w:rsidP="00F2659F">
      <w:pPr>
        <w:spacing w:before="0" w:line="276"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הוגשה ליו"ר הכנסת והסגנים</w:t>
      </w:r>
    </w:p>
    <w:p w14:paraId="27F3B944" w14:textId="77777777" w:rsidR="00F2659F" w:rsidRPr="0022704F" w:rsidRDefault="00F2659F" w:rsidP="00F2659F">
      <w:pPr>
        <w:spacing w:before="0" w:line="276"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והונחה על שולחן הכנסת ביום</w:t>
      </w:r>
    </w:p>
    <w:p w14:paraId="4C171DAD" w14:textId="77777777" w:rsidR="00F2659F" w:rsidRPr="00935520" w:rsidRDefault="00F2659F" w:rsidP="00F2659F">
      <w:pPr>
        <w:spacing w:before="0" w:line="276" w:lineRule="auto"/>
        <w:ind w:left="340" w:firstLine="0"/>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י"א  באב התשע"ה</w:t>
      </w:r>
      <w:r w:rsidRPr="00935520">
        <w:rPr>
          <w:rFonts w:ascii="Arial" w:eastAsia="Arial Unicode MS" w:hAnsi="Arial" w:cs="David" w:hint="cs"/>
          <w:snapToGrid w:val="0"/>
          <w:spacing w:val="0"/>
          <w:sz w:val="20"/>
          <w:szCs w:val="26"/>
          <w:rtl/>
        </w:rPr>
        <w:t xml:space="preserve"> – </w:t>
      </w:r>
      <w:r>
        <w:rPr>
          <w:rFonts w:ascii="Arial" w:eastAsia="Arial Unicode MS" w:hAnsi="Arial" w:cs="David" w:hint="cs"/>
          <w:snapToGrid w:val="0"/>
          <w:spacing w:val="0"/>
          <w:sz w:val="20"/>
          <w:szCs w:val="26"/>
          <w:rtl/>
        </w:rPr>
        <w:t>27</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7</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15</w:t>
      </w:r>
    </w:p>
    <w:p w14:paraId="37BFF5D1" w14:textId="77777777" w:rsidR="009B0073" w:rsidRDefault="009B0073" w:rsidP="00F2659F">
      <w:pPr>
        <w:pStyle w:val="Hesber"/>
        <w:spacing w:line="276" w:lineRule="auto"/>
        <w:ind w:firstLine="0"/>
        <w:rPr>
          <w:rtl/>
        </w:rPr>
      </w:pPr>
    </w:p>
    <w:sectPr w:rsidR="009B0073"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F2659F">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7CB57B1C" w14:textId="77777777" w:rsidR="007B4D6B" w:rsidRDefault="007B4D6B" w:rsidP="007B4D6B">
      <w:pPr>
        <w:pStyle w:val="a4"/>
        <w:rPr>
          <w:rtl/>
        </w:rPr>
      </w:pPr>
      <w:r>
        <w:rPr>
          <w:rStyle w:val="a6"/>
        </w:rPr>
        <w:footnoteRef/>
      </w:r>
      <w:r>
        <w:rPr>
          <w:rtl/>
        </w:rPr>
        <w:t xml:space="preserve"> </w:t>
      </w:r>
      <w:r>
        <w:rPr>
          <w:rFonts w:hint="cs"/>
          <w:rtl/>
        </w:rPr>
        <w:t>ס"ה התשע"ד, עמ' 686.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60C53"/>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B4D6B"/>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40D3"/>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B0073"/>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7774"/>
    <w:rsid w:val="00D63620"/>
    <w:rsid w:val="00D8410D"/>
    <w:rsid w:val="00D867D7"/>
    <w:rsid w:val="00DB7060"/>
    <w:rsid w:val="00DE3153"/>
    <w:rsid w:val="00E06736"/>
    <w:rsid w:val="00E13C27"/>
    <w:rsid w:val="00E33BBD"/>
    <w:rsid w:val="00E374F2"/>
    <w:rsid w:val="00E45103"/>
    <w:rsid w:val="00E55A60"/>
    <w:rsid w:val="00E62778"/>
    <w:rsid w:val="00E63D38"/>
    <w:rsid w:val="00E665B9"/>
    <w:rsid w:val="00EA01E6"/>
    <w:rsid w:val="00EA3DE8"/>
    <w:rsid w:val="00EA758F"/>
    <w:rsid w:val="00ED4A6F"/>
    <w:rsid w:val="00EF3A3A"/>
    <w:rsid w:val="00F2659F"/>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DA10FF84-BCB8-4501-8088-5D83059A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link w:val="a4"/>
    <w:semiHidden/>
    <w:rsid w:val="009B0073"/>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40FB0-EB92-4C74-99A6-27D1E968D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http://purl.org/dc/terms/"/>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2F2785D9-71AE-461F-A596-32F7515F7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307</Words>
  <Characters>1537</Characters>
  <Application>Microsoft Office Word</Application>
  <DocSecurity>0</DocSecurity>
  <Lines>12</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7</cp:revision>
  <cp:lastPrinted>2015-07-23T05:50:00Z</cp:lastPrinted>
  <dcterms:created xsi:type="dcterms:W3CDTF">2015-04-20T09:58:00Z</dcterms:created>
  <dcterms:modified xsi:type="dcterms:W3CDTF">2015-07-23T05:50:00Z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567692</vt:r8>
  </property>
</Properties>
</file>