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567163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34DB4103" w14:textId="3C28B9E6" w:rsidR="00904591" w:rsidRPr="00904591" w:rsidRDefault="008F6665" w:rsidP="00B87BA0">
      <w:pPr>
        <w:pStyle w:val="David"/>
        <w:spacing w:line="360" w:lineRule="auto"/>
        <w:rPr>
          <w:sz w:val="4"/>
          <w:szCs w:val="4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יואב בן צור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איילת נחמיאס ורבין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אילן גילאון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רויטל סויד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מיכל רוזין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עיסאווי פריג'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בצלאל סמוטריץ'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זוהיר בהלול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אחמד טיבי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ניסן סלומינסקי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מנואל טרכטנברג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מיקי רוזנטל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עליזה לביא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אילטוב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עבדאללה אבו מערוף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מגל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יעקב פרי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אייל בן ראובן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יפעת שאשא ביטון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סתיו שפיר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מיכל בירן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מאיר כהן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B87BA0">
        <w:rPr>
          <w:rFonts w:hint="cs"/>
          <w:b/>
          <w:bCs/>
          <w:rtl/>
        </w:rPr>
        <w:t>זהבה גלאון</w:t>
      </w:r>
      <w:r w:rsidR="00B87BA0">
        <w:rPr>
          <w:rFonts w:hint="cs"/>
          <w:b/>
          <w:bCs/>
          <w:rtl/>
        </w:rPr>
        <w:t xml:space="preserve"> </w:t>
      </w:r>
      <w:r w:rsidR="00B87BA0">
        <w:rPr>
          <w:b/>
          <w:bCs/>
          <w:rtl/>
        </w:rPr>
        <w:tab/>
      </w:r>
      <w:r w:rsidR="00B87BA0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עפר שלח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יצחק וקנין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דניאל עטר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אברהם נגוסה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איתן כבל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 xml:space="preserve">אראל </w:t>
      </w:r>
      <w:bookmarkStart w:id="4" w:name="_GoBack"/>
      <w:bookmarkEnd w:id="4"/>
      <w:r w:rsidR="008C3AF6">
        <w:rPr>
          <w:rFonts w:hint="cs"/>
          <w:b/>
          <w:bCs/>
          <w:rtl/>
        </w:rPr>
        <w:t>מרגלית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משה גפני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יואל רזבוזוב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רועי פולקמן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אלי אלאלוף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מרב מיכאלי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ישראל אייכלר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חיים ילין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אורלי לוי אבקסיס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נחמן שי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מכלוף מיקי זוהר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טלי פלוסקוב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שלי יחימוביץ'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אברהם דיכטר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אמסלם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קסניה סבטלובה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שרון גל</w:t>
      </w:r>
      <w:r w:rsidR="008C3AF6" w:rsidRPr="008C3AF6">
        <w:rPr>
          <w:rFonts w:hint="cs"/>
          <w:b/>
          <w:bCs/>
          <w:rtl/>
        </w:rPr>
        <w:t xml:space="preserve"> </w:t>
      </w:r>
      <w:r w:rsidR="00B87BA0">
        <w:rPr>
          <w:b/>
          <w:bCs/>
          <w:rtl/>
        </w:rPr>
        <w:tab/>
      </w:r>
      <w:r w:rsidR="00B87BA0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חמד עמאר</w:t>
      </w:r>
      <w:r w:rsidR="008C3AF6" w:rsidRPr="008C3AF6">
        <w:rPr>
          <w:rFonts w:hint="cs"/>
          <w:b/>
          <w:bCs/>
          <w:rtl/>
        </w:rPr>
        <w:t xml:space="preserve"> </w:t>
      </w:r>
      <w:r w:rsidR="008C3AF6">
        <w:rPr>
          <w:b/>
          <w:bCs/>
          <w:rtl/>
        </w:rPr>
        <w:tab/>
      </w:r>
      <w:r w:rsidR="00B87BA0">
        <w:rPr>
          <w:b/>
          <w:bCs/>
          <w:rtl/>
        </w:rPr>
        <w:tab/>
      </w:r>
      <w:r w:rsidR="008C3AF6">
        <w:rPr>
          <w:rFonts w:hint="cs"/>
          <w:b/>
          <w:bCs/>
          <w:rtl/>
        </w:rPr>
        <w:t>איתן ברושי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bookmarkEnd w:id="3"/>
      <w:r w:rsidR="00266D86">
        <w:t>___</w:t>
      </w:r>
      <w:r w:rsidR="00E374F2">
        <w:t>__</w:t>
      </w:r>
      <w:r w:rsidR="00266D86"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64FF4AE8" w:rsidR="00E13C27" w:rsidRDefault="00904591" w:rsidP="00DD7029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5" w:name="Private_Number"/>
      <w:r>
        <w:rPr>
          <w:rFonts w:hint="cs"/>
          <w:rtl/>
        </w:rPr>
        <w:t>פ/1924/20</w:t>
      </w:r>
      <w:bookmarkEnd w:id="5"/>
    </w:p>
    <w:p w14:paraId="7F6961AD" w14:textId="0BB08E7E" w:rsidR="00E13C27" w:rsidRPr="00F67051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הביטוח הלאומי (תיקון – הארכת תקופת זכאות לקצבה בעד ילד החולה בסוכרת נעורים), התשע"ה–2015</w:t>
      </w:r>
      <w:bookmarkEnd w:id="6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433F4A" w14:paraId="751B19F3" w14:textId="77777777" w:rsidTr="007C1E1B">
        <w:trPr>
          <w:cantSplit/>
          <w:trHeight w:val="60"/>
        </w:trPr>
        <w:tc>
          <w:tcPr>
            <w:tcW w:w="1871" w:type="dxa"/>
          </w:tcPr>
          <w:p w14:paraId="11479DC8" w14:textId="44A26E7C" w:rsidR="00433F4A" w:rsidRDefault="00433F4A" w:rsidP="007D0294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222</w:t>
            </w:r>
          </w:p>
        </w:tc>
        <w:tc>
          <w:tcPr>
            <w:tcW w:w="624" w:type="dxa"/>
          </w:tcPr>
          <w:p w14:paraId="037CA939" w14:textId="77777777" w:rsidR="00433F4A" w:rsidRDefault="00433F4A" w:rsidP="007C1E1B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60749F96" w14:textId="50E65B63" w:rsidR="00433F4A" w:rsidRPr="00C34DE2" w:rsidRDefault="00433F4A" w:rsidP="007D0294">
            <w:pPr>
              <w:pStyle w:val="TableBlock"/>
              <w:keepLines w:val="0"/>
            </w:pPr>
            <w:r>
              <w:rPr>
                <w:rFonts w:hint="cs"/>
                <w:rtl/>
              </w:rPr>
              <w:t>בחוק הביטוח הלאומי (נוסח משולב), התשנ"ה–1995</w:t>
            </w:r>
            <w:r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 בסעיף 222(</w:t>
            </w:r>
            <w:r w:rsidR="007D0294">
              <w:rPr>
                <w:rFonts w:hint="cs"/>
                <w:rtl/>
              </w:rPr>
              <w:t>ג</w:t>
            </w:r>
            <w:r>
              <w:rPr>
                <w:rFonts w:hint="cs"/>
                <w:rtl/>
              </w:rPr>
              <w:t>), בסופו יבוא</w:t>
            </w:r>
            <w:r w:rsidR="007D0294">
              <w:rPr>
                <w:rFonts w:hint="cs"/>
                <w:rtl/>
              </w:rPr>
              <w:t xml:space="preserve"> "</w:t>
            </w:r>
            <w:r w:rsidR="007D0294" w:rsidRPr="008D4846">
              <w:rPr>
                <w:rtl/>
              </w:rPr>
              <w:t xml:space="preserve">ובלבד שלעניין ילד נכה שנכלל בגדר הזכאים לקצבה לפי סעיף קטן זה בשל מחלת </w:t>
            </w:r>
            <w:r w:rsidR="007D0294">
              <w:rPr>
                <w:rtl/>
              </w:rPr>
              <w:t>ס</w:t>
            </w:r>
            <w:r w:rsidR="007D0294" w:rsidRPr="008D4846">
              <w:rPr>
                <w:rtl/>
              </w:rPr>
              <w:t>כרת הנעורים, תהיה הזכאות עד גיל 18</w:t>
            </w:r>
            <w:r w:rsidR="007D0294">
              <w:rPr>
                <w:rFonts w:hint="cs"/>
                <w:rtl/>
              </w:rPr>
              <w:t>".</w:t>
            </w:r>
          </w:p>
        </w:tc>
      </w:tr>
    </w:tbl>
    <w:p w14:paraId="7F839301" w14:textId="77777777" w:rsidR="008C3AF6" w:rsidRDefault="008C3AF6" w:rsidP="002D1EE3">
      <w:pPr>
        <w:pStyle w:val="HeadDivreiHesber"/>
        <w:rPr>
          <w:rtl/>
        </w:rPr>
      </w:pPr>
      <w:r>
        <w:rPr>
          <w:rtl/>
        </w:rPr>
        <w:br w:type="page"/>
      </w:r>
    </w:p>
    <w:p w14:paraId="7F6961CA" w14:textId="55E2F952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1E52EEAD" w14:textId="6A4BD8C6" w:rsidR="00433F4A" w:rsidRPr="005E3AAF" w:rsidRDefault="00433F4A" w:rsidP="008C3AF6">
      <w:pPr>
        <w:pStyle w:val="Hesber"/>
        <w:rPr>
          <w:rtl/>
        </w:rPr>
      </w:pPr>
      <w:r w:rsidRPr="005E3AAF">
        <w:rPr>
          <w:rtl/>
        </w:rPr>
        <w:t>ההחלטה בדבר תשלום לילד נכה הסובל מסכרת נעורים קבועה בתקנות הביטו</w:t>
      </w:r>
      <w:r>
        <w:rPr>
          <w:rtl/>
        </w:rPr>
        <w:t>ח הלאומי (ילד נכה), התש"ע</w:t>
      </w:r>
      <w:r w:rsidR="008C3AF6">
        <w:rPr>
          <w:rFonts w:hint="cs"/>
          <w:rtl/>
        </w:rPr>
        <w:t>–</w:t>
      </w:r>
      <w:r>
        <w:rPr>
          <w:rtl/>
        </w:rPr>
        <w:t>2010</w:t>
      </w:r>
      <w:r w:rsidR="007D029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5E3AAF">
        <w:rPr>
          <w:rtl/>
        </w:rPr>
        <w:t>ההגדרה כוללת ילדים עד גיל 18, אולם ההחלטה בדבר תשלום לילדים</w:t>
      </w:r>
      <w:r>
        <w:rPr>
          <w:rFonts w:hint="cs"/>
          <w:rtl/>
        </w:rPr>
        <w:t xml:space="preserve"> חולים</w:t>
      </w:r>
      <w:r>
        <w:rPr>
          <w:rtl/>
        </w:rPr>
        <w:t xml:space="preserve"> עד גיל 10 הי</w:t>
      </w:r>
      <w:r>
        <w:rPr>
          <w:rFonts w:hint="cs"/>
          <w:rtl/>
        </w:rPr>
        <w:t xml:space="preserve">נה </w:t>
      </w:r>
      <w:r>
        <w:rPr>
          <w:rtl/>
        </w:rPr>
        <w:t xml:space="preserve">נוהל </w:t>
      </w:r>
      <w:r>
        <w:rPr>
          <w:rFonts w:hint="cs"/>
          <w:rtl/>
        </w:rPr>
        <w:t xml:space="preserve">אשר </w:t>
      </w:r>
      <w:r w:rsidRPr="005E3AAF">
        <w:rPr>
          <w:rtl/>
        </w:rPr>
        <w:t>השתרש בש</w:t>
      </w:r>
      <w:r>
        <w:rPr>
          <w:rtl/>
        </w:rPr>
        <w:t>ל מאפייני ההגבלות הקבועות בתקנו</w:t>
      </w:r>
      <w:r>
        <w:rPr>
          <w:rFonts w:hint="cs"/>
          <w:rtl/>
        </w:rPr>
        <w:t>ת</w:t>
      </w:r>
      <w:r w:rsidRPr="005E3AAF">
        <w:rPr>
          <w:rtl/>
        </w:rPr>
        <w:t>.</w:t>
      </w:r>
    </w:p>
    <w:p w14:paraId="6E9B2C80" w14:textId="1183EE61" w:rsidR="00433F4A" w:rsidRDefault="00433F4A" w:rsidP="00433F4A">
      <w:pPr>
        <w:pStyle w:val="Hesber"/>
        <w:rPr>
          <w:rtl/>
        </w:rPr>
      </w:pPr>
      <w:r>
        <w:rPr>
          <w:rFonts w:hint="cs"/>
          <w:rtl/>
        </w:rPr>
        <w:t>הצעת החוק מבקשת לעשות צדק עם אוכלוסייה זו המונה כשלושת אלפים ילדים החולים בס</w:t>
      </w:r>
      <w:r w:rsidR="007D0294">
        <w:rPr>
          <w:rFonts w:hint="cs"/>
          <w:rtl/>
        </w:rPr>
        <w:t>ו</w:t>
      </w:r>
      <w:r>
        <w:rPr>
          <w:rFonts w:hint="cs"/>
          <w:rtl/>
        </w:rPr>
        <w:t xml:space="preserve">כרת נעורים, ואשר עם הגיעם לגיל עשר המחלה והנכות על תופעותיה אינן נעלמות אך </w:t>
      </w:r>
      <w:r w:rsidR="007D0294">
        <w:rPr>
          <w:rFonts w:hint="cs"/>
          <w:rtl/>
        </w:rPr>
        <w:t xml:space="preserve">תשלום </w:t>
      </w:r>
      <w:r>
        <w:rPr>
          <w:rFonts w:hint="cs"/>
          <w:rtl/>
        </w:rPr>
        <w:t xml:space="preserve">קצבת הנכות </w:t>
      </w:r>
      <w:r w:rsidR="007D0294">
        <w:rPr>
          <w:rFonts w:hint="cs"/>
          <w:rtl/>
        </w:rPr>
        <w:t>נפסק</w:t>
      </w:r>
      <w:r>
        <w:rPr>
          <w:rFonts w:hint="cs"/>
          <w:rtl/>
        </w:rPr>
        <w:t>, דבר המצריך הוצאה ניכרת ללא תמיכה של ההורים ובני המשפחה הקרובה בסיוע לרווחת הנער או הנערה החולים ואשר זקוקים לתמיכה מתמדת.</w:t>
      </w:r>
    </w:p>
    <w:p w14:paraId="5207198B" w14:textId="0D5CC407" w:rsidR="00433F4A" w:rsidRPr="005E3AAF" w:rsidRDefault="00433F4A" w:rsidP="00433F4A">
      <w:pPr>
        <w:pStyle w:val="Hesber"/>
        <w:rPr>
          <w:rtl/>
        </w:rPr>
      </w:pPr>
      <w:r>
        <w:rPr>
          <w:rFonts w:hint="cs"/>
          <w:rtl/>
        </w:rPr>
        <w:t xml:space="preserve">ההכרה הממסדית במחלה זו עבור ילדים אלו עד הגיעם לגיל שמונה עשרה מתבקשת </w:t>
      </w:r>
      <w:r w:rsidR="007D0294">
        <w:rPr>
          <w:rFonts w:hint="cs"/>
          <w:rtl/>
        </w:rPr>
        <w:t>ו</w:t>
      </w:r>
      <w:r>
        <w:rPr>
          <w:rFonts w:hint="cs"/>
          <w:rtl/>
        </w:rPr>
        <w:t xml:space="preserve">עלותה השולית אל מול התועלת העצומה לחולים ובני משפחותיהם אינה ניתנת לשיעור. 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04575F7D" w14:textId="56C4D2A8" w:rsidR="008C3AF6" w:rsidRDefault="008C3AF6" w:rsidP="00E13C27">
      <w:pPr>
        <w:pStyle w:val="Hesber"/>
        <w:rPr>
          <w:rtl/>
        </w:rPr>
      </w:pPr>
    </w:p>
    <w:p w14:paraId="3B0BA51A" w14:textId="77777777" w:rsidR="008C3AF6" w:rsidRDefault="008C3AF6" w:rsidP="00E13C27">
      <w:pPr>
        <w:pStyle w:val="Hesber"/>
        <w:rPr>
          <w:rtl/>
        </w:rPr>
      </w:pPr>
    </w:p>
    <w:p w14:paraId="20795078" w14:textId="77777777" w:rsidR="008C3AF6" w:rsidRDefault="008C3AF6" w:rsidP="00E13C27">
      <w:pPr>
        <w:pStyle w:val="Hesber"/>
        <w:rPr>
          <w:rtl/>
        </w:rPr>
      </w:pPr>
    </w:p>
    <w:p w14:paraId="67E04927" w14:textId="77777777" w:rsidR="008C3AF6" w:rsidRPr="0022704F" w:rsidRDefault="008C3AF6" w:rsidP="008C3AF6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22634FBC" w14:textId="77777777" w:rsidR="008C3AF6" w:rsidRPr="0022704F" w:rsidRDefault="008C3AF6" w:rsidP="008C3AF6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56F6AEB8" w14:textId="77777777" w:rsidR="008C3AF6" w:rsidRPr="0022704F" w:rsidRDefault="008C3AF6" w:rsidP="008C3AF6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5099B75D" w14:textId="77777777" w:rsidR="008C3AF6" w:rsidRPr="00935520" w:rsidRDefault="008C3AF6" w:rsidP="008C3AF6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י"א  באב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14:paraId="341C418E" w14:textId="77777777" w:rsidR="008C3AF6" w:rsidRPr="00E635D3" w:rsidRDefault="008C3AF6" w:rsidP="008C3AF6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14:paraId="1E2D9BF5" w14:textId="77777777" w:rsidR="008C3AF6" w:rsidRDefault="008C3AF6" w:rsidP="00E13C27">
      <w:pPr>
        <w:pStyle w:val="Hesber"/>
        <w:rPr>
          <w:rtl/>
        </w:rPr>
      </w:pPr>
    </w:p>
    <w:sectPr w:rsidR="008C3AF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B87BA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6A070B4" w14:textId="3F9F7CCF" w:rsidR="00433F4A" w:rsidRDefault="00433F4A" w:rsidP="00433F4A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BB29F2">
        <w:rPr>
          <w:rtl/>
        </w:rPr>
        <w:t xml:space="preserve">ס"ח </w:t>
      </w:r>
      <w:r w:rsidR="007D0294">
        <w:rPr>
          <w:rFonts w:hint="cs"/>
          <w:rtl/>
        </w:rPr>
        <w:t>ה</w:t>
      </w:r>
      <w:r w:rsidRPr="00BB29F2">
        <w:rPr>
          <w:rtl/>
        </w:rPr>
        <w:t>תשנ"ה,</w:t>
      </w:r>
      <w:r w:rsidR="007D0294">
        <w:rPr>
          <w:rFonts w:hint="cs"/>
          <w:rtl/>
        </w:rPr>
        <w:t xml:space="preserve"> עמ'</w:t>
      </w:r>
      <w:r w:rsidRPr="00BB29F2">
        <w:rPr>
          <w:rtl/>
        </w:rPr>
        <w:t xml:space="preserve"> 210</w:t>
      </w:r>
      <w:r w:rsidR="007D0294"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33F4A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0294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3AF6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87BA0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D7029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E1ABB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1F5787C-F223-49A1-B4BF-3F4FAAF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EFF2-99BD-4BEA-9DE6-DAEB75B24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14A905-EA45-425C-9C81-3235DE6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8</cp:revision>
  <cp:lastPrinted>2015-07-23T08:06:00Z</cp:lastPrinted>
  <dcterms:created xsi:type="dcterms:W3CDTF">2015-04-20T09:58:00Z</dcterms:created>
  <dcterms:modified xsi:type="dcterms:W3CDTF">2015-07-23T08:06:00Z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567163</vt:r8>
  </property>
</Properties>
</file>