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566914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איציק שמולי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7712674E" w:rsidR="00E13C27" w:rsidRDefault="00904591" w:rsidP="000C2E3D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פ/1930/20</w:t>
      </w:r>
      <w:bookmarkEnd w:id="6"/>
    </w:p>
    <w:p w14:paraId="7F6961AD" w14:textId="5A9F46A3" w:rsidR="00E13C27" w:rsidRPr="00F67051" w:rsidRDefault="00A443CF" w:rsidP="000C2E3D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הבטחת הכנסה (תיקון </w:t>
      </w:r>
      <w:r w:rsidR="000C2E3D">
        <w:rPr>
          <w:rFonts w:hint="eastAsia"/>
          <w:rtl/>
        </w:rPr>
        <w:t>–</w:t>
      </w:r>
      <w:r>
        <w:rPr>
          <w:rFonts w:hint="cs"/>
          <w:rtl/>
        </w:rPr>
        <w:t xml:space="preserve"> הגדלת שיעורי הגמלה), התשע"ה–2015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6"/>
        <w:gridCol w:w="631"/>
        <w:gridCol w:w="2171"/>
        <w:gridCol w:w="2172"/>
        <w:gridCol w:w="2172"/>
      </w:tblGrid>
      <w:tr w:rsidR="005A2522" w14:paraId="3FAFFD56" w14:textId="77777777" w:rsidTr="005A2522">
        <w:trPr>
          <w:cantSplit/>
          <w:trHeight w:val="60"/>
        </w:trPr>
        <w:tc>
          <w:tcPr>
            <w:tcW w:w="1869" w:type="dxa"/>
          </w:tcPr>
          <w:p w14:paraId="2DC87708" w14:textId="611BA4A5" w:rsidR="005A2522" w:rsidRDefault="000C2E3D" w:rsidP="00132CD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</w:t>
            </w:r>
            <w:r w:rsidRPr="007176DA">
              <w:rPr>
                <w:rtl/>
              </w:rPr>
              <w:t xml:space="preserve"> </w:t>
            </w:r>
            <w:r w:rsidR="005A2522" w:rsidRPr="007176DA">
              <w:rPr>
                <w:rtl/>
              </w:rPr>
              <w:t>סעיף 5</w:t>
            </w:r>
          </w:p>
        </w:tc>
        <w:tc>
          <w:tcPr>
            <w:tcW w:w="626" w:type="dxa"/>
          </w:tcPr>
          <w:p w14:paraId="7E8B4B90" w14:textId="77777777" w:rsidR="005A2522" w:rsidRDefault="005A2522" w:rsidP="00132CD1">
            <w:pPr>
              <w:pStyle w:val="TableText"/>
              <w:keepLines w:val="0"/>
            </w:pPr>
            <w:r w:rsidRPr="004E26DB">
              <w:rPr>
                <w:rtl/>
              </w:rPr>
              <w:t>1.</w:t>
            </w:r>
          </w:p>
        </w:tc>
        <w:tc>
          <w:tcPr>
            <w:tcW w:w="7146" w:type="dxa"/>
            <w:gridSpan w:val="4"/>
          </w:tcPr>
          <w:p w14:paraId="40DED577" w14:textId="1109E67F" w:rsidR="005A2522" w:rsidRPr="00F4665D" w:rsidRDefault="005A2522" w:rsidP="000C2E3D">
            <w:pPr>
              <w:pStyle w:val="TableHead"/>
              <w:keepLines w:val="0"/>
              <w:jc w:val="both"/>
              <w:rPr>
                <w:b w:val="0"/>
                <w:bCs w:val="0"/>
              </w:rPr>
            </w:pPr>
            <w:r w:rsidRPr="007176DA">
              <w:rPr>
                <w:b w:val="0"/>
                <w:bCs w:val="0"/>
                <w:rtl/>
              </w:rPr>
              <w:t>בחוק הבטחת הכנסה, התשמ"א–1980</w:t>
            </w:r>
            <w:r>
              <w:rPr>
                <w:rStyle w:val="a6"/>
                <w:b w:val="0"/>
                <w:bCs w:val="0"/>
                <w:rtl/>
              </w:rPr>
              <w:footnoteReference w:id="2"/>
            </w:r>
            <w:r w:rsidRPr="007176DA">
              <w:rPr>
                <w:b w:val="0"/>
                <w:bCs w:val="0"/>
                <w:rtl/>
              </w:rPr>
              <w:t>, (להלן – החוק העיקרי)</w:t>
            </w:r>
            <w:r w:rsidR="000C2E3D">
              <w:rPr>
                <w:rFonts w:hint="cs"/>
                <w:b w:val="0"/>
                <w:bCs w:val="0"/>
                <w:rtl/>
              </w:rPr>
              <w:t xml:space="preserve">, </w:t>
            </w:r>
            <w:r w:rsidRPr="007176DA">
              <w:rPr>
                <w:b w:val="0"/>
                <w:bCs w:val="0"/>
                <w:rtl/>
              </w:rPr>
              <w:t>בסעיף 5(א)(1)</w:t>
            </w:r>
            <w:r w:rsidR="000C2E3D">
              <w:rPr>
                <w:rFonts w:hint="cs"/>
                <w:b w:val="0"/>
                <w:bCs w:val="0"/>
                <w:rtl/>
              </w:rPr>
              <w:t>, האמור בו</w:t>
            </w:r>
            <w:r w:rsidRPr="007176DA">
              <w:rPr>
                <w:b w:val="0"/>
                <w:bCs w:val="0"/>
                <w:rtl/>
              </w:rPr>
              <w:t xml:space="preserve"> יסומן </w:t>
            </w:r>
            <w:r w:rsidR="000C2E3D">
              <w:rPr>
                <w:rFonts w:hint="cs"/>
                <w:b w:val="0"/>
                <w:bCs w:val="0"/>
                <w:rtl/>
              </w:rPr>
              <w:t>"</w:t>
            </w:r>
            <w:r w:rsidRPr="007176DA">
              <w:rPr>
                <w:b w:val="0"/>
                <w:bCs w:val="0"/>
                <w:rtl/>
              </w:rPr>
              <w:t>(א)</w:t>
            </w:r>
            <w:r w:rsidR="000C2E3D">
              <w:rPr>
                <w:rFonts w:hint="cs"/>
                <w:b w:val="0"/>
                <w:bCs w:val="0"/>
                <w:rtl/>
              </w:rPr>
              <w:t>"</w:t>
            </w:r>
            <w:r w:rsidRPr="007176DA">
              <w:rPr>
                <w:b w:val="0"/>
                <w:bCs w:val="0"/>
                <w:rtl/>
              </w:rPr>
              <w:t xml:space="preserve"> ואחריו יבוא:</w:t>
            </w:r>
          </w:p>
        </w:tc>
      </w:tr>
      <w:tr w:rsidR="000C2E3D" w14:paraId="2EE93748" w14:textId="77777777" w:rsidTr="005A2522">
        <w:trPr>
          <w:cantSplit/>
          <w:trHeight w:val="60"/>
        </w:trPr>
        <w:tc>
          <w:tcPr>
            <w:tcW w:w="1869" w:type="dxa"/>
          </w:tcPr>
          <w:p w14:paraId="41FE6F87" w14:textId="77777777" w:rsidR="000C2E3D" w:rsidRDefault="000C2E3D" w:rsidP="00132CD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6" w:type="dxa"/>
          </w:tcPr>
          <w:p w14:paraId="5909743E" w14:textId="77777777" w:rsidR="000C2E3D" w:rsidRPr="004E26DB" w:rsidRDefault="000C2E3D" w:rsidP="00132CD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6" w:type="dxa"/>
            <w:gridSpan w:val="4"/>
          </w:tcPr>
          <w:p w14:paraId="5ABD656F" w14:textId="30C9861F" w:rsidR="000C2E3D" w:rsidRDefault="000C2E3D" w:rsidP="00BB76D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"(ב)</w:t>
            </w:r>
            <w:r w:rsidR="00CE4077">
              <w:rPr>
                <w:sz w:val="26"/>
                <w:shd w:val="clear" w:color="auto" w:fill="FFFFFF"/>
                <w:rtl/>
              </w:rPr>
              <w:tab/>
            </w:r>
            <w:r>
              <w:rPr>
                <w:rFonts w:hint="cs"/>
                <w:sz w:val="26"/>
                <w:shd w:val="clear" w:color="auto" w:fill="FFFFFF"/>
                <w:rtl/>
              </w:rPr>
              <w:t>לשיעורים הנקובים בטור א' בתוספת השנייה, יתווסף סכום המינימום כהגדרתו בסעיף 14(א) לחוק ביטוח בריאות ממלכתי, התשנ"ד – 1994</w:t>
            </w:r>
            <w:r>
              <w:rPr>
                <w:rStyle w:val="a6"/>
                <w:rtl/>
              </w:rPr>
              <w:footnoteReference w:id="3"/>
            </w:r>
            <w:r>
              <w:rPr>
                <w:rFonts w:hint="cs"/>
                <w:rtl/>
              </w:rPr>
              <w:t>.</w:t>
            </w:r>
          </w:p>
        </w:tc>
      </w:tr>
      <w:tr w:rsidR="00B02138" w14:paraId="4E07C4D4" w14:textId="77777777" w:rsidTr="005A2522">
        <w:trPr>
          <w:cantSplit/>
          <w:trHeight w:val="60"/>
        </w:trPr>
        <w:tc>
          <w:tcPr>
            <w:tcW w:w="1869" w:type="dxa"/>
          </w:tcPr>
          <w:p w14:paraId="6BBEC766" w14:textId="77777777" w:rsidR="00B02138" w:rsidRDefault="00B02138" w:rsidP="00132CD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6" w:type="dxa"/>
          </w:tcPr>
          <w:p w14:paraId="10F48BF1" w14:textId="77777777" w:rsidR="00B02138" w:rsidRPr="004E26DB" w:rsidRDefault="00B02138" w:rsidP="00BB76D3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4"/>
          </w:tcPr>
          <w:p w14:paraId="10A96802" w14:textId="1F5120B4" w:rsidR="00B02138" w:rsidRDefault="00CE4077" w:rsidP="00CE407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="00BB76D3">
              <w:rPr>
                <w:rFonts w:hint="cs"/>
                <w:sz w:val="26"/>
                <w:shd w:val="clear" w:color="auto" w:fill="FFFFFF"/>
                <w:rtl/>
              </w:rPr>
              <w:t>שר הרווחה והשירותים החברתיים, יעדכן בצו, ב-1 בינואר של כל שנה</w:t>
            </w:r>
            <w:r w:rsidR="00931B25">
              <w:rPr>
                <w:rFonts w:hint="cs"/>
                <w:sz w:val="26"/>
                <w:shd w:val="clear" w:color="auto" w:fill="FFFFFF"/>
                <w:rtl/>
              </w:rPr>
              <w:t>,</w:t>
            </w:r>
            <w:r w:rsidR="00BB76D3">
              <w:rPr>
                <w:rFonts w:hint="cs"/>
                <w:sz w:val="26"/>
                <w:shd w:val="clear" w:color="auto" w:fill="FFFFFF"/>
                <w:rtl/>
              </w:rPr>
              <w:t xml:space="preserve"> את השיעורים הנקובים בטור א'</w:t>
            </w:r>
            <w:r w:rsidR="00555E2B">
              <w:rPr>
                <w:rFonts w:hint="cs"/>
                <w:sz w:val="26"/>
                <w:shd w:val="clear" w:color="auto" w:fill="FFFFFF"/>
                <w:rtl/>
              </w:rPr>
              <w:t xml:space="preserve"> בתוספת השנייה</w:t>
            </w:r>
            <w:r w:rsidR="00BB76D3">
              <w:rPr>
                <w:rFonts w:hint="cs"/>
                <w:sz w:val="26"/>
                <w:shd w:val="clear" w:color="auto" w:fill="FFFFFF"/>
                <w:rtl/>
              </w:rPr>
              <w:t>, כך ש</w:t>
            </w:r>
            <w:r w:rsidR="00931B25">
              <w:rPr>
                <w:rFonts w:hint="cs"/>
                <w:sz w:val="26"/>
                <w:shd w:val="clear" w:color="auto" w:fill="FFFFFF"/>
                <w:rtl/>
              </w:rPr>
              <w:t>סכום</w:t>
            </w:r>
            <w:r w:rsidR="00BB76D3">
              <w:rPr>
                <w:rFonts w:hint="cs"/>
                <w:sz w:val="26"/>
                <w:shd w:val="clear" w:color="auto" w:fill="FFFFFF"/>
                <w:rtl/>
              </w:rPr>
              <w:t xml:space="preserve"> הקצבה המשולמת לפי פסקה זו, לא יפחת מ</w:t>
            </w:r>
            <w:r w:rsidR="00931B25">
              <w:rPr>
                <w:rFonts w:hint="cs"/>
                <w:sz w:val="26"/>
                <w:shd w:val="clear" w:color="auto" w:fill="FFFFFF"/>
                <w:rtl/>
              </w:rPr>
              <w:t>סכום</w:t>
            </w:r>
            <w:r w:rsidR="00BB76D3">
              <w:rPr>
                <w:rFonts w:hint="cs"/>
                <w:sz w:val="26"/>
                <w:shd w:val="clear" w:color="auto" w:fill="FFFFFF"/>
                <w:rtl/>
              </w:rPr>
              <w:t xml:space="preserve"> קו העוני</w:t>
            </w:r>
            <w:r w:rsidR="00931B25">
              <w:rPr>
                <w:rFonts w:hint="cs"/>
                <w:sz w:val="26"/>
                <w:shd w:val="clear" w:color="auto" w:fill="FFFFFF"/>
                <w:rtl/>
              </w:rPr>
              <w:t xml:space="preserve">, </w:t>
            </w:r>
            <w:r w:rsidR="00BB76D3">
              <w:rPr>
                <w:rFonts w:hint="cs"/>
                <w:sz w:val="26"/>
                <w:shd w:val="clear" w:color="auto" w:fill="FFFFFF"/>
                <w:rtl/>
              </w:rPr>
              <w:t>בהתאם להרכבי המשפחה האמורים בתוספת</w:t>
            </w:r>
            <w:r w:rsidR="00931B25">
              <w:rPr>
                <w:rFonts w:hint="cs"/>
                <w:sz w:val="26"/>
                <w:shd w:val="clear" w:color="auto" w:fill="FFFFFF"/>
                <w:rtl/>
              </w:rPr>
              <w:t xml:space="preserve"> השנייה</w:t>
            </w:r>
            <w:r>
              <w:rPr>
                <w:rFonts w:hint="cs"/>
                <w:sz w:val="26"/>
                <w:shd w:val="clear" w:color="auto" w:fill="FFFFFF"/>
                <w:rtl/>
              </w:rPr>
              <w:t>;</w:t>
            </w:r>
            <w:r w:rsidR="00BB76D3">
              <w:rPr>
                <w:rFonts w:hint="cs"/>
                <w:sz w:val="26"/>
                <w:shd w:val="clear" w:color="auto" w:fill="FFFFFF"/>
                <w:rtl/>
              </w:rPr>
              <w:t xml:space="preserve"> </w:t>
            </w:r>
            <w:r>
              <w:rPr>
                <w:rFonts w:hint="cs"/>
                <w:sz w:val="26"/>
                <w:shd w:val="clear" w:color="auto" w:fill="FFFFFF"/>
                <w:rtl/>
              </w:rPr>
              <w:t xml:space="preserve">בפסקה זו, </w:t>
            </w:r>
            <w:r w:rsidRPr="000825C3">
              <w:rPr>
                <w:sz w:val="26"/>
                <w:shd w:val="clear" w:color="auto" w:fill="FFFFFF"/>
                <w:rtl/>
              </w:rPr>
              <w:t>"קו העוני"</w:t>
            </w:r>
            <w:r>
              <w:rPr>
                <w:rFonts w:hint="cs"/>
                <w:sz w:val="26"/>
                <w:shd w:val="clear" w:color="auto" w:fill="FFFFFF"/>
                <w:rtl/>
              </w:rPr>
              <w:t xml:space="preserve"> </w:t>
            </w:r>
            <w:r>
              <w:rPr>
                <w:rFonts w:hint="eastAsia"/>
                <w:sz w:val="26"/>
                <w:shd w:val="clear" w:color="auto" w:fill="FFFFFF"/>
                <w:rtl/>
              </w:rPr>
              <w:t>–</w:t>
            </w:r>
            <w:r w:rsidRPr="000825C3">
              <w:rPr>
                <w:sz w:val="26"/>
                <w:shd w:val="clear" w:color="auto" w:fill="FFFFFF"/>
                <w:rtl/>
              </w:rPr>
              <w:t xml:space="preserve"> </w:t>
            </w:r>
            <w:r w:rsidRPr="00D822E7">
              <w:rPr>
                <w:rFonts w:hint="cs"/>
                <w:rtl/>
              </w:rPr>
              <w:t xml:space="preserve">מחצית החציון של ההכנסה הפנויה לנפש תקנית </w:t>
            </w:r>
            <w:r>
              <w:rPr>
                <w:rFonts w:hint="cs"/>
                <w:rtl/>
              </w:rPr>
              <w:t>שתחושב לפי נתוני</w:t>
            </w:r>
            <w:r w:rsidRPr="00D822E7">
              <w:rPr>
                <w:rFonts w:hint="cs"/>
                <w:rtl/>
              </w:rPr>
              <w:t xml:space="preserve"> הלשכה המרכזית לסטטיסטיקה."</w:t>
            </w:r>
          </w:p>
        </w:tc>
      </w:tr>
      <w:tr w:rsidR="005A2522" w14:paraId="12E4E5EE" w14:textId="77777777" w:rsidTr="005A2522">
        <w:trPr>
          <w:cantSplit/>
          <w:trHeight w:val="60"/>
        </w:trPr>
        <w:tc>
          <w:tcPr>
            <w:tcW w:w="1869" w:type="dxa"/>
          </w:tcPr>
          <w:p w14:paraId="702C7342" w14:textId="1DA9C088" w:rsidR="005A2522" w:rsidRDefault="005A2522" w:rsidP="00132CD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התוספת השניה</w:t>
            </w:r>
          </w:p>
        </w:tc>
        <w:tc>
          <w:tcPr>
            <w:tcW w:w="626" w:type="dxa"/>
          </w:tcPr>
          <w:p w14:paraId="744E97FF" w14:textId="77777777" w:rsidR="005A2522" w:rsidRDefault="005A2522" w:rsidP="00132CD1">
            <w:pPr>
              <w:pStyle w:val="TableText"/>
              <w:keepLines w:val="0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  <w:gridSpan w:val="4"/>
          </w:tcPr>
          <w:p w14:paraId="0629F692" w14:textId="42839659" w:rsidR="005A2522" w:rsidRPr="00C34DE2" w:rsidRDefault="005A2522" w:rsidP="000C2E3D">
            <w:pPr>
              <w:pStyle w:val="TableBlock"/>
              <w:keepLines w:val="0"/>
            </w:pPr>
            <w:r>
              <w:rPr>
                <w:rFonts w:hint="cs"/>
                <w:sz w:val="26"/>
                <w:shd w:val="clear" w:color="auto" w:fill="FFFFFF"/>
                <w:rtl/>
              </w:rPr>
              <w:t>בתוספת השנייה לחוק העיקרי</w:t>
            </w:r>
            <w:r w:rsidR="000C2E3D">
              <w:rPr>
                <w:rFonts w:hint="cs"/>
                <w:sz w:val="26"/>
                <w:shd w:val="clear" w:color="auto" w:fill="FFFFFF"/>
                <w:rtl/>
              </w:rPr>
              <w:t>,</w:t>
            </w:r>
            <w:r>
              <w:rPr>
                <w:rFonts w:hint="cs"/>
                <w:sz w:val="26"/>
                <w:shd w:val="clear" w:color="auto" w:fill="FFFFFF"/>
                <w:rtl/>
              </w:rPr>
              <w:t xml:space="preserve"> במקום טור א' יבוא: </w:t>
            </w:r>
          </w:p>
        </w:tc>
      </w:tr>
      <w:tr w:rsidR="005A2522" w14:paraId="757C2D63" w14:textId="77777777" w:rsidTr="005A2522">
        <w:trPr>
          <w:cantSplit/>
          <w:trHeight w:val="60"/>
        </w:trPr>
        <w:tc>
          <w:tcPr>
            <w:tcW w:w="1869" w:type="dxa"/>
          </w:tcPr>
          <w:p w14:paraId="72559959" w14:textId="77777777" w:rsidR="005A2522" w:rsidRDefault="005A2522" w:rsidP="00132CD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6" w:type="dxa"/>
          </w:tcPr>
          <w:p w14:paraId="58E8ECE2" w14:textId="77777777" w:rsidR="005A2522" w:rsidRDefault="005A2522" w:rsidP="00132CD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631" w:type="dxa"/>
          </w:tcPr>
          <w:p w14:paraId="7AD4762F" w14:textId="77777777" w:rsidR="005A2522" w:rsidRDefault="005A2522" w:rsidP="00132CD1">
            <w:pPr>
              <w:pStyle w:val="TableBlock"/>
              <w:keepLines w:val="0"/>
              <w:rPr>
                <w:sz w:val="26"/>
                <w:shd w:val="clear" w:color="auto" w:fill="FFFFFF"/>
                <w:rtl/>
              </w:rPr>
            </w:pPr>
          </w:p>
        </w:tc>
        <w:tc>
          <w:tcPr>
            <w:tcW w:w="6515" w:type="dxa"/>
            <w:gridSpan w:val="3"/>
          </w:tcPr>
          <w:p w14:paraId="43C6F258" w14:textId="5F490349" w:rsidR="005A2522" w:rsidRPr="00CE4077" w:rsidRDefault="00CE4077" w:rsidP="00132CD1">
            <w:pPr>
              <w:pStyle w:val="TableBlock"/>
              <w:jc w:val="center"/>
              <w:rPr>
                <w:b/>
                <w:bCs/>
                <w:sz w:val="26"/>
                <w:shd w:val="clear" w:color="auto" w:fill="FFFFFF"/>
                <w:rtl/>
              </w:rPr>
            </w:pPr>
            <w:r w:rsidRPr="00CE4077">
              <w:rPr>
                <w:rFonts w:hint="cs"/>
                <w:b/>
                <w:bCs/>
                <w:sz w:val="26"/>
                <w:shd w:val="clear" w:color="auto" w:fill="FFFFFF"/>
                <w:rtl/>
              </w:rPr>
              <w:t>"</w:t>
            </w:r>
            <w:r w:rsidR="005A2522" w:rsidRPr="00CE4077">
              <w:rPr>
                <w:b/>
                <w:bCs/>
                <w:sz w:val="26"/>
                <w:shd w:val="clear" w:color="auto" w:fill="FFFFFF"/>
                <w:rtl/>
              </w:rPr>
              <w:t>טור א'</w:t>
            </w:r>
          </w:p>
          <w:p w14:paraId="424BEAD1" w14:textId="77777777" w:rsidR="005A2522" w:rsidRDefault="005A2522" w:rsidP="00132CD1">
            <w:pPr>
              <w:pStyle w:val="TableBlock"/>
              <w:keepLines w:val="0"/>
              <w:jc w:val="center"/>
              <w:rPr>
                <w:sz w:val="26"/>
                <w:shd w:val="clear" w:color="auto" w:fill="FFFFFF"/>
                <w:rtl/>
              </w:rPr>
            </w:pPr>
            <w:r w:rsidRPr="00CE4077">
              <w:rPr>
                <w:b/>
                <w:bCs/>
                <w:sz w:val="26"/>
                <w:shd w:val="clear" w:color="auto" w:fill="FFFFFF"/>
                <w:rtl/>
              </w:rPr>
              <w:t>מי שהגיע לגיל הפרישה ומי שמקבל קצבת זקנה, שאירים, או תלויים לפי חוק הביטוח</w:t>
            </w:r>
          </w:p>
        </w:tc>
      </w:tr>
      <w:tr w:rsidR="005A2522" w14:paraId="549DB6AA" w14:textId="77777777" w:rsidTr="005A2522">
        <w:trPr>
          <w:cantSplit/>
          <w:trHeight w:val="60"/>
        </w:trPr>
        <w:tc>
          <w:tcPr>
            <w:tcW w:w="1869" w:type="dxa"/>
          </w:tcPr>
          <w:p w14:paraId="37E62A86" w14:textId="77777777" w:rsidR="005A2522" w:rsidRDefault="005A2522" w:rsidP="00132CD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6" w:type="dxa"/>
          </w:tcPr>
          <w:p w14:paraId="13FA1E64" w14:textId="77777777" w:rsidR="005A2522" w:rsidRDefault="005A2522" w:rsidP="00132CD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631" w:type="dxa"/>
          </w:tcPr>
          <w:p w14:paraId="7D6C8F48" w14:textId="77777777" w:rsidR="005A2522" w:rsidRDefault="005A2522" w:rsidP="00132CD1">
            <w:pPr>
              <w:pStyle w:val="TableBlock"/>
              <w:keepLines w:val="0"/>
              <w:rPr>
                <w:sz w:val="26"/>
                <w:shd w:val="clear" w:color="auto" w:fill="FFFFFF"/>
                <w:rtl/>
              </w:rPr>
            </w:pPr>
          </w:p>
        </w:tc>
        <w:tc>
          <w:tcPr>
            <w:tcW w:w="2171" w:type="dxa"/>
          </w:tcPr>
          <w:p w14:paraId="48C1BCC2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 w:rsidRPr="00025A51">
              <w:rPr>
                <w:sz w:val="26"/>
                <w:shd w:val="clear" w:color="auto" w:fill="FFFFFF"/>
                <w:rtl/>
              </w:rPr>
              <w:t>אם טרם מלאו לו 70 שנים</w:t>
            </w:r>
          </w:p>
        </w:tc>
        <w:tc>
          <w:tcPr>
            <w:tcW w:w="2172" w:type="dxa"/>
          </w:tcPr>
          <w:p w14:paraId="4B734534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אם מלאו לו 70 שנים וטרם מלאו לו 80 שנים</w:t>
            </w:r>
          </w:p>
        </w:tc>
        <w:tc>
          <w:tcPr>
            <w:tcW w:w="2172" w:type="dxa"/>
          </w:tcPr>
          <w:p w14:paraId="2032B6DB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אם מלאו לו 80 שנים</w:t>
            </w:r>
          </w:p>
        </w:tc>
      </w:tr>
      <w:tr w:rsidR="005A2522" w14:paraId="37B94DFF" w14:textId="77777777" w:rsidTr="005A2522">
        <w:trPr>
          <w:cantSplit/>
          <w:trHeight w:val="60"/>
        </w:trPr>
        <w:tc>
          <w:tcPr>
            <w:tcW w:w="1869" w:type="dxa"/>
          </w:tcPr>
          <w:p w14:paraId="4175800F" w14:textId="77777777" w:rsidR="005A2522" w:rsidRDefault="005A2522" w:rsidP="00132CD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6" w:type="dxa"/>
          </w:tcPr>
          <w:p w14:paraId="53BE934B" w14:textId="77777777" w:rsidR="005A2522" w:rsidRDefault="005A2522" w:rsidP="00132CD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631" w:type="dxa"/>
          </w:tcPr>
          <w:p w14:paraId="512587E6" w14:textId="77777777" w:rsidR="005A2522" w:rsidRDefault="005A2522" w:rsidP="00132CD1">
            <w:pPr>
              <w:pStyle w:val="TableBlock"/>
              <w:keepLines w:val="0"/>
              <w:rPr>
                <w:sz w:val="26"/>
                <w:shd w:val="clear" w:color="auto" w:fill="FFFFFF"/>
                <w:rtl/>
              </w:rPr>
            </w:pPr>
          </w:p>
        </w:tc>
        <w:tc>
          <w:tcPr>
            <w:tcW w:w="2171" w:type="dxa"/>
          </w:tcPr>
          <w:p w14:paraId="27DB72B9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30.48%</w:t>
            </w:r>
          </w:p>
        </w:tc>
        <w:tc>
          <w:tcPr>
            <w:tcW w:w="2172" w:type="dxa"/>
          </w:tcPr>
          <w:p w14:paraId="28CCF9D3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30.72%</w:t>
            </w:r>
          </w:p>
        </w:tc>
        <w:tc>
          <w:tcPr>
            <w:tcW w:w="2172" w:type="dxa"/>
          </w:tcPr>
          <w:p w14:paraId="5A98EC97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31.75%</w:t>
            </w:r>
          </w:p>
        </w:tc>
      </w:tr>
      <w:tr w:rsidR="005A2522" w14:paraId="1F0DAB18" w14:textId="77777777" w:rsidTr="005A2522">
        <w:trPr>
          <w:cantSplit/>
          <w:trHeight w:val="60"/>
        </w:trPr>
        <w:tc>
          <w:tcPr>
            <w:tcW w:w="1869" w:type="dxa"/>
          </w:tcPr>
          <w:p w14:paraId="5AF2141D" w14:textId="77777777" w:rsidR="005A2522" w:rsidRDefault="005A2522" w:rsidP="00132CD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6" w:type="dxa"/>
          </w:tcPr>
          <w:p w14:paraId="13FA8CA2" w14:textId="77777777" w:rsidR="005A2522" w:rsidRDefault="005A2522" w:rsidP="00132CD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631" w:type="dxa"/>
          </w:tcPr>
          <w:p w14:paraId="0DF1CC24" w14:textId="77777777" w:rsidR="005A2522" w:rsidRDefault="005A2522" w:rsidP="00132CD1">
            <w:pPr>
              <w:pStyle w:val="TableBlock"/>
              <w:keepLines w:val="0"/>
              <w:rPr>
                <w:sz w:val="26"/>
                <w:shd w:val="clear" w:color="auto" w:fill="FFFFFF"/>
                <w:rtl/>
              </w:rPr>
            </w:pPr>
          </w:p>
        </w:tc>
        <w:tc>
          <w:tcPr>
            <w:tcW w:w="2171" w:type="dxa"/>
          </w:tcPr>
          <w:p w14:paraId="103137C7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48.76%</w:t>
            </w:r>
          </w:p>
        </w:tc>
        <w:tc>
          <w:tcPr>
            <w:tcW w:w="2172" w:type="dxa"/>
          </w:tcPr>
          <w:p w14:paraId="4B3597B2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49.14%</w:t>
            </w:r>
          </w:p>
        </w:tc>
        <w:tc>
          <w:tcPr>
            <w:tcW w:w="2172" w:type="dxa"/>
          </w:tcPr>
          <w:p w14:paraId="62096FAA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50.81%</w:t>
            </w:r>
          </w:p>
        </w:tc>
      </w:tr>
      <w:tr w:rsidR="005A2522" w14:paraId="01A49659" w14:textId="77777777" w:rsidTr="005A2522">
        <w:trPr>
          <w:cantSplit/>
          <w:trHeight w:val="60"/>
        </w:trPr>
        <w:tc>
          <w:tcPr>
            <w:tcW w:w="1869" w:type="dxa"/>
          </w:tcPr>
          <w:p w14:paraId="6A69857E" w14:textId="77777777" w:rsidR="005A2522" w:rsidRDefault="005A2522" w:rsidP="00132CD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6" w:type="dxa"/>
          </w:tcPr>
          <w:p w14:paraId="6D332171" w14:textId="77777777" w:rsidR="005A2522" w:rsidRDefault="005A2522" w:rsidP="00132CD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631" w:type="dxa"/>
          </w:tcPr>
          <w:p w14:paraId="5D96D0C1" w14:textId="77777777" w:rsidR="005A2522" w:rsidRDefault="005A2522" w:rsidP="00132CD1">
            <w:pPr>
              <w:pStyle w:val="TableBlock"/>
              <w:keepLines w:val="0"/>
              <w:rPr>
                <w:sz w:val="26"/>
                <w:shd w:val="clear" w:color="auto" w:fill="FFFFFF"/>
                <w:rtl/>
              </w:rPr>
            </w:pPr>
          </w:p>
        </w:tc>
        <w:tc>
          <w:tcPr>
            <w:tcW w:w="2171" w:type="dxa"/>
          </w:tcPr>
          <w:p w14:paraId="7DD35ABF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64.60%</w:t>
            </w:r>
          </w:p>
        </w:tc>
        <w:tc>
          <w:tcPr>
            <w:tcW w:w="2172" w:type="dxa"/>
          </w:tcPr>
          <w:p w14:paraId="304D3B09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65.12%</w:t>
            </w:r>
          </w:p>
        </w:tc>
        <w:tc>
          <w:tcPr>
            <w:tcW w:w="2172" w:type="dxa"/>
          </w:tcPr>
          <w:p w14:paraId="1DDEA675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67.31%</w:t>
            </w:r>
          </w:p>
        </w:tc>
      </w:tr>
      <w:tr w:rsidR="005A2522" w14:paraId="4E10FB62" w14:textId="77777777" w:rsidTr="005A2522">
        <w:trPr>
          <w:cantSplit/>
          <w:trHeight w:val="60"/>
        </w:trPr>
        <w:tc>
          <w:tcPr>
            <w:tcW w:w="1869" w:type="dxa"/>
          </w:tcPr>
          <w:p w14:paraId="22287E85" w14:textId="77777777" w:rsidR="005A2522" w:rsidRDefault="005A2522" w:rsidP="00132CD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6" w:type="dxa"/>
          </w:tcPr>
          <w:p w14:paraId="068A71EA" w14:textId="77777777" w:rsidR="005A2522" w:rsidRDefault="005A2522" w:rsidP="00132CD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631" w:type="dxa"/>
          </w:tcPr>
          <w:p w14:paraId="0840C277" w14:textId="77777777" w:rsidR="005A2522" w:rsidRDefault="005A2522" w:rsidP="00132CD1">
            <w:pPr>
              <w:pStyle w:val="TableBlock"/>
              <w:keepLines w:val="0"/>
              <w:rPr>
                <w:sz w:val="26"/>
                <w:shd w:val="clear" w:color="auto" w:fill="FFFFFF"/>
                <w:rtl/>
              </w:rPr>
            </w:pPr>
          </w:p>
        </w:tc>
        <w:tc>
          <w:tcPr>
            <w:tcW w:w="2171" w:type="dxa"/>
          </w:tcPr>
          <w:p w14:paraId="3770FDA6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78.02%</w:t>
            </w:r>
          </w:p>
        </w:tc>
        <w:tc>
          <w:tcPr>
            <w:tcW w:w="2172" w:type="dxa"/>
          </w:tcPr>
          <w:p w14:paraId="04BFA429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78.64%</w:t>
            </w:r>
          </w:p>
        </w:tc>
        <w:tc>
          <w:tcPr>
            <w:tcW w:w="2172" w:type="dxa"/>
          </w:tcPr>
          <w:p w14:paraId="47096268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81.29%</w:t>
            </w:r>
          </w:p>
        </w:tc>
      </w:tr>
      <w:tr w:rsidR="005A2522" w14:paraId="1ACC886E" w14:textId="77777777" w:rsidTr="005A2522">
        <w:trPr>
          <w:cantSplit/>
          <w:trHeight w:val="60"/>
        </w:trPr>
        <w:tc>
          <w:tcPr>
            <w:tcW w:w="1869" w:type="dxa"/>
          </w:tcPr>
          <w:p w14:paraId="7C88C301" w14:textId="77777777" w:rsidR="005A2522" w:rsidRDefault="005A2522" w:rsidP="00132CD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6" w:type="dxa"/>
          </w:tcPr>
          <w:p w14:paraId="25ADE67D" w14:textId="77777777" w:rsidR="005A2522" w:rsidRDefault="005A2522" w:rsidP="00132CD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631" w:type="dxa"/>
          </w:tcPr>
          <w:p w14:paraId="1B701D42" w14:textId="77777777" w:rsidR="005A2522" w:rsidRDefault="005A2522" w:rsidP="00132CD1">
            <w:pPr>
              <w:pStyle w:val="TableBlock"/>
              <w:keepLines w:val="0"/>
              <w:rPr>
                <w:sz w:val="26"/>
                <w:shd w:val="clear" w:color="auto" w:fill="FFFFFF"/>
                <w:rtl/>
              </w:rPr>
            </w:pPr>
          </w:p>
        </w:tc>
        <w:tc>
          <w:tcPr>
            <w:tcW w:w="2171" w:type="dxa"/>
          </w:tcPr>
          <w:p w14:paraId="371F2A45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52.57%</w:t>
            </w:r>
          </w:p>
        </w:tc>
        <w:tc>
          <w:tcPr>
            <w:tcW w:w="2172" w:type="dxa"/>
          </w:tcPr>
          <w:p w14:paraId="41A562DF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52.83%</w:t>
            </w:r>
          </w:p>
        </w:tc>
        <w:tc>
          <w:tcPr>
            <w:tcW w:w="2172" w:type="dxa"/>
          </w:tcPr>
          <w:p w14:paraId="00CEDBA2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54.46%</w:t>
            </w:r>
          </w:p>
        </w:tc>
      </w:tr>
      <w:tr w:rsidR="005A2522" w14:paraId="6F538875" w14:textId="77777777" w:rsidTr="005A2522">
        <w:trPr>
          <w:cantSplit/>
          <w:trHeight w:val="60"/>
        </w:trPr>
        <w:tc>
          <w:tcPr>
            <w:tcW w:w="1869" w:type="dxa"/>
          </w:tcPr>
          <w:p w14:paraId="339AAEBE" w14:textId="77777777" w:rsidR="005A2522" w:rsidRDefault="005A2522" w:rsidP="00132CD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6" w:type="dxa"/>
          </w:tcPr>
          <w:p w14:paraId="502E78A4" w14:textId="77777777" w:rsidR="005A2522" w:rsidRDefault="005A2522" w:rsidP="00132CD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631" w:type="dxa"/>
          </w:tcPr>
          <w:p w14:paraId="21D703F5" w14:textId="77777777" w:rsidR="005A2522" w:rsidRDefault="005A2522" w:rsidP="00132CD1">
            <w:pPr>
              <w:pStyle w:val="TableBlock"/>
              <w:keepLines w:val="0"/>
              <w:rPr>
                <w:sz w:val="26"/>
                <w:shd w:val="clear" w:color="auto" w:fill="FFFFFF"/>
                <w:rtl/>
              </w:rPr>
            </w:pPr>
          </w:p>
        </w:tc>
        <w:tc>
          <w:tcPr>
            <w:tcW w:w="2171" w:type="dxa"/>
          </w:tcPr>
          <w:p w14:paraId="50BF9E1A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68.67%</w:t>
            </w:r>
          </w:p>
        </w:tc>
        <w:tc>
          <w:tcPr>
            <w:tcW w:w="2172" w:type="dxa"/>
          </w:tcPr>
          <w:p w14:paraId="62212BF4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69.15%</w:t>
            </w:r>
          </w:p>
        </w:tc>
        <w:tc>
          <w:tcPr>
            <w:tcW w:w="2172" w:type="dxa"/>
          </w:tcPr>
          <w:p w14:paraId="2DA007AF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71.36%</w:t>
            </w:r>
          </w:p>
        </w:tc>
      </w:tr>
      <w:tr w:rsidR="005A2522" w14:paraId="5EC7F1C7" w14:textId="77777777" w:rsidTr="005A2522">
        <w:trPr>
          <w:cantSplit/>
          <w:trHeight w:val="60"/>
        </w:trPr>
        <w:tc>
          <w:tcPr>
            <w:tcW w:w="1869" w:type="dxa"/>
          </w:tcPr>
          <w:p w14:paraId="72A6E012" w14:textId="77777777" w:rsidR="005A2522" w:rsidRDefault="005A2522" w:rsidP="00132CD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6" w:type="dxa"/>
          </w:tcPr>
          <w:p w14:paraId="06EEFE37" w14:textId="77777777" w:rsidR="005A2522" w:rsidRDefault="005A2522" w:rsidP="00132CD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631" w:type="dxa"/>
          </w:tcPr>
          <w:p w14:paraId="199B3835" w14:textId="77777777" w:rsidR="005A2522" w:rsidRDefault="005A2522" w:rsidP="00132CD1">
            <w:pPr>
              <w:pStyle w:val="TableBlock"/>
              <w:keepLines w:val="0"/>
              <w:rPr>
                <w:sz w:val="26"/>
                <w:shd w:val="clear" w:color="auto" w:fill="FFFFFF"/>
                <w:rtl/>
              </w:rPr>
            </w:pPr>
          </w:p>
        </w:tc>
        <w:tc>
          <w:tcPr>
            <w:tcW w:w="2171" w:type="dxa"/>
          </w:tcPr>
          <w:p w14:paraId="72C813E1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52.7%</w:t>
            </w:r>
          </w:p>
        </w:tc>
        <w:tc>
          <w:tcPr>
            <w:tcW w:w="2172" w:type="dxa"/>
          </w:tcPr>
          <w:p w14:paraId="00AF9BA6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52.83%</w:t>
            </w:r>
          </w:p>
        </w:tc>
        <w:tc>
          <w:tcPr>
            <w:tcW w:w="2172" w:type="dxa"/>
          </w:tcPr>
          <w:p w14:paraId="6BF2DAFC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54.46%</w:t>
            </w:r>
          </w:p>
        </w:tc>
      </w:tr>
      <w:tr w:rsidR="005A2522" w14:paraId="756A6104" w14:textId="77777777" w:rsidTr="005A2522">
        <w:trPr>
          <w:cantSplit/>
          <w:trHeight w:val="60"/>
        </w:trPr>
        <w:tc>
          <w:tcPr>
            <w:tcW w:w="1869" w:type="dxa"/>
          </w:tcPr>
          <w:p w14:paraId="37934AD1" w14:textId="77777777" w:rsidR="005A2522" w:rsidRDefault="005A2522" w:rsidP="00132CD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6" w:type="dxa"/>
          </w:tcPr>
          <w:p w14:paraId="28AA0081" w14:textId="77777777" w:rsidR="005A2522" w:rsidRDefault="005A2522" w:rsidP="00132CD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631" w:type="dxa"/>
          </w:tcPr>
          <w:p w14:paraId="1CE220C5" w14:textId="77777777" w:rsidR="005A2522" w:rsidRDefault="005A2522" w:rsidP="00132CD1">
            <w:pPr>
              <w:pStyle w:val="TableBlock"/>
              <w:keepLines w:val="0"/>
              <w:rPr>
                <w:sz w:val="26"/>
                <w:shd w:val="clear" w:color="auto" w:fill="FFFFFF"/>
                <w:rtl/>
              </w:rPr>
            </w:pPr>
          </w:p>
        </w:tc>
        <w:tc>
          <w:tcPr>
            <w:tcW w:w="2171" w:type="dxa"/>
          </w:tcPr>
          <w:p w14:paraId="2A0FD91E" w14:textId="77777777" w:rsidR="005A2522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68.67%</w:t>
            </w:r>
          </w:p>
        </w:tc>
        <w:tc>
          <w:tcPr>
            <w:tcW w:w="2172" w:type="dxa"/>
          </w:tcPr>
          <w:p w14:paraId="3D092C8A" w14:textId="77777777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69.15%</w:t>
            </w:r>
          </w:p>
        </w:tc>
        <w:tc>
          <w:tcPr>
            <w:tcW w:w="2172" w:type="dxa"/>
          </w:tcPr>
          <w:p w14:paraId="23FE7F67" w14:textId="06605410" w:rsidR="005A2522" w:rsidRPr="00025A51" w:rsidRDefault="005A2522" w:rsidP="00132CD1">
            <w:pPr>
              <w:pStyle w:val="TableBlock"/>
              <w:jc w:val="center"/>
              <w:rPr>
                <w:sz w:val="26"/>
                <w:shd w:val="clear" w:color="auto" w:fill="FFFFFF"/>
                <w:rtl/>
              </w:rPr>
            </w:pPr>
            <w:r>
              <w:rPr>
                <w:rFonts w:hint="cs"/>
                <w:sz w:val="26"/>
                <w:shd w:val="clear" w:color="auto" w:fill="FFFFFF"/>
                <w:rtl/>
              </w:rPr>
              <w:t>71.36%</w:t>
            </w:r>
            <w:r w:rsidR="00CE4077">
              <w:rPr>
                <w:rFonts w:hint="cs"/>
                <w:sz w:val="26"/>
                <w:shd w:val="clear" w:color="auto" w:fill="FFFFFF"/>
                <w:rtl/>
              </w:rPr>
              <w:t>"</w:t>
            </w:r>
          </w:p>
        </w:tc>
      </w:tr>
      <w:tr w:rsidR="005A2522" w14:paraId="5F32194C" w14:textId="77777777" w:rsidTr="005A2522">
        <w:trPr>
          <w:cantSplit/>
          <w:trHeight w:val="60"/>
        </w:trPr>
        <w:tc>
          <w:tcPr>
            <w:tcW w:w="1869" w:type="dxa"/>
          </w:tcPr>
          <w:p w14:paraId="6BD3E441" w14:textId="3FE6C082" w:rsidR="005A2522" w:rsidRDefault="005A2522" w:rsidP="00132CD1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תחילה ותחולה</w:t>
            </w:r>
          </w:p>
        </w:tc>
        <w:tc>
          <w:tcPr>
            <w:tcW w:w="626" w:type="dxa"/>
          </w:tcPr>
          <w:p w14:paraId="3AE89197" w14:textId="77777777" w:rsidR="005A2522" w:rsidRDefault="005A2522" w:rsidP="00132CD1">
            <w:pPr>
              <w:pStyle w:val="TableText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6" w:type="dxa"/>
            <w:gridSpan w:val="4"/>
          </w:tcPr>
          <w:p w14:paraId="072630FD" w14:textId="41D69F2A" w:rsidR="005A2522" w:rsidRPr="00290FD2" w:rsidRDefault="005A2522" w:rsidP="00132CD1">
            <w:pPr>
              <w:pStyle w:val="TableBlock"/>
              <w:keepLines w:val="0"/>
              <w:rPr>
                <w:sz w:val="26"/>
                <w:shd w:val="clear" w:color="auto" w:fill="FFFFFF"/>
                <w:rtl/>
              </w:rPr>
            </w:pPr>
            <w:r w:rsidRPr="00290FD2">
              <w:rPr>
                <w:sz w:val="26"/>
                <w:shd w:val="clear" w:color="auto" w:fill="FFFFFF"/>
                <w:rtl/>
              </w:rPr>
              <w:t xml:space="preserve">תחילתו של חוק זה ביום </w:t>
            </w:r>
            <w:r w:rsidR="000C2E3D">
              <w:rPr>
                <w:rFonts w:hint="cs"/>
                <w:sz w:val="26"/>
                <w:shd w:val="clear" w:color="auto" w:fill="FFFFFF"/>
                <w:rtl/>
              </w:rPr>
              <w:t>קבלתו בכנסת</w:t>
            </w:r>
            <w:r w:rsidR="00BB76D3">
              <w:rPr>
                <w:rFonts w:hint="cs"/>
                <w:sz w:val="26"/>
                <w:shd w:val="clear" w:color="auto" w:fill="FFFFFF"/>
                <w:rtl/>
              </w:rPr>
              <w:t xml:space="preserve"> </w:t>
            </w:r>
            <w:r w:rsidRPr="00290FD2">
              <w:rPr>
                <w:sz w:val="26"/>
                <w:shd w:val="clear" w:color="auto" w:fill="FFFFFF"/>
                <w:rtl/>
              </w:rPr>
              <w:t>(להלן – יום התחילה)</w:t>
            </w:r>
            <w:r w:rsidR="000C2E3D">
              <w:rPr>
                <w:rFonts w:hint="cs"/>
                <w:sz w:val="26"/>
                <w:shd w:val="clear" w:color="auto" w:fill="FFFFFF"/>
                <w:rtl/>
              </w:rPr>
              <w:t>,</w:t>
            </w:r>
            <w:r w:rsidRPr="00290FD2">
              <w:rPr>
                <w:sz w:val="26"/>
                <w:shd w:val="clear" w:color="auto" w:fill="FFFFFF"/>
                <w:rtl/>
              </w:rPr>
              <w:t xml:space="preserve"> והוא יחול על גמלה המשתלמת </w:t>
            </w:r>
            <w:r w:rsidR="000C2E3D">
              <w:rPr>
                <w:rFonts w:hint="cs"/>
                <w:sz w:val="26"/>
                <w:shd w:val="clear" w:color="auto" w:fill="FFFFFF"/>
                <w:rtl/>
              </w:rPr>
              <w:t xml:space="preserve">בעד </w:t>
            </w:r>
            <w:r w:rsidRPr="00290FD2">
              <w:rPr>
                <w:sz w:val="26"/>
                <w:shd w:val="clear" w:color="auto" w:fill="FFFFFF"/>
                <w:rtl/>
              </w:rPr>
              <w:t>יום התחילה ואילך.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46A99FC" w14:textId="77CEDD24" w:rsidR="004551DB" w:rsidRDefault="004551DB" w:rsidP="008D0320">
      <w:pPr>
        <w:pStyle w:val="Hesber"/>
        <w:rPr>
          <w:rtl/>
        </w:rPr>
      </w:pPr>
      <w:r>
        <w:rPr>
          <w:rFonts w:hint="cs"/>
          <w:rtl/>
        </w:rPr>
        <w:t>על פי דוח העוני של ה</w:t>
      </w:r>
      <w:r w:rsidR="008D0320">
        <w:rPr>
          <w:rFonts w:hint="cs"/>
          <w:rtl/>
        </w:rPr>
        <w:t xml:space="preserve">מוסד לביטוח </w:t>
      </w:r>
      <w:r>
        <w:rPr>
          <w:rFonts w:hint="cs"/>
          <w:rtl/>
        </w:rPr>
        <w:t>לאומי לשנת 2013 עמדה תחולת העוני בקרב קשישים על 22.1%</w:t>
      </w:r>
      <w:r w:rsidR="008D0320">
        <w:rPr>
          <w:rFonts w:hint="cs"/>
          <w:rtl/>
        </w:rPr>
        <w:t xml:space="preserve"> מכלל הקשישים</w:t>
      </w:r>
      <w:r>
        <w:rPr>
          <w:rFonts w:hint="cs"/>
          <w:rtl/>
        </w:rPr>
        <w:t xml:space="preserve">, שמהווים 180,800 משפחות. בנוסף, </w:t>
      </w:r>
      <w:r w:rsidR="008D0320">
        <w:rPr>
          <w:rFonts w:hint="cs"/>
          <w:rtl/>
        </w:rPr>
        <w:t>מ</w:t>
      </w:r>
      <w:r>
        <w:rPr>
          <w:rFonts w:hint="cs"/>
          <w:rtl/>
        </w:rPr>
        <w:t>חקר של מרכז טאוב</w:t>
      </w:r>
      <w:r w:rsidR="008D0320">
        <w:rPr>
          <w:rFonts w:hint="cs"/>
          <w:rtl/>
        </w:rPr>
        <w:t xml:space="preserve"> קבע</w:t>
      </w:r>
      <w:r>
        <w:rPr>
          <w:rFonts w:hint="cs"/>
          <w:rtl/>
        </w:rPr>
        <w:t xml:space="preserve"> כי </w:t>
      </w:r>
      <w:r>
        <w:rPr>
          <w:rtl/>
        </w:rPr>
        <w:t>שיעור</w:t>
      </w:r>
      <w:r>
        <w:rPr>
          <w:rFonts w:hint="cs"/>
          <w:rtl/>
        </w:rPr>
        <w:t>י</w:t>
      </w:r>
      <w:r w:rsidRPr="0032620C">
        <w:rPr>
          <w:rtl/>
        </w:rPr>
        <w:t xml:space="preserve"> העוני </w:t>
      </w:r>
      <w:r w:rsidR="00931B25">
        <w:rPr>
          <w:rFonts w:hint="cs"/>
          <w:rtl/>
        </w:rPr>
        <w:t xml:space="preserve">בקרב קשישים בישראל ביחס להכנסתם הפנויה </w:t>
      </w:r>
      <w:r w:rsidRPr="0032620C">
        <w:rPr>
          <w:rtl/>
        </w:rPr>
        <w:t xml:space="preserve"> (</w:t>
      </w:r>
      <w:r w:rsidR="008D0320">
        <w:rPr>
          <w:rFonts w:hint="cs"/>
          <w:rtl/>
        </w:rPr>
        <w:t>ל</w:t>
      </w:r>
      <w:r w:rsidRPr="0032620C">
        <w:rPr>
          <w:rtl/>
        </w:rPr>
        <w:t>אחר תשלומי העברה ומסים)</w:t>
      </w:r>
      <w:r w:rsidR="00931B25">
        <w:rPr>
          <w:rFonts w:hint="cs"/>
          <w:rtl/>
        </w:rPr>
        <w:t>,</w:t>
      </w:r>
      <w:r w:rsidRPr="0032620C">
        <w:rPr>
          <w:rtl/>
        </w:rPr>
        <w:t xml:space="preserve"> הם הגבוהים ביותר בעולם המפותח.</w:t>
      </w:r>
      <w:r>
        <w:rPr>
          <w:rFonts w:hint="cs"/>
          <w:rtl/>
        </w:rPr>
        <w:t xml:space="preserve"> </w:t>
      </w:r>
      <w:r w:rsidRPr="00015482">
        <w:rPr>
          <w:rtl/>
        </w:rPr>
        <w:t xml:space="preserve">הקצבה לקשישים נזקקים מיועדת לקשישים </w:t>
      </w:r>
      <w:r w:rsidR="00931B25">
        <w:rPr>
          <w:rFonts w:hint="cs"/>
          <w:rtl/>
        </w:rPr>
        <w:t>שהכנסתם העיקרית היא</w:t>
      </w:r>
      <w:r w:rsidRPr="00015482">
        <w:rPr>
          <w:rtl/>
        </w:rPr>
        <w:t xml:space="preserve"> קצבת הזקנה. כיום קצבה זו נמוכה מרף קו העוני, </w:t>
      </w:r>
      <w:r>
        <w:rPr>
          <w:rFonts w:hint="cs"/>
          <w:rtl/>
        </w:rPr>
        <w:t>מה שמסביר, בין היתר, את המספר הגבוה של קשישים החיים בעוני</w:t>
      </w:r>
      <w:r w:rsidRPr="00015482">
        <w:rPr>
          <w:rtl/>
        </w:rPr>
        <w:t>.</w:t>
      </w:r>
    </w:p>
    <w:p w14:paraId="38A2572D" w14:textId="26F263B9" w:rsidR="004551DB" w:rsidRPr="00B07B1F" w:rsidRDefault="004551DB" w:rsidP="00931B25">
      <w:pPr>
        <w:pStyle w:val="Hesber"/>
        <w:rPr>
          <w:rtl/>
        </w:rPr>
      </w:pPr>
      <w:r>
        <w:rPr>
          <w:rFonts w:hint="cs"/>
          <w:rtl/>
        </w:rPr>
        <w:t xml:space="preserve">הצעת החוק קובעת כי קצבת הבטחת ההכנסה לקשישים (להלן </w:t>
      </w:r>
      <w:r>
        <w:rPr>
          <w:rtl/>
        </w:rPr>
        <w:t>–</w:t>
      </w:r>
      <w:r>
        <w:rPr>
          <w:rFonts w:hint="cs"/>
          <w:rtl/>
        </w:rPr>
        <w:t xml:space="preserve"> הקצבה) תוגדל כך שתובטח יכולת הקיום בכבוד של הזכאים. עדכון הקצבה יביא לשמירה על קצבה </w:t>
      </w:r>
      <w:r w:rsidR="00B02138">
        <w:rPr>
          <w:rFonts w:hint="cs"/>
          <w:rtl/>
        </w:rPr>
        <w:t>מינימלית</w:t>
      </w:r>
      <w:r>
        <w:rPr>
          <w:rFonts w:hint="cs"/>
          <w:rtl/>
        </w:rPr>
        <w:t xml:space="preserve"> למחיה לאחר </w:t>
      </w:r>
      <w:r w:rsidRPr="00B07B1F">
        <w:rPr>
          <w:rFonts w:hint="cs"/>
          <w:rtl/>
        </w:rPr>
        <w:t>גיל ה</w:t>
      </w:r>
      <w:r w:rsidR="00931B25">
        <w:rPr>
          <w:rFonts w:hint="cs"/>
          <w:rtl/>
        </w:rPr>
        <w:t>פרישה כך שלא תפחת מרף קו העוני.</w:t>
      </w:r>
    </w:p>
    <w:p w14:paraId="7F6961CB" w14:textId="438D9598" w:rsidR="00E13C27" w:rsidRDefault="004551DB" w:rsidP="004551DB">
      <w:pPr>
        <w:pStyle w:val="Hesber"/>
        <w:rPr>
          <w:rtl/>
        </w:rPr>
      </w:pPr>
      <w:r w:rsidRPr="00B07B1F">
        <w:rPr>
          <w:rFonts w:hint="cs"/>
          <w:rtl/>
        </w:rPr>
        <w:t>קו העוני מוגדר כמחצית ה</w:t>
      </w:r>
      <w:r w:rsidR="00B02138">
        <w:rPr>
          <w:rFonts w:hint="cs"/>
          <w:rtl/>
        </w:rPr>
        <w:t>חציון של ה</w:t>
      </w:r>
      <w:r w:rsidRPr="00B07B1F">
        <w:rPr>
          <w:rFonts w:hint="cs"/>
          <w:rtl/>
        </w:rPr>
        <w:t>הכנסה</w:t>
      </w:r>
      <w:r w:rsidRPr="00B07B1F">
        <w:rPr>
          <w:rtl/>
        </w:rPr>
        <w:t xml:space="preserve"> הפנויה </w:t>
      </w:r>
      <w:r w:rsidR="00B02138">
        <w:rPr>
          <w:rFonts w:hint="cs"/>
          <w:rtl/>
        </w:rPr>
        <w:t>לנפש תקנית</w:t>
      </w:r>
      <w:r w:rsidRPr="00B07B1F">
        <w:rPr>
          <w:rtl/>
        </w:rPr>
        <w:t xml:space="preserve">, </w:t>
      </w:r>
      <w:r w:rsidRPr="00B07B1F">
        <w:rPr>
          <w:rFonts w:hint="cs"/>
          <w:rtl/>
        </w:rPr>
        <w:t xml:space="preserve">ונכון לשנת </w:t>
      </w:r>
      <w:r>
        <w:rPr>
          <w:rFonts w:hint="cs"/>
          <w:rtl/>
        </w:rPr>
        <w:t>2012</w:t>
      </w:r>
      <w:r w:rsidRPr="00B07B1F">
        <w:rPr>
          <w:rFonts w:hint="cs"/>
          <w:rtl/>
        </w:rPr>
        <w:t xml:space="preserve"> עמד על</w:t>
      </w:r>
      <w:r>
        <w:rPr>
          <w:rFonts w:hint="cs"/>
          <w:rtl/>
        </w:rPr>
        <w:t xml:space="preserve"> 2,256 ש"ח לנפש תקנית. העלאת הקצבה כמוצע מוערכת בעלות קטנה באופן יחסי, וביכולתה לייצר שינוי משמעותי ונדרש בחיי הקשישים החיים בעוני. הצעת החוק מבוססת בין היתר על המלצות </w:t>
      </w:r>
      <w:r w:rsidRPr="00456BD8">
        <w:rPr>
          <w:rtl/>
        </w:rPr>
        <w:t>הוועדה למלחמה בעוני בישראל</w:t>
      </w:r>
      <w:r>
        <w:rPr>
          <w:rFonts w:hint="cs"/>
          <w:rtl/>
        </w:rPr>
        <w:t xml:space="preserve"> (ועדת אלאלוף, 2013) וכן על המלצות המוסד לביטוח לאומי.</w:t>
      </w:r>
    </w:p>
    <w:p w14:paraId="4245EAA7" w14:textId="431E6B73" w:rsidR="00B02138" w:rsidRDefault="00B02138" w:rsidP="004551DB">
      <w:pPr>
        <w:pStyle w:val="Hesber"/>
        <w:rPr>
          <w:rtl/>
        </w:rPr>
      </w:pPr>
      <w:r>
        <w:rPr>
          <w:rFonts w:hint="cs"/>
          <w:rtl/>
        </w:rPr>
        <w:t>הצעת חוק דומה בעיקרה הונחה על שולחן הכנסת העשרים על ידי חברי הכנסת מאיר כהן ויאיר לפיד (פ/1366/20).</w:t>
      </w:r>
    </w:p>
    <w:p w14:paraId="31B43F67" w14:textId="3A7595FA" w:rsidR="00CE4077" w:rsidRDefault="00CE4077" w:rsidP="004551DB">
      <w:pPr>
        <w:pStyle w:val="Hesber"/>
        <w:rPr>
          <w:rtl/>
        </w:rPr>
      </w:pPr>
    </w:p>
    <w:p w14:paraId="08CCF8E8" w14:textId="77777777" w:rsidR="00CE4077" w:rsidRDefault="00CE4077" w:rsidP="004551DB">
      <w:pPr>
        <w:pStyle w:val="Hesber"/>
        <w:rPr>
          <w:rtl/>
        </w:rPr>
      </w:pPr>
      <w:bookmarkStart w:id="8" w:name="_GoBack"/>
      <w:bookmarkEnd w:id="8"/>
    </w:p>
    <w:p w14:paraId="1B5EF428" w14:textId="77777777" w:rsidR="00CE4077" w:rsidRPr="0022704F" w:rsidRDefault="00CE4077" w:rsidP="00CE4077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14:paraId="24C958A2" w14:textId="77777777" w:rsidR="00CE4077" w:rsidRPr="0022704F" w:rsidRDefault="00CE4077" w:rsidP="00CE4077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5B59F7DF" w14:textId="77777777" w:rsidR="00CE4077" w:rsidRPr="0022704F" w:rsidRDefault="00CE4077" w:rsidP="00CE4077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2587089F" w14:textId="77777777" w:rsidR="00CE4077" w:rsidRPr="00935520" w:rsidRDefault="00CE4077" w:rsidP="00CE4077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י"א  באב התשע"ה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27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</w:p>
    <w:p w14:paraId="486270BC" w14:textId="77777777" w:rsidR="00CE4077" w:rsidRPr="00E635D3" w:rsidRDefault="00CE4077" w:rsidP="00CE4077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</w:p>
    <w:p w14:paraId="03914735" w14:textId="77777777" w:rsidR="00CE4077" w:rsidRDefault="00CE4077" w:rsidP="004551DB">
      <w:pPr>
        <w:pStyle w:val="Hesber"/>
        <w:rPr>
          <w:rtl/>
        </w:rPr>
      </w:pPr>
    </w:p>
    <w:sectPr w:rsidR="00CE407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CE4077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20016C13" w14:textId="3FF2E2E3" w:rsidR="005A2522" w:rsidRDefault="005A2522" w:rsidP="000C2E3D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22330E">
        <w:rPr>
          <w:rtl/>
        </w:rPr>
        <w:t xml:space="preserve">ס"ח </w:t>
      </w:r>
      <w:r w:rsidR="000C2E3D">
        <w:rPr>
          <w:rFonts w:hint="cs"/>
          <w:rtl/>
        </w:rPr>
        <w:t>ה</w:t>
      </w:r>
      <w:r w:rsidRPr="0022330E">
        <w:rPr>
          <w:rtl/>
        </w:rPr>
        <w:t>תשמ"א</w:t>
      </w:r>
      <w:r w:rsidR="000C2E3D">
        <w:rPr>
          <w:rFonts w:hint="cs"/>
          <w:rtl/>
        </w:rPr>
        <w:t>, עמ' 30.</w:t>
      </w:r>
      <w:r>
        <w:rPr>
          <w:rFonts w:hint="cs"/>
          <w:rtl/>
        </w:rPr>
        <w:t xml:space="preserve">. </w:t>
      </w:r>
    </w:p>
  </w:footnote>
  <w:footnote w:id="3">
    <w:p w14:paraId="58E13A34" w14:textId="77777777" w:rsidR="000C2E3D" w:rsidRDefault="000C2E3D" w:rsidP="000C2E3D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 w:rsidRPr="0022330E">
        <w:rPr>
          <w:rtl/>
        </w:rPr>
        <w:t xml:space="preserve">ס"ח </w:t>
      </w:r>
      <w:r>
        <w:rPr>
          <w:rFonts w:hint="cs"/>
          <w:rtl/>
        </w:rPr>
        <w:t>ה</w:t>
      </w:r>
      <w:r w:rsidRPr="0022330E">
        <w:rPr>
          <w:rtl/>
        </w:rPr>
        <w:t xml:space="preserve">תשנ"ד </w:t>
      </w:r>
      <w:r>
        <w:rPr>
          <w:rFonts w:hint="cs"/>
          <w:rtl/>
        </w:rPr>
        <w:t>עמ</w:t>
      </w:r>
      <w:r w:rsidRPr="0022330E">
        <w:rPr>
          <w:rtl/>
        </w:rPr>
        <w:t xml:space="preserve">' </w:t>
      </w:r>
      <w:r>
        <w:rPr>
          <w:rFonts w:hint="cs"/>
          <w:rtl/>
        </w:rPr>
        <w:t>156.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43F0"/>
    <w:rsid w:val="00015B27"/>
    <w:rsid w:val="00063A3E"/>
    <w:rsid w:val="00072CAC"/>
    <w:rsid w:val="0007681A"/>
    <w:rsid w:val="000A542E"/>
    <w:rsid w:val="000C2E3D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551DB"/>
    <w:rsid w:val="004A06DC"/>
    <w:rsid w:val="004B24ED"/>
    <w:rsid w:val="004B6625"/>
    <w:rsid w:val="004D2D82"/>
    <w:rsid w:val="004D3876"/>
    <w:rsid w:val="004E4552"/>
    <w:rsid w:val="004E6CDF"/>
    <w:rsid w:val="0053343A"/>
    <w:rsid w:val="00553C9D"/>
    <w:rsid w:val="00555E2B"/>
    <w:rsid w:val="00562A66"/>
    <w:rsid w:val="005A2522"/>
    <w:rsid w:val="005B064E"/>
    <w:rsid w:val="005D51AE"/>
    <w:rsid w:val="0062674B"/>
    <w:rsid w:val="006363B2"/>
    <w:rsid w:val="00644940"/>
    <w:rsid w:val="006818A9"/>
    <w:rsid w:val="00695964"/>
    <w:rsid w:val="006A2D81"/>
    <w:rsid w:val="006C1D0D"/>
    <w:rsid w:val="0070601E"/>
    <w:rsid w:val="00712C72"/>
    <w:rsid w:val="00735FE9"/>
    <w:rsid w:val="00763CAA"/>
    <w:rsid w:val="00765F66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D0320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31B25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02138"/>
    <w:rsid w:val="00B10265"/>
    <w:rsid w:val="00B16A99"/>
    <w:rsid w:val="00B21211"/>
    <w:rsid w:val="00B35784"/>
    <w:rsid w:val="00B733A7"/>
    <w:rsid w:val="00B75C91"/>
    <w:rsid w:val="00B975AD"/>
    <w:rsid w:val="00BB76D3"/>
    <w:rsid w:val="00BC45FB"/>
    <w:rsid w:val="00BF148D"/>
    <w:rsid w:val="00C23B1A"/>
    <w:rsid w:val="00C310EB"/>
    <w:rsid w:val="00C9176A"/>
    <w:rsid w:val="00CE4077"/>
    <w:rsid w:val="00CF1AA2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550BBD39-1C8E-4459-B07B-96DEBB8A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link w:val="a4"/>
    <w:locked/>
    <w:rsid w:val="0053343A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styleId="ae">
    <w:name w:val="annotation reference"/>
    <w:basedOn w:val="a0"/>
    <w:semiHidden/>
    <w:unhideWhenUsed/>
    <w:rsid w:val="000C2E3D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0C2E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0C2E3D"/>
    <w:rPr>
      <w:rFonts w:ascii="Hadasa Roso SL" w:hAnsi="Hadasa Roso SL" w:cs="Hadasa Roso SL"/>
      <w:color w:val="000000"/>
      <w:spacing w:val="1"/>
      <w:lang w:eastAsia="ja-JP"/>
    </w:rPr>
  </w:style>
  <w:style w:type="paragraph" w:styleId="af1">
    <w:name w:val="annotation subject"/>
    <w:basedOn w:val="af"/>
    <w:next w:val="af"/>
    <w:link w:val="af2"/>
    <w:semiHidden/>
    <w:unhideWhenUsed/>
    <w:rsid w:val="000C2E3D"/>
    <w:rPr>
      <w:b/>
      <w:bCs/>
    </w:rPr>
  </w:style>
  <w:style w:type="character" w:customStyle="1" w:styleId="af2">
    <w:name w:val="נושא הערה תו"/>
    <w:basedOn w:val="af0"/>
    <w:link w:val="af1"/>
    <w:semiHidden/>
    <w:rsid w:val="000C2E3D"/>
    <w:rPr>
      <w:rFonts w:ascii="Hadasa Roso SL" w:hAnsi="Hadasa Roso SL" w:cs="Hadasa Roso SL"/>
      <w:b/>
      <w:bCs/>
      <w:color w:val="000000"/>
      <w:spacing w:val="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B2B8EE-350B-4F8C-9D79-EDF6B9F59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FEF488-918D-4E6B-9ECB-CD2433E5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427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10</cp:revision>
  <cp:lastPrinted>2015-07-23T08:32:00Z</cp:lastPrinted>
  <dcterms:created xsi:type="dcterms:W3CDTF">2015-04-20T09:58:00Z</dcterms:created>
  <dcterms:modified xsi:type="dcterms:W3CDTF">2015-07-23T08:32:00Z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566914</vt:r8>
  </property>
</Properties>
</file>