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567290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67E21E0D" w:rsidR="00E13C27" w:rsidRPr="00CF1AA2" w:rsidRDefault="008F6665" w:rsidP="00322D58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אלי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 בן צור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יפעת שאשא ביטון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אברהם דיכטר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טלי פלוסקוב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אורלי לוי אבקסיס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אילטוב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פרי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רועי פולקמן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סופה לנדבר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אילן גילאון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אייל בן ראובן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איתן ברושי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איתן כבל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אורן אסף חזן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אמסלם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6A6285DF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פ/1896/20</w:t>
      </w:r>
      <w:bookmarkEnd w:id="6"/>
    </w:p>
    <w:p w14:paraId="7F6961AE" w14:textId="0B939BF6" w:rsidR="00E13C27" w:rsidRDefault="00A443CF" w:rsidP="00322D58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הדיור הציבורי (זכויות רכישה) (תיקון – העלאת סכום המחיר הבסיסי) , התשע"ה–2015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17790D" w14:paraId="6C8FCA24" w14:textId="77777777" w:rsidTr="00FE7750">
        <w:trPr>
          <w:cantSplit/>
        </w:trPr>
        <w:tc>
          <w:tcPr>
            <w:tcW w:w="1871" w:type="dxa"/>
          </w:tcPr>
          <w:p w14:paraId="0CD1B060" w14:textId="77777777" w:rsidR="0017790D" w:rsidRDefault="0017790D" w:rsidP="00414EE2">
            <w:pPr>
              <w:pStyle w:val="TableSideHeading"/>
              <w:ind w:right="0"/>
            </w:pPr>
            <w:r>
              <w:rPr>
                <w:rFonts w:hint="cs"/>
                <w:rtl/>
              </w:rPr>
              <w:t>תיקון סעיף 3</w:t>
            </w:r>
          </w:p>
        </w:tc>
        <w:tc>
          <w:tcPr>
            <w:tcW w:w="624" w:type="dxa"/>
          </w:tcPr>
          <w:p w14:paraId="636805E6" w14:textId="77777777" w:rsidR="0017790D" w:rsidRDefault="0017790D" w:rsidP="00414EE2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8B18032" w14:textId="4EE8569B" w:rsidR="0017790D" w:rsidRPr="00322D58" w:rsidRDefault="0017790D" w:rsidP="00322D58">
            <w:pPr>
              <w:pStyle w:val="TableBlock"/>
              <w:rPr>
                <w:spacing w:val="-4"/>
              </w:rPr>
            </w:pPr>
            <w:r w:rsidRPr="00322D58">
              <w:rPr>
                <w:spacing w:val="-4"/>
                <w:sz w:val="26"/>
                <w:rtl/>
              </w:rPr>
              <w:t xml:space="preserve">בחוק </w:t>
            </w:r>
            <w:r w:rsidRPr="00322D58">
              <w:rPr>
                <w:rFonts w:hint="cs"/>
                <w:spacing w:val="-4"/>
                <w:sz w:val="26"/>
                <w:rtl/>
              </w:rPr>
              <w:t>הדיור הציבורי (זכויות רכישה), התשנ"ט</w:t>
            </w:r>
            <w:r w:rsidR="00322D58" w:rsidRPr="00322D58">
              <w:rPr>
                <w:rFonts w:hint="eastAsia"/>
                <w:spacing w:val="-4"/>
                <w:sz w:val="26"/>
                <w:rtl/>
              </w:rPr>
              <w:t>–</w:t>
            </w:r>
            <w:r w:rsidRPr="00322D58">
              <w:rPr>
                <w:rFonts w:hint="cs"/>
                <w:spacing w:val="-4"/>
                <w:sz w:val="26"/>
                <w:rtl/>
              </w:rPr>
              <w:t>1998</w:t>
            </w:r>
            <w:r w:rsidRPr="00322D58">
              <w:rPr>
                <w:rStyle w:val="a6"/>
                <w:spacing w:val="-4"/>
                <w:sz w:val="26"/>
                <w:rtl/>
              </w:rPr>
              <w:footnoteReference w:id="2"/>
            </w:r>
            <w:r w:rsidRPr="00322D58">
              <w:rPr>
                <w:spacing w:val="-4"/>
                <w:sz w:val="26"/>
                <w:rtl/>
              </w:rPr>
              <w:t xml:space="preserve"> (להלן – החוק העיקרי)</w:t>
            </w:r>
            <w:r w:rsidR="00FE7750" w:rsidRPr="00322D58">
              <w:rPr>
                <w:rFonts w:hint="cs"/>
                <w:spacing w:val="-4"/>
                <w:sz w:val="26"/>
                <w:rtl/>
              </w:rPr>
              <w:t>,</w:t>
            </w:r>
            <w:r w:rsidR="00FE7750" w:rsidRPr="00322D58">
              <w:rPr>
                <w:spacing w:val="-4"/>
                <w:rtl/>
              </w:rPr>
              <w:t xml:space="preserve"> </w:t>
            </w:r>
            <w:r w:rsidRPr="00322D58">
              <w:rPr>
                <w:rFonts w:hint="cs"/>
                <w:spacing w:val="-4"/>
                <w:rtl/>
              </w:rPr>
              <w:t xml:space="preserve">בסעיף 3 </w:t>
            </w:r>
            <w:r w:rsidR="00FE7750" w:rsidRPr="00322D58">
              <w:rPr>
                <w:rFonts w:hint="eastAsia"/>
                <w:spacing w:val="-4"/>
                <w:rtl/>
              </w:rPr>
              <w:t>–</w:t>
            </w:r>
          </w:p>
        </w:tc>
      </w:tr>
      <w:tr w:rsidR="00FE7750" w14:paraId="3EA15AC2" w14:textId="77777777" w:rsidTr="00FE7750">
        <w:trPr>
          <w:cantSplit/>
        </w:trPr>
        <w:tc>
          <w:tcPr>
            <w:tcW w:w="1871" w:type="dxa"/>
          </w:tcPr>
          <w:p w14:paraId="2D42370F" w14:textId="77777777" w:rsidR="00FE7750" w:rsidRDefault="00FE7750" w:rsidP="00414EE2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6046F38B" w14:textId="77777777" w:rsidR="00FE7750" w:rsidRDefault="00FE7750" w:rsidP="00FE775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1CFA0513" w14:textId="457E5BB5" w:rsidR="00FE7750" w:rsidRDefault="00FE7750" w:rsidP="00FE7750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</w:r>
            <w:r w:rsidRPr="000C09A7">
              <w:rPr>
                <w:rFonts w:hint="cs"/>
                <w:sz w:val="26"/>
                <w:rtl/>
              </w:rPr>
              <w:t>בסעיף קטן (א)(2) במקום "705,000" יבוא "915,000";</w:t>
            </w:r>
          </w:p>
        </w:tc>
      </w:tr>
      <w:tr w:rsidR="00FE7750" w14:paraId="50389066" w14:textId="77777777" w:rsidTr="00FE7750">
        <w:trPr>
          <w:cantSplit/>
        </w:trPr>
        <w:tc>
          <w:tcPr>
            <w:tcW w:w="1871" w:type="dxa"/>
          </w:tcPr>
          <w:p w14:paraId="6102B14F" w14:textId="77777777" w:rsidR="00FE7750" w:rsidRDefault="00FE7750" w:rsidP="00414EE2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3F59210E" w14:textId="77777777" w:rsidR="00FE7750" w:rsidRDefault="00FE7750" w:rsidP="00FE775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955EB81" w14:textId="48239F8E" w:rsidR="00FE7750" w:rsidRDefault="00FE7750" w:rsidP="00FE7750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 w:rsidRPr="000C09A7">
              <w:rPr>
                <w:rFonts w:hint="cs"/>
                <w:sz w:val="26"/>
                <w:rtl/>
              </w:rPr>
              <w:t>בסעיף קטן (ג)(1) במקום "705,000 יבוא 881,250" יבוא "915,000 יבוא</w:t>
            </w:r>
            <w:r>
              <w:rPr>
                <w:sz w:val="26"/>
                <w:rtl/>
              </w:rPr>
              <w:t xml:space="preserve"> </w:t>
            </w:r>
            <w:r w:rsidRPr="000C09A7">
              <w:rPr>
                <w:rFonts w:hint="cs"/>
                <w:sz w:val="26"/>
                <w:rtl/>
              </w:rPr>
              <w:t xml:space="preserve"> 1,091,250".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6C9F309" w14:textId="25114C00" w:rsidR="00455EE7" w:rsidRPr="00FA74B4" w:rsidRDefault="00455EE7" w:rsidP="0019763B">
      <w:pPr>
        <w:pStyle w:val="Hesber"/>
        <w:rPr>
          <w:rtl/>
        </w:rPr>
      </w:pPr>
      <w:r w:rsidRPr="00FA74B4">
        <w:rPr>
          <w:rFonts w:hint="eastAsia"/>
          <w:rtl/>
        </w:rPr>
        <w:t>מתגוררים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בדיור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הציבורי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הזכאים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לרכוש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את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דירתם</w:t>
      </w:r>
      <w:r w:rsidR="00892366">
        <w:rPr>
          <w:rFonts w:hint="cs"/>
          <w:rtl/>
        </w:rPr>
        <w:t xml:space="preserve">, זכאים למענק המחושב </w:t>
      </w:r>
      <w:r w:rsidR="00FA74B4">
        <w:rPr>
          <w:rFonts w:hint="cs"/>
          <w:rtl/>
        </w:rPr>
        <w:t xml:space="preserve">כאחוז ממחיר הדירה. </w:t>
      </w:r>
      <w:r w:rsidR="00892366">
        <w:rPr>
          <w:rFonts w:hint="cs"/>
          <w:rtl/>
        </w:rPr>
        <w:t xml:space="preserve">ואולם, </w:t>
      </w:r>
      <w:r w:rsidR="00C639DA">
        <w:rPr>
          <w:rFonts w:hint="cs"/>
          <w:rtl/>
        </w:rPr>
        <w:t xml:space="preserve">אם מחיר הדירה הציבורית, שהיה מתקבל ממכירתה ממוכר מרצון לקונה מרצון, כפי שקבע השמאי הממשלתי או שמאי שהוא הסמיך לכך, עולה </w:t>
      </w: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705,000 </w:t>
      </w:r>
      <w:r w:rsidR="00C639DA">
        <w:rPr>
          <w:rFonts w:hint="cs"/>
          <w:rtl/>
        </w:rPr>
        <w:t xml:space="preserve">שקלים חדשים, המענק מחושב כאחוז מהסכום האמור בלבד. </w:t>
      </w:r>
      <w:r w:rsidRPr="00FA74B4">
        <w:rPr>
          <w:rFonts w:hint="eastAsia"/>
          <w:rtl/>
        </w:rPr>
        <w:t>עבור</w:t>
      </w:r>
      <w:r w:rsidRPr="00FA74B4">
        <w:rPr>
          <w:rtl/>
        </w:rPr>
        <w:t xml:space="preserve"> </w:t>
      </w:r>
      <w:r w:rsidR="00892366">
        <w:rPr>
          <w:rFonts w:hint="cs"/>
          <w:rtl/>
        </w:rPr>
        <w:t>זכאים</w:t>
      </w:r>
      <w:r w:rsidR="00892366" w:rsidRPr="00FA74B4">
        <w:rPr>
          <w:rtl/>
        </w:rPr>
        <w:t xml:space="preserve"> </w:t>
      </w:r>
      <w:r w:rsidRPr="00FA74B4">
        <w:rPr>
          <w:rFonts w:hint="eastAsia"/>
          <w:rtl/>
        </w:rPr>
        <w:t>נכים</w:t>
      </w:r>
      <w:r w:rsidR="00C639DA">
        <w:rPr>
          <w:rFonts w:hint="cs"/>
          <w:rtl/>
        </w:rPr>
        <w:t xml:space="preserve"> סכום זה עומד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881,250 </w:t>
      </w:r>
      <w:r w:rsidR="00C639DA">
        <w:rPr>
          <w:rFonts w:hint="cs"/>
          <w:rtl/>
        </w:rPr>
        <w:t>שקלים חדשים</w:t>
      </w:r>
      <w:r w:rsidRPr="00FA74B4">
        <w:rPr>
          <w:rtl/>
        </w:rPr>
        <w:t xml:space="preserve">. </w:t>
      </w:r>
      <w:r w:rsidRPr="00FA74B4">
        <w:rPr>
          <w:rFonts w:hint="eastAsia"/>
          <w:rtl/>
        </w:rPr>
        <w:t>תקרה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זו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נקבעה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בשנת</w:t>
      </w:r>
      <w:r w:rsidRPr="00FA74B4">
        <w:rPr>
          <w:rtl/>
        </w:rPr>
        <w:t xml:space="preserve"> 2008 </w:t>
      </w:r>
      <w:r w:rsidRPr="00FA74B4">
        <w:rPr>
          <w:rFonts w:hint="eastAsia"/>
          <w:rtl/>
        </w:rPr>
        <w:t>ומאז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לא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עודכנה</w:t>
      </w:r>
      <w:r w:rsidR="00C639DA">
        <w:rPr>
          <w:rFonts w:hint="cs"/>
          <w:rtl/>
        </w:rPr>
        <w:t>, למרות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>ש</w:t>
      </w:r>
      <w:r w:rsidRPr="00FA74B4">
        <w:rPr>
          <w:rFonts w:hint="eastAsia"/>
          <w:rtl/>
        </w:rPr>
        <w:t>מחיר</w:t>
      </w:r>
      <w:r w:rsidRPr="00FA74B4">
        <w:rPr>
          <w:rtl/>
        </w:rPr>
        <w:t xml:space="preserve"> </w:t>
      </w:r>
      <w:r w:rsidR="004D7437">
        <w:rPr>
          <w:rFonts w:hint="cs"/>
          <w:rtl/>
        </w:rPr>
        <w:t>הדירות הממוצע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עמד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בשנת</w:t>
      </w:r>
      <w:r w:rsidRPr="00FA74B4">
        <w:rPr>
          <w:rtl/>
        </w:rPr>
        <w:t xml:space="preserve"> 2008 </w:t>
      </w: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כ</w:t>
      </w:r>
      <w:r w:rsidRPr="00FA74B4">
        <w:rPr>
          <w:rtl/>
        </w:rPr>
        <w:t>-774</w:t>
      </w:r>
      <w:r w:rsidR="00C639DA">
        <w:rPr>
          <w:rFonts w:hint="cs"/>
          <w:rtl/>
        </w:rPr>
        <w:t>,000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 xml:space="preserve">שקלים חדשים, </w:t>
      </w:r>
      <w:r w:rsidR="00892366">
        <w:rPr>
          <w:rFonts w:hint="cs"/>
          <w:rtl/>
        </w:rPr>
        <w:t>ואילו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בשנת</w:t>
      </w:r>
      <w:r w:rsidRPr="00FA74B4">
        <w:rPr>
          <w:rtl/>
        </w:rPr>
        <w:t xml:space="preserve"> 2014 </w:t>
      </w:r>
      <w:r w:rsidR="00C639DA">
        <w:rPr>
          <w:rFonts w:hint="cs"/>
          <w:rtl/>
        </w:rPr>
        <w:t xml:space="preserve">מחיר </w:t>
      </w:r>
      <w:r w:rsidR="004D7437">
        <w:rPr>
          <w:rFonts w:hint="cs"/>
          <w:rtl/>
        </w:rPr>
        <w:t>הדירות</w:t>
      </w:r>
      <w:r w:rsidR="00C639DA">
        <w:rPr>
          <w:rFonts w:hint="cs"/>
          <w:rtl/>
        </w:rPr>
        <w:t xml:space="preserve"> </w:t>
      </w:r>
      <w:r w:rsidR="004D7437">
        <w:rPr>
          <w:rFonts w:hint="cs"/>
          <w:rtl/>
        </w:rPr>
        <w:t>ה</w:t>
      </w:r>
      <w:r w:rsidR="00C639DA">
        <w:rPr>
          <w:rFonts w:hint="cs"/>
          <w:rtl/>
        </w:rPr>
        <w:t xml:space="preserve">ממוצע היה </w:t>
      </w:r>
      <w:r w:rsidRPr="00FA74B4">
        <w:rPr>
          <w:rFonts w:hint="eastAsia"/>
          <w:rtl/>
        </w:rPr>
        <w:t>כ</w:t>
      </w:r>
      <w:r w:rsidRPr="00FA74B4">
        <w:rPr>
          <w:rtl/>
        </w:rPr>
        <w:t>-1,308</w:t>
      </w:r>
      <w:r w:rsidR="00C639DA">
        <w:rPr>
          <w:rFonts w:hint="cs"/>
          <w:rtl/>
        </w:rPr>
        <w:t>,000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>שקלים חדשים,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קרי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עליה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של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כ</w:t>
      </w:r>
      <w:r w:rsidRPr="00FA74B4">
        <w:rPr>
          <w:rtl/>
        </w:rPr>
        <w:t>-69%.</w:t>
      </w:r>
    </w:p>
    <w:p w14:paraId="16774230" w14:textId="5CEFE293" w:rsidR="00455EE7" w:rsidRPr="00FA74B4" w:rsidRDefault="00455EE7" w:rsidP="0019763B">
      <w:pPr>
        <w:pStyle w:val="Hesber"/>
        <w:rPr>
          <w:rtl/>
        </w:rPr>
      </w:pPr>
      <w:r w:rsidRPr="00FA74B4">
        <w:rPr>
          <w:rFonts w:hint="eastAsia"/>
          <w:rtl/>
        </w:rPr>
        <w:t>העלי</w:t>
      </w:r>
      <w:r w:rsidR="00322D58">
        <w:rPr>
          <w:rFonts w:hint="cs"/>
          <w:rtl/>
        </w:rPr>
        <w:t>י</w:t>
      </w:r>
      <w:r w:rsidRPr="00FA74B4">
        <w:rPr>
          <w:rFonts w:hint="eastAsia"/>
          <w:rtl/>
        </w:rPr>
        <w:t>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האמורה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במחירי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הדירות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מצמצמת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באופן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משמעותי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את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שיעור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ההנחה</w:t>
      </w:r>
      <w:r w:rsidR="00C639DA">
        <w:rPr>
          <w:rFonts w:hint="cs"/>
          <w:rtl/>
        </w:rPr>
        <w:t xml:space="preserve"> לזכאים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ומחייבת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את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דיירי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הדיור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הציבורי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להביא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הון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עצמי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גבוה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במיוחד</w:t>
      </w:r>
      <w:r w:rsidR="00C639DA">
        <w:rPr>
          <w:rFonts w:hint="cs"/>
          <w:rtl/>
        </w:rPr>
        <w:t>,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אשר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ככל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הנראה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לא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יהיה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ברשותם</w:t>
      </w:r>
      <w:r w:rsidRPr="00FA74B4">
        <w:rPr>
          <w:rtl/>
        </w:rPr>
        <w:t xml:space="preserve">, </w:t>
      </w:r>
      <w:r w:rsidRPr="00FA74B4">
        <w:rPr>
          <w:rFonts w:hint="eastAsia"/>
          <w:rtl/>
        </w:rPr>
        <w:t>במיוחד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שמדובר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באוכלוסיות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מוחלשות</w:t>
      </w:r>
      <w:r w:rsidRPr="00FA74B4">
        <w:rPr>
          <w:rtl/>
        </w:rPr>
        <w:t xml:space="preserve">. </w:t>
      </w:r>
      <w:r w:rsidRPr="00FA74B4">
        <w:rPr>
          <w:rFonts w:hint="eastAsia"/>
          <w:rtl/>
        </w:rPr>
        <w:t>עיקר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הפגיעה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היא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בדיירי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הדיור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הציבורי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באזורי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>ה</w:t>
      </w:r>
      <w:r w:rsidRPr="00FA74B4">
        <w:rPr>
          <w:rFonts w:hint="eastAsia"/>
          <w:rtl/>
        </w:rPr>
        <w:t>ביקוש</w:t>
      </w:r>
      <w:r w:rsidR="0019763B">
        <w:rPr>
          <w:rFonts w:hint="cs"/>
          <w:rtl/>
        </w:rPr>
        <w:t>, ובכללם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ירושלים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וערי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המרכז</w:t>
      </w:r>
      <w:r w:rsidRPr="00FA74B4">
        <w:rPr>
          <w:rtl/>
        </w:rPr>
        <w:t>.</w:t>
      </w:r>
    </w:p>
    <w:p w14:paraId="566A1CF7" w14:textId="6AC23E4F" w:rsidR="00455EE7" w:rsidRDefault="00455EE7" w:rsidP="0019763B">
      <w:pPr>
        <w:pStyle w:val="Hesber"/>
        <w:rPr>
          <w:rtl/>
        </w:rPr>
      </w:pP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רקע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האמור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לעיל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>מוצע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להעמיד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את</w:t>
      </w:r>
      <w:r w:rsidRPr="00FA74B4">
        <w:rPr>
          <w:rtl/>
        </w:rPr>
        <w:t xml:space="preserve"> </w:t>
      </w:r>
      <w:r w:rsidR="00C639DA">
        <w:rPr>
          <w:rFonts w:hint="cs"/>
          <w:rtl/>
        </w:rPr>
        <w:t>תקרת מחירי הדירות מהן יחושב המענק לזכאים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915,000 </w:t>
      </w:r>
      <w:r w:rsidR="00C639DA">
        <w:rPr>
          <w:rFonts w:hint="cs"/>
          <w:rtl/>
        </w:rPr>
        <w:t>שקלים חדשים</w:t>
      </w:r>
      <w:r w:rsidR="00892366">
        <w:rPr>
          <w:rFonts w:hint="cs"/>
          <w:rtl/>
        </w:rPr>
        <w:t xml:space="preserve">. </w:t>
      </w:r>
      <w:r w:rsidR="00986BDE">
        <w:rPr>
          <w:rFonts w:hint="cs"/>
          <w:rtl/>
        </w:rPr>
        <w:t>תקרה זו</w:t>
      </w:r>
      <w:r w:rsidR="00892366">
        <w:rPr>
          <w:rFonts w:hint="cs"/>
          <w:rtl/>
        </w:rPr>
        <w:t xml:space="preserve"> מהווה</w:t>
      </w:r>
      <w:r w:rsidRPr="00FA74B4">
        <w:rPr>
          <w:rtl/>
        </w:rPr>
        <w:t xml:space="preserve"> כ-70% </w:t>
      </w:r>
      <w:r w:rsidRPr="00FA74B4">
        <w:rPr>
          <w:rFonts w:hint="eastAsia"/>
          <w:rtl/>
        </w:rPr>
        <w:t>ממחיר</w:t>
      </w:r>
      <w:r w:rsidRPr="00FA74B4">
        <w:rPr>
          <w:rtl/>
        </w:rPr>
        <w:t xml:space="preserve"> </w:t>
      </w:r>
      <w:r w:rsidR="004D7437">
        <w:rPr>
          <w:rFonts w:hint="cs"/>
          <w:rtl/>
        </w:rPr>
        <w:t>הדירות</w:t>
      </w:r>
      <w:r w:rsidRPr="00FA74B4">
        <w:rPr>
          <w:rtl/>
        </w:rPr>
        <w:t xml:space="preserve"> </w:t>
      </w:r>
      <w:r w:rsidRPr="004D7437">
        <w:rPr>
          <w:rFonts w:hint="eastAsia"/>
          <w:rtl/>
        </w:rPr>
        <w:t>ה</w:t>
      </w:r>
      <w:r w:rsidRPr="00FA74B4">
        <w:rPr>
          <w:rFonts w:hint="eastAsia"/>
          <w:rtl/>
        </w:rPr>
        <w:t>ממוצע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בשנת</w:t>
      </w:r>
      <w:r w:rsidRPr="00FA74B4">
        <w:rPr>
          <w:rtl/>
        </w:rPr>
        <w:t xml:space="preserve"> 2014, </w:t>
      </w:r>
      <w:r w:rsidR="00892366">
        <w:rPr>
          <w:rFonts w:hint="cs"/>
          <w:rtl/>
        </w:rPr>
        <w:t>בעוד ש</w:t>
      </w:r>
      <w:r w:rsidRPr="00FA74B4">
        <w:rPr>
          <w:rFonts w:hint="eastAsia"/>
          <w:rtl/>
        </w:rPr>
        <w:t>במועד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קביעת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התקרה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המקורית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שיעורה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עמד</w:t>
      </w:r>
      <w:r w:rsidRPr="00FA74B4">
        <w:rPr>
          <w:rtl/>
        </w:rPr>
        <w:t xml:space="preserve"> </w:t>
      </w:r>
      <w:r w:rsidRPr="00FA74B4">
        <w:rPr>
          <w:rFonts w:hint="eastAsia"/>
          <w:rtl/>
        </w:rPr>
        <w:t>על</w:t>
      </w:r>
      <w:r w:rsidRPr="00FA74B4">
        <w:rPr>
          <w:rtl/>
        </w:rPr>
        <w:t xml:space="preserve"> 91% </w:t>
      </w:r>
      <w:r w:rsidRPr="00FA74B4">
        <w:rPr>
          <w:rFonts w:hint="eastAsia"/>
          <w:rtl/>
        </w:rPr>
        <w:t>ממחיר</w:t>
      </w:r>
      <w:r w:rsidRPr="00FA74B4">
        <w:rPr>
          <w:rtl/>
        </w:rPr>
        <w:t xml:space="preserve"> </w:t>
      </w:r>
      <w:r w:rsidR="004D7437">
        <w:rPr>
          <w:rFonts w:hint="cs"/>
          <w:rtl/>
        </w:rPr>
        <w:t>הדירות</w:t>
      </w:r>
      <w:r w:rsidRPr="00FA74B4">
        <w:rPr>
          <w:rtl/>
        </w:rPr>
        <w:t xml:space="preserve"> </w:t>
      </w:r>
      <w:r w:rsidRPr="004D7437">
        <w:rPr>
          <w:rFonts w:hint="eastAsia"/>
          <w:rtl/>
        </w:rPr>
        <w:t>ה</w:t>
      </w:r>
      <w:r w:rsidRPr="00FA74B4">
        <w:rPr>
          <w:rFonts w:hint="eastAsia"/>
          <w:rtl/>
        </w:rPr>
        <w:t>ממוצע</w:t>
      </w:r>
      <w:r w:rsidR="00892366">
        <w:rPr>
          <w:rFonts w:hint="cs"/>
          <w:rtl/>
        </w:rPr>
        <w:t>. כמו כן מוצע</w:t>
      </w:r>
      <w:r w:rsidR="00892366" w:rsidRPr="00892366">
        <w:rPr>
          <w:rFonts w:hint="eastAsia"/>
          <w:rtl/>
        </w:rPr>
        <w:t xml:space="preserve"> </w:t>
      </w:r>
      <w:r w:rsidR="00892366" w:rsidRPr="00DB32FD">
        <w:rPr>
          <w:rFonts w:hint="eastAsia"/>
          <w:rtl/>
        </w:rPr>
        <w:t>להעמיד</w:t>
      </w:r>
      <w:r w:rsidR="00892366" w:rsidRPr="00DB32FD">
        <w:rPr>
          <w:rtl/>
        </w:rPr>
        <w:t xml:space="preserve"> </w:t>
      </w:r>
      <w:r w:rsidR="00892366" w:rsidRPr="00DB32FD">
        <w:rPr>
          <w:rFonts w:hint="eastAsia"/>
          <w:rtl/>
        </w:rPr>
        <w:t>את</w:t>
      </w:r>
      <w:r w:rsidR="00892366" w:rsidRPr="00DB32FD">
        <w:rPr>
          <w:rtl/>
        </w:rPr>
        <w:t xml:space="preserve"> </w:t>
      </w:r>
      <w:r w:rsidR="00892366">
        <w:rPr>
          <w:rFonts w:hint="cs"/>
          <w:rtl/>
        </w:rPr>
        <w:t>תקרת מחירי הדירות מהן יחושב המענק לזכאים שהם נכים על</w:t>
      </w:r>
      <w:r w:rsidRPr="00FA74B4">
        <w:rPr>
          <w:rtl/>
        </w:rPr>
        <w:t xml:space="preserve"> 1,091,250 </w:t>
      </w:r>
      <w:r w:rsidR="00892366">
        <w:rPr>
          <w:rFonts w:hint="cs"/>
          <w:rtl/>
        </w:rPr>
        <w:t>שקלים חדשים</w:t>
      </w:r>
      <w:r w:rsidRPr="00FA74B4">
        <w:rPr>
          <w:rtl/>
        </w:rPr>
        <w:t>.</w:t>
      </w:r>
    </w:p>
    <w:p w14:paraId="75B4FA42" w14:textId="5F3F82F2" w:rsidR="00322D58" w:rsidRDefault="00322D58" w:rsidP="0019763B">
      <w:pPr>
        <w:pStyle w:val="Hesber"/>
        <w:rPr>
          <w:rtl/>
        </w:rPr>
      </w:pPr>
    </w:p>
    <w:p w14:paraId="07CD04D8" w14:textId="77777777" w:rsidR="00322D58" w:rsidRDefault="00322D58" w:rsidP="0019763B">
      <w:pPr>
        <w:pStyle w:val="Hesber"/>
        <w:rPr>
          <w:rtl/>
        </w:rPr>
      </w:pPr>
    </w:p>
    <w:p w14:paraId="50336082" w14:textId="77777777" w:rsidR="00322D58" w:rsidRDefault="00322D58" w:rsidP="0019763B">
      <w:pPr>
        <w:pStyle w:val="Hesber"/>
        <w:rPr>
          <w:rtl/>
        </w:rPr>
      </w:pPr>
    </w:p>
    <w:p w14:paraId="14F3821A" w14:textId="77777777" w:rsidR="00322D58" w:rsidRPr="00557D2C" w:rsidRDefault="00322D58" w:rsidP="007D273A">
      <w:pPr>
        <w:pStyle w:val="Hesber"/>
        <w:rPr>
          <w:rtl/>
        </w:rPr>
      </w:pPr>
      <w:r w:rsidRPr="00557D2C">
        <w:rPr>
          <w:rtl/>
        </w:rPr>
        <w:t>---------------------------------</w:t>
      </w:r>
    </w:p>
    <w:p w14:paraId="5CD2DB9C" w14:textId="77777777" w:rsidR="00322D58" w:rsidRPr="00557D2C" w:rsidRDefault="00322D58" w:rsidP="007D273A">
      <w:pPr>
        <w:pStyle w:val="Hesber"/>
        <w:rPr>
          <w:rtl/>
        </w:rPr>
      </w:pPr>
      <w:r w:rsidRPr="00557D2C">
        <w:rPr>
          <w:rtl/>
        </w:rPr>
        <w:t>הוגשה ליו"ר הכנסת והסגנים</w:t>
      </w:r>
    </w:p>
    <w:p w14:paraId="203FEA68" w14:textId="77777777" w:rsidR="00322D58" w:rsidRPr="00557D2C" w:rsidRDefault="00322D58" w:rsidP="007D273A">
      <w:pPr>
        <w:pStyle w:val="Hesber"/>
        <w:rPr>
          <w:rtl/>
        </w:rPr>
      </w:pPr>
      <w:r w:rsidRPr="00557D2C">
        <w:rPr>
          <w:rtl/>
        </w:rPr>
        <w:t>והונחה על שולחן הכנסת ביום</w:t>
      </w:r>
    </w:p>
    <w:p w14:paraId="663878D2" w14:textId="5C30D921" w:rsidR="00322D58" w:rsidRPr="00FA74B4" w:rsidRDefault="00322D58" w:rsidP="00322D58">
      <w:pPr>
        <w:pStyle w:val="Hesber"/>
        <w:rPr>
          <w:rtl/>
        </w:rPr>
      </w:pPr>
      <w:r>
        <w:rPr>
          <w:rFonts w:hint="cs"/>
          <w:rtl/>
        </w:rPr>
        <w:t>י"א</w:t>
      </w:r>
      <w:r w:rsidRPr="00557D2C">
        <w:rPr>
          <w:rFonts w:hint="cs"/>
          <w:rtl/>
        </w:rPr>
        <w:t xml:space="preserve"> </w:t>
      </w:r>
      <w:r>
        <w:rPr>
          <w:rFonts w:hint="cs"/>
          <w:rtl/>
        </w:rPr>
        <w:t xml:space="preserve">באב </w:t>
      </w:r>
      <w:r w:rsidRPr="00557D2C">
        <w:rPr>
          <w:rFonts w:hint="cs"/>
          <w:rtl/>
        </w:rPr>
        <w:t xml:space="preserve">התשע"ה </w:t>
      </w:r>
      <w:r w:rsidRPr="00557D2C">
        <w:rPr>
          <w:rtl/>
        </w:rPr>
        <w:t>–</w:t>
      </w:r>
      <w:r>
        <w:rPr>
          <w:rFonts w:hint="cs"/>
          <w:rtl/>
        </w:rPr>
        <w:t xml:space="preserve"> 27.7.15</w:t>
      </w:r>
      <w:r w:rsidR="005555FC">
        <w:rPr>
          <w:rFonts w:hint="cs"/>
          <w:rtl/>
        </w:rPr>
        <w:t>ד</w:t>
      </w:r>
      <w:bookmarkStart w:id="8" w:name="_GoBack"/>
      <w:bookmarkEnd w:id="8"/>
    </w:p>
    <w:p w14:paraId="7F6961CB" w14:textId="12C735B3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5555F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3A661495" w14:textId="5CF75F1E" w:rsidR="0017790D" w:rsidRDefault="0017790D" w:rsidP="0017790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FE7750">
        <w:rPr>
          <w:rFonts w:hint="cs"/>
          <w:rtl/>
        </w:rPr>
        <w:t>ס"ח התשנ"ט, 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7790D"/>
    <w:rsid w:val="0019763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2D58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5EE7"/>
    <w:rsid w:val="004A06DC"/>
    <w:rsid w:val="004B24ED"/>
    <w:rsid w:val="004B6625"/>
    <w:rsid w:val="004D2D82"/>
    <w:rsid w:val="004D3876"/>
    <w:rsid w:val="004D7437"/>
    <w:rsid w:val="004E4552"/>
    <w:rsid w:val="004E6CDF"/>
    <w:rsid w:val="00553C9D"/>
    <w:rsid w:val="005555FC"/>
    <w:rsid w:val="00562A66"/>
    <w:rsid w:val="00592F05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2366"/>
    <w:rsid w:val="00895449"/>
    <w:rsid w:val="00897879"/>
    <w:rsid w:val="008A6870"/>
    <w:rsid w:val="008C2DDC"/>
    <w:rsid w:val="008C425D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86BDE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639DA"/>
    <w:rsid w:val="00C9176A"/>
    <w:rsid w:val="00CF1AA2"/>
    <w:rsid w:val="00D14E6C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A74B4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0EE9750-9D20-4353-9E58-2FACBF1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50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FE7750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E7750"/>
    <w:rPr>
      <w:sz w:val="36"/>
      <w:szCs w:val="52"/>
    </w:rPr>
  </w:style>
  <w:style w:type="paragraph" w:customStyle="1" w:styleId="Cover3-Haknesset">
    <w:name w:val="Cover 3-Haknesset"/>
    <w:basedOn w:val="Cover1-Reshumot"/>
    <w:rsid w:val="00FE7750"/>
    <w:rPr>
      <w:b/>
      <w:bCs/>
      <w:spacing w:val="60"/>
    </w:rPr>
  </w:style>
  <w:style w:type="paragraph" w:customStyle="1" w:styleId="Cover4-Date">
    <w:name w:val="Cover 4-Date"/>
    <w:basedOn w:val="a"/>
    <w:rsid w:val="00FE775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FE7750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FE7750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FE775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FE775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FE7750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FE7750"/>
  </w:style>
  <w:style w:type="paragraph" w:customStyle="1" w:styleId="TableBlock">
    <w:name w:val="Table Block"/>
    <w:basedOn w:val="TableText"/>
    <w:rsid w:val="00FE7750"/>
    <w:pPr>
      <w:ind w:right="0"/>
      <w:jc w:val="both"/>
    </w:pPr>
  </w:style>
  <w:style w:type="paragraph" w:customStyle="1" w:styleId="TableHead">
    <w:name w:val="Table Head"/>
    <w:basedOn w:val="TableText"/>
    <w:rsid w:val="00FE7750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FE7750"/>
  </w:style>
  <w:style w:type="paragraph" w:customStyle="1" w:styleId="Hesber">
    <w:name w:val="Hesber"/>
    <w:basedOn w:val="a"/>
    <w:rsid w:val="00FE7750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FE7750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FE7750"/>
    <w:rPr>
      <w:vertAlign w:val="superscript"/>
    </w:rPr>
  </w:style>
  <w:style w:type="paragraph" w:customStyle="1" w:styleId="HesberHeading">
    <w:name w:val="Hesber Heading"/>
    <w:basedOn w:val="Hesber"/>
    <w:rsid w:val="00FE7750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FE7750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FE7750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FE7750"/>
    <w:rPr>
      <w:vertAlign w:val="superscript"/>
    </w:rPr>
  </w:style>
  <w:style w:type="paragraph" w:customStyle="1" w:styleId="TableBlockOutdent">
    <w:name w:val="Table BlockOutdent"/>
    <w:basedOn w:val="TableBlock"/>
    <w:rsid w:val="00FE7750"/>
    <w:pPr>
      <w:ind w:left="624" w:hanging="624"/>
    </w:pPr>
  </w:style>
  <w:style w:type="paragraph" w:styleId="a8">
    <w:name w:val="header"/>
    <w:basedOn w:val="a"/>
    <w:rsid w:val="00FE775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FE775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FE7750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FE7750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FE775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locked/>
    <w:rsid w:val="0017790D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36B3D2-D370-41AA-8FA8-D8D29DF7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4AEFC-2B52-49C8-B372-F77435D8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10</cp:revision>
  <cp:lastPrinted>2015-07-22T12:12:00Z</cp:lastPrinted>
  <dcterms:created xsi:type="dcterms:W3CDTF">2015-04-20T09:58:00Z</dcterms:created>
  <dcterms:modified xsi:type="dcterms:W3CDTF">2015-07-22T12:12:00Z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567290</vt:r8>
  </property>
</Properties>
</file>