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564973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מאיר כהן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יאיר לפיד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יעקב פרי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קארין אלהרר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יואל רזבוזוב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מיקי לוי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יעל גרמן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שי פירון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חיים ילין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מנואל טרכטנברג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יואל חסון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אילן גילאון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יוסי יונה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דב חנין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1B059F">
      <w:pPr>
        <w:pStyle w:val="David"/>
        <w:spacing w:before="0" w:line="24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1B059F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פ/1636/20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68372252" w:rsidR="00E13C27" w:rsidRPr="00F67051" w:rsidRDefault="00A443CF" w:rsidP="001B059F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שירותי הסעד (תיקון </w:t>
      </w:r>
      <w:r w:rsidR="001B059F">
        <w:rPr>
          <w:rFonts w:hint="eastAsia"/>
          <w:rtl/>
        </w:rPr>
        <w:t>–</w:t>
      </w:r>
      <w:r>
        <w:rPr>
          <w:rFonts w:hint="cs"/>
          <w:rtl/>
        </w:rPr>
        <w:t xml:space="preserve"> הקמת מרכזים למיצוי זכויות), התשע"ה</w:t>
      </w:r>
      <w:r w:rsidR="001B059F">
        <w:rPr>
          <w:rFonts w:hint="eastAsia"/>
          <w:rtl/>
        </w:rPr>
        <w:t>–</w:t>
      </w:r>
      <w:r>
        <w:rPr>
          <w:rFonts w:hint="cs"/>
          <w:rtl/>
        </w:rPr>
        <w:t>2015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24"/>
        <w:gridCol w:w="624"/>
        <w:gridCol w:w="624"/>
        <w:gridCol w:w="624"/>
        <w:gridCol w:w="4026"/>
      </w:tblGrid>
      <w:tr w:rsidR="00C735B9" w14:paraId="652E20B1" w14:textId="77777777" w:rsidTr="00C735B9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1E57AA90" w14:textId="631C130D" w:rsidR="00C735B9" w:rsidRDefault="00C735B9" w:rsidP="00502893">
            <w:pPr>
              <w:pStyle w:val="TableSideHeading"/>
              <w:tabs>
                <w:tab w:val="clear" w:pos="1247"/>
                <w:tab w:val="left" w:pos="1387"/>
              </w:tabs>
              <w:ind w:right="0"/>
              <w:rPr>
                <w:sz w:val="26"/>
                <w:rtl/>
              </w:rPr>
            </w:pPr>
            <w:r>
              <w:rPr>
                <w:sz w:val="26"/>
                <w:rtl/>
              </w:rPr>
              <w:t>הוספת סעיף 3א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4372A89" w14:textId="77777777" w:rsidR="00C735B9" w:rsidRDefault="00C735B9" w:rsidP="00502893">
            <w:pPr>
              <w:pStyle w:val="TableText"/>
              <w:rPr>
                <w:rtl/>
              </w:rPr>
            </w:pPr>
            <w:r>
              <w:rPr>
                <w:rtl/>
              </w:rPr>
              <w:t>1.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678389" w14:textId="4126A571" w:rsidR="00C735B9" w:rsidRDefault="00C735B9" w:rsidP="009820D6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בחוק שירותי הסעד, התשי"ח–1958</w:t>
            </w:r>
            <w:r w:rsidR="009820D6">
              <w:rPr>
                <w:rStyle w:val="a6"/>
                <w:sz w:val="26"/>
                <w:rtl/>
              </w:rPr>
              <w:footnoteReference w:id="2"/>
            </w:r>
            <w:r>
              <w:rPr>
                <w:sz w:val="26"/>
                <w:rtl/>
              </w:rPr>
              <w:t>, אחרי סעיף 3 יבוא:</w:t>
            </w:r>
          </w:p>
        </w:tc>
      </w:tr>
      <w:tr w:rsidR="00C735B9" w14:paraId="18B8A21E" w14:textId="77777777" w:rsidTr="00C73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35A92528" w14:textId="77777777" w:rsidR="00C735B9" w:rsidRDefault="00C735B9" w:rsidP="00502893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350336DD" w14:textId="77777777" w:rsidR="00C735B9" w:rsidRDefault="00C735B9" w:rsidP="00502893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575C9320" w14:textId="7A94BE3E" w:rsidR="00C735B9" w:rsidRDefault="00C735B9" w:rsidP="009820D6">
            <w:pPr>
              <w:pStyle w:val="TableInnerSideHeading"/>
            </w:pPr>
            <w:r>
              <w:rPr>
                <w:rtl/>
              </w:rPr>
              <w:t xml:space="preserve">"מרכז </w:t>
            </w:r>
            <w:r w:rsidR="009820D6">
              <w:rPr>
                <w:rFonts w:hint="cs"/>
                <w:rtl/>
              </w:rPr>
              <w:t>ל</w:t>
            </w:r>
            <w:r>
              <w:rPr>
                <w:rtl/>
              </w:rPr>
              <w:t>מיצוי זכויות</w:t>
            </w:r>
          </w:p>
        </w:tc>
        <w:tc>
          <w:tcPr>
            <w:tcW w:w="624" w:type="dxa"/>
          </w:tcPr>
          <w:p w14:paraId="15852079" w14:textId="77777777" w:rsidR="00C735B9" w:rsidRDefault="00C735B9" w:rsidP="00502893">
            <w:pPr>
              <w:pStyle w:val="TableText"/>
            </w:pPr>
            <w:r>
              <w:rPr>
                <w:rtl/>
              </w:rPr>
              <w:t>3א.</w:t>
            </w:r>
          </w:p>
        </w:tc>
        <w:tc>
          <w:tcPr>
            <w:tcW w:w="4650" w:type="dxa"/>
            <w:gridSpan w:val="2"/>
          </w:tcPr>
          <w:p w14:paraId="2F3B8060" w14:textId="2BD505D5" w:rsidR="00C735B9" w:rsidRDefault="00C735B9" w:rsidP="009820D6">
            <w:pPr>
              <w:pStyle w:val="TableBlock"/>
            </w:pPr>
            <w:r>
              <w:rPr>
                <w:rtl/>
              </w:rPr>
              <w:t>(א)</w:t>
            </w:r>
            <w:r>
              <w:rPr>
                <w:rtl/>
              </w:rPr>
              <w:tab/>
              <w:t>בצמוד לכל מחלקה לשירותים חברתיים</w:t>
            </w:r>
            <w:r w:rsidR="009820D6">
              <w:rPr>
                <w:rFonts w:hint="cs"/>
                <w:rtl/>
              </w:rPr>
              <w:t xml:space="preserve"> שתיקבע לפי הוראות סעיף קטן (ב)</w:t>
            </w:r>
            <w:r>
              <w:rPr>
                <w:rtl/>
              </w:rPr>
              <w:t xml:space="preserve"> וכחלק משירותי המחלקה יוקם מרכז למיצוי זכויות, ואלה יהיו, בין השאר, תפקידיו:</w:t>
            </w:r>
          </w:p>
        </w:tc>
      </w:tr>
      <w:tr w:rsidR="00C735B9" w14:paraId="1AAF9543" w14:textId="77777777" w:rsidTr="00C73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7E30180F" w14:textId="77777777" w:rsidR="00C735B9" w:rsidRDefault="00C735B9" w:rsidP="00502893">
            <w:pPr>
              <w:pStyle w:val="TableSideHeading"/>
            </w:pPr>
          </w:p>
        </w:tc>
        <w:tc>
          <w:tcPr>
            <w:tcW w:w="624" w:type="dxa"/>
          </w:tcPr>
          <w:p w14:paraId="1617FC60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3139AB32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0C69591C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408C46A3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607EAF48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771755B6" w14:textId="77777777" w:rsidR="00C735B9" w:rsidRDefault="00C735B9" w:rsidP="00502893">
            <w:pPr>
              <w:pStyle w:val="TableText"/>
            </w:pPr>
          </w:p>
        </w:tc>
        <w:tc>
          <w:tcPr>
            <w:tcW w:w="4026" w:type="dxa"/>
          </w:tcPr>
          <w:p w14:paraId="55403149" w14:textId="4685556F" w:rsidR="00C735B9" w:rsidRDefault="00C735B9" w:rsidP="00502893">
            <w:pPr>
              <w:pStyle w:val="TableBlock"/>
            </w:pPr>
            <w:r>
              <w:rPr>
                <w:rtl/>
              </w:rPr>
              <w:t>(1)</w:t>
            </w:r>
            <w:r>
              <w:rPr>
                <w:rtl/>
              </w:rPr>
              <w:tab/>
              <w:t xml:space="preserve">ריכוז המידע הנוגע לזכויותיהם של אנשים  </w:t>
            </w:r>
            <w:r w:rsidR="009820D6">
              <w:rPr>
                <w:rFonts w:hint="cs"/>
                <w:rtl/>
              </w:rPr>
              <w:t>מעוטי יכולת</w:t>
            </w:r>
            <w:r>
              <w:rPr>
                <w:rtl/>
              </w:rPr>
              <w:t>;</w:t>
            </w:r>
          </w:p>
        </w:tc>
      </w:tr>
      <w:tr w:rsidR="00C735B9" w14:paraId="0DA37F5D" w14:textId="77777777" w:rsidTr="00C73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5CFDF9B7" w14:textId="77777777" w:rsidR="00C735B9" w:rsidRDefault="00C735B9" w:rsidP="00502893">
            <w:pPr>
              <w:pStyle w:val="TableSideHeading"/>
            </w:pPr>
          </w:p>
        </w:tc>
        <w:tc>
          <w:tcPr>
            <w:tcW w:w="624" w:type="dxa"/>
          </w:tcPr>
          <w:p w14:paraId="1661BB2C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3E564AB8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0F7D567B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566B53CC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6E7A8BE7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6E56121A" w14:textId="77777777" w:rsidR="00C735B9" w:rsidRDefault="00C735B9" w:rsidP="00502893">
            <w:pPr>
              <w:pStyle w:val="TableText"/>
            </w:pPr>
          </w:p>
        </w:tc>
        <w:tc>
          <w:tcPr>
            <w:tcW w:w="4026" w:type="dxa"/>
          </w:tcPr>
          <w:p w14:paraId="770172F1" w14:textId="20A41265" w:rsidR="00C735B9" w:rsidRDefault="00C735B9" w:rsidP="009820D6">
            <w:pPr>
              <w:pStyle w:val="TableBlock"/>
            </w:pPr>
            <w:r>
              <w:rPr>
                <w:rtl/>
              </w:rPr>
              <w:t>(2)</w:t>
            </w:r>
            <w:r>
              <w:rPr>
                <w:rtl/>
              </w:rPr>
              <w:tab/>
            </w:r>
            <w:r w:rsidR="009820D6">
              <w:rPr>
                <w:rFonts w:hint="cs"/>
                <w:rtl/>
              </w:rPr>
              <w:t>מתן סיוע לפונים למרכז, לרבות</w:t>
            </w:r>
            <w:r w:rsidR="007263B3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מתן מידע</w:t>
            </w:r>
            <w:r w:rsidR="009820D6">
              <w:rPr>
                <w:rFonts w:hint="cs"/>
                <w:rtl/>
              </w:rPr>
              <w:t>, ליווי הפונים בהליכים למימוש זכויות ומעקב אחר מיצוי הזכויות על ידי הפונים;</w:t>
            </w:r>
          </w:p>
        </w:tc>
      </w:tr>
      <w:tr w:rsidR="00C735B9" w14:paraId="76D0A677" w14:textId="77777777" w:rsidTr="00C73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5459D758" w14:textId="77777777" w:rsidR="00C735B9" w:rsidRDefault="00C735B9" w:rsidP="00502893">
            <w:pPr>
              <w:pStyle w:val="TableSideHeading"/>
            </w:pPr>
          </w:p>
        </w:tc>
        <w:tc>
          <w:tcPr>
            <w:tcW w:w="624" w:type="dxa"/>
          </w:tcPr>
          <w:p w14:paraId="15A72C87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4963FD8D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1C02E124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3583F087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21AF4BB4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5CF7F801" w14:textId="77777777" w:rsidR="00C735B9" w:rsidRDefault="00C735B9" w:rsidP="00502893">
            <w:pPr>
              <w:pStyle w:val="TableText"/>
            </w:pPr>
          </w:p>
        </w:tc>
        <w:tc>
          <w:tcPr>
            <w:tcW w:w="4026" w:type="dxa"/>
          </w:tcPr>
          <w:p w14:paraId="2FF2205F" w14:textId="77777777" w:rsidR="00C735B9" w:rsidRDefault="00C735B9" w:rsidP="00502893">
            <w:pPr>
              <w:pStyle w:val="TableBlock"/>
              <w:rPr>
                <w:rtl/>
              </w:rPr>
            </w:pPr>
            <w:r>
              <w:rPr>
                <w:rtl/>
              </w:rPr>
              <w:t>(3)</w:t>
            </w:r>
            <w:r>
              <w:rPr>
                <w:rtl/>
              </w:rPr>
              <w:tab/>
              <w:t>ריכוז מידע עבור העובדים הסוציאליים במחלקות לשירותים חברתיים;</w:t>
            </w:r>
          </w:p>
        </w:tc>
      </w:tr>
      <w:tr w:rsidR="00C735B9" w14:paraId="16465135" w14:textId="77777777" w:rsidTr="00C73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3D8F07C9" w14:textId="77777777" w:rsidR="00C735B9" w:rsidRDefault="00C735B9" w:rsidP="00502893">
            <w:pPr>
              <w:pStyle w:val="TableSideHeading"/>
            </w:pPr>
          </w:p>
        </w:tc>
        <w:tc>
          <w:tcPr>
            <w:tcW w:w="624" w:type="dxa"/>
          </w:tcPr>
          <w:p w14:paraId="332A7AB8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7FB2B05E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052509F4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78FB763B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61F3B629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5DA01EFB" w14:textId="77777777" w:rsidR="00C735B9" w:rsidRDefault="00C735B9" w:rsidP="00502893">
            <w:pPr>
              <w:pStyle w:val="TableText"/>
            </w:pPr>
          </w:p>
        </w:tc>
        <w:tc>
          <w:tcPr>
            <w:tcW w:w="4026" w:type="dxa"/>
          </w:tcPr>
          <w:p w14:paraId="62D16616" w14:textId="7518107E" w:rsidR="00C735B9" w:rsidRDefault="00C735B9" w:rsidP="00502893">
            <w:pPr>
              <w:pStyle w:val="TableBlock"/>
              <w:rPr>
                <w:rtl/>
              </w:rPr>
            </w:pPr>
            <w:r>
              <w:rPr>
                <w:rtl/>
              </w:rPr>
              <w:t>(4)</w:t>
            </w:r>
            <w:r>
              <w:rPr>
                <w:rtl/>
              </w:rPr>
              <w:tab/>
              <w:t>שירותי ייעוץ משפטי.</w:t>
            </w:r>
          </w:p>
        </w:tc>
      </w:tr>
      <w:tr w:rsidR="00C735B9" w14:paraId="4A39F621" w14:textId="77777777" w:rsidTr="00C73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1" w:type="dxa"/>
          </w:tcPr>
          <w:p w14:paraId="22A6115B" w14:textId="77777777" w:rsidR="00C735B9" w:rsidRPr="008C731F" w:rsidRDefault="00C735B9" w:rsidP="00502893">
            <w:pPr>
              <w:pStyle w:val="TableSideHeading"/>
            </w:pPr>
          </w:p>
        </w:tc>
        <w:tc>
          <w:tcPr>
            <w:tcW w:w="624" w:type="dxa"/>
          </w:tcPr>
          <w:p w14:paraId="57F4A540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5F74763E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11E91B3E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36C6D086" w14:textId="77777777" w:rsidR="00C735B9" w:rsidRDefault="00C735B9" w:rsidP="00502893">
            <w:pPr>
              <w:pStyle w:val="TableText"/>
            </w:pPr>
          </w:p>
        </w:tc>
        <w:tc>
          <w:tcPr>
            <w:tcW w:w="624" w:type="dxa"/>
          </w:tcPr>
          <w:p w14:paraId="043A6499" w14:textId="77777777" w:rsidR="00C735B9" w:rsidRDefault="00C735B9" w:rsidP="00502893">
            <w:pPr>
              <w:pStyle w:val="TableText"/>
            </w:pPr>
          </w:p>
        </w:tc>
        <w:tc>
          <w:tcPr>
            <w:tcW w:w="4650" w:type="dxa"/>
            <w:gridSpan w:val="2"/>
          </w:tcPr>
          <w:p w14:paraId="4F31F2BC" w14:textId="2EB60480" w:rsidR="00C735B9" w:rsidRDefault="00C735B9" w:rsidP="001B059F">
            <w:pPr>
              <w:pStyle w:val="TableBlock"/>
              <w:rPr>
                <w:rtl/>
              </w:rPr>
            </w:pPr>
            <w:r>
              <w:rPr>
                <w:rtl/>
              </w:rPr>
              <w:t>(ב)</w:t>
            </w:r>
            <w:r>
              <w:rPr>
                <w:rtl/>
              </w:rPr>
              <w:tab/>
              <w:t xml:space="preserve">שר הרווחה והשירותים החברתיים יקבע הוראות לעניין </w:t>
            </w:r>
            <w:r w:rsidR="009820D6">
              <w:rPr>
                <w:rFonts w:hint="cs"/>
                <w:rtl/>
              </w:rPr>
              <w:t xml:space="preserve">מספר </w:t>
            </w:r>
            <w:r>
              <w:rPr>
                <w:rFonts w:hint="cs"/>
                <w:rtl/>
              </w:rPr>
              <w:t>המרכזים</w:t>
            </w:r>
            <w:r>
              <w:rPr>
                <w:rtl/>
              </w:rPr>
              <w:t xml:space="preserve"> </w:t>
            </w:r>
            <w:r w:rsidR="009820D6">
              <w:rPr>
                <w:rFonts w:hint="cs"/>
                <w:rtl/>
              </w:rPr>
              <w:t xml:space="preserve">שיוקמו </w:t>
            </w:r>
            <w:r>
              <w:rPr>
                <w:rtl/>
              </w:rPr>
              <w:t xml:space="preserve">כאמור  בסעיף קטן (א) </w:t>
            </w:r>
            <w:r w:rsidR="009820D6">
              <w:rPr>
                <w:rFonts w:hint="cs"/>
                <w:rtl/>
              </w:rPr>
              <w:t>ומיקומם</w:t>
            </w:r>
            <w:r>
              <w:rPr>
                <w:rtl/>
              </w:rPr>
              <w:t>, ובלבד שמספרם לא יפחת מ-110</w:t>
            </w:r>
            <w:r w:rsidR="00D44A4B">
              <w:rPr>
                <w:rFonts w:hint="cs"/>
                <w:rtl/>
              </w:rPr>
              <w:t>,</w:t>
            </w:r>
            <w:r>
              <w:rPr>
                <w:rtl/>
              </w:rPr>
              <w:t xml:space="preserve"> וכן </w:t>
            </w:r>
            <w:r w:rsidR="009820D6">
              <w:rPr>
                <w:rFonts w:hint="cs"/>
                <w:rtl/>
              </w:rPr>
              <w:t xml:space="preserve">רשאי </w:t>
            </w:r>
            <w:r w:rsidR="001B059F">
              <w:rPr>
                <w:rFonts w:hint="cs"/>
                <w:rtl/>
              </w:rPr>
              <w:t>הוא</w:t>
            </w:r>
            <w:r w:rsidR="001B059F">
              <w:rPr>
                <w:rFonts w:hint="cs"/>
                <w:rtl/>
              </w:rPr>
              <w:t xml:space="preserve"> </w:t>
            </w:r>
            <w:r w:rsidR="009820D6">
              <w:rPr>
                <w:rFonts w:hint="cs"/>
                <w:rtl/>
              </w:rPr>
              <w:t xml:space="preserve">לקבוע </w:t>
            </w:r>
            <w:r>
              <w:rPr>
                <w:rtl/>
              </w:rPr>
              <w:t xml:space="preserve">הוראות נוספות לעניין תפקידי </w:t>
            </w:r>
            <w:r w:rsidR="009820D6">
              <w:rPr>
                <w:rFonts w:hint="cs"/>
                <w:rtl/>
              </w:rPr>
              <w:t>המרכזים והתחומים שלגביהם יינתן סיוע במרכזים</w:t>
            </w:r>
            <w:r>
              <w:rPr>
                <w:rtl/>
              </w:rPr>
              <w:t>."</w:t>
            </w:r>
          </w:p>
        </w:tc>
      </w:tr>
    </w:tbl>
    <w:p w14:paraId="5C17E1EC" w14:textId="77777777" w:rsidR="00C735B9" w:rsidRDefault="00C735B9" w:rsidP="00C735B9">
      <w:pPr>
        <w:pStyle w:val="HeadDivreiHesber"/>
        <w:rPr>
          <w:rtl/>
        </w:rPr>
      </w:pPr>
      <w:r>
        <w:rPr>
          <w:rtl/>
        </w:rPr>
        <w:t>דברי הסבר</w:t>
      </w:r>
      <w:r>
        <w:rPr>
          <w:rFonts w:hint="cs"/>
          <w:rtl/>
        </w:rPr>
        <w:t xml:space="preserve">   </w:t>
      </w:r>
    </w:p>
    <w:p w14:paraId="554B2243" w14:textId="276269AD" w:rsidR="00C735B9" w:rsidRPr="00D44A4B" w:rsidRDefault="00C735B9" w:rsidP="00992280">
      <w:pPr>
        <w:pStyle w:val="Hesber"/>
        <w:spacing w:line="240" w:lineRule="auto"/>
        <w:rPr>
          <w:rtl/>
        </w:rPr>
      </w:pPr>
      <w:r w:rsidRPr="00D44A4B">
        <w:rPr>
          <w:rFonts w:hint="cs"/>
          <w:rtl/>
        </w:rPr>
        <w:t>הקמת מרכזי</w:t>
      </w:r>
      <w:r w:rsidR="00533C34" w:rsidRPr="00D44A4B">
        <w:rPr>
          <w:rFonts w:hint="cs"/>
          <w:rtl/>
        </w:rPr>
        <w:t>ם למיצוי</w:t>
      </w:r>
      <w:r w:rsidR="007263B3" w:rsidRPr="00D44A4B">
        <w:rPr>
          <w:rFonts w:hint="cs"/>
          <w:rtl/>
        </w:rPr>
        <w:t xml:space="preserve"> זכויות היא צעד מרכזי ב</w:t>
      </w:r>
      <w:r w:rsidRPr="00D44A4B">
        <w:rPr>
          <w:rFonts w:hint="cs"/>
          <w:rtl/>
        </w:rPr>
        <w:t xml:space="preserve">התמודדות עם </w:t>
      </w:r>
      <w:r w:rsidR="007263B3" w:rsidRPr="00D44A4B">
        <w:rPr>
          <w:rFonts w:hint="cs"/>
          <w:rtl/>
        </w:rPr>
        <w:t>ה</w:t>
      </w:r>
      <w:r w:rsidRPr="00D44A4B">
        <w:rPr>
          <w:rFonts w:hint="cs"/>
          <w:rtl/>
        </w:rPr>
        <w:t>שיעורי</w:t>
      </w:r>
      <w:r w:rsidR="007263B3" w:rsidRPr="00D44A4B">
        <w:rPr>
          <w:rFonts w:hint="cs"/>
          <w:rtl/>
        </w:rPr>
        <w:t>ם הנמוכים של</w:t>
      </w:r>
      <w:r w:rsidRPr="00D44A4B">
        <w:rPr>
          <w:rFonts w:hint="cs"/>
          <w:rtl/>
        </w:rPr>
        <w:t xml:space="preserve"> מיצוי הזכויות בישראל. מרכזים אלה </w:t>
      </w:r>
      <w:r w:rsidR="007263B3" w:rsidRPr="00D44A4B">
        <w:rPr>
          <w:rFonts w:hint="cs"/>
          <w:rtl/>
        </w:rPr>
        <w:t>ייתנו סיוע בתחומים הקשורים</w:t>
      </w:r>
      <w:r w:rsidRPr="00D44A4B">
        <w:rPr>
          <w:rtl/>
        </w:rPr>
        <w:t xml:space="preserve"> </w:t>
      </w:r>
      <w:r w:rsidR="001B059F">
        <w:rPr>
          <w:rtl/>
        </w:rPr>
        <w:t>לבירוקרטיה והתנהלות מול הרשויות</w:t>
      </w:r>
      <w:r w:rsidR="001B059F">
        <w:rPr>
          <w:rFonts w:hint="cs"/>
          <w:rtl/>
        </w:rPr>
        <w:t xml:space="preserve"> </w:t>
      </w:r>
      <w:r w:rsidRPr="00D44A4B">
        <w:rPr>
          <w:rFonts w:hint="cs"/>
          <w:rtl/>
        </w:rPr>
        <w:t>דוגמת</w:t>
      </w:r>
      <w:r w:rsidR="007263B3" w:rsidRPr="00D44A4B">
        <w:rPr>
          <w:rFonts w:hint="cs"/>
          <w:rtl/>
        </w:rPr>
        <w:t xml:space="preserve"> </w:t>
      </w:r>
      <w:r w:rsidR="00533C34" w:rsidRPr="00D44A4B">
        <w:rPr>
          <w:rFonts w:hint="cs"/>
          <w:rtl/>
        </w:rPr>
        <w:t>ה</w:t>
      </w:r>
      <w:r w:rsidRPr="00D44A4B">
        <w:rPr>
          <w:rtl/>
        </w:rPr>
        <w:t xml:space="preserve">מוסד לביטוח לאומי, משרד השיכון, הוצאה לפועל, </w:t>
      </w:r>
      <w:r w:rsidR="00D44A4B" w:rsidRPr="00D44A4B">
        <w:rPr>
          <w:rFonts w:hint="cs"/>
          <w:rtl/>
        </w:rPr>
        <w:t>רשויות מקומיות</w:t>
      </w:r>
      <w:r w:rsidRPr="00D44A4B">
        <w:rPr>
          <w:rtl/>
        </w:rPr>
        <w:t xml:space="preserve">, </w:t>
      </w:r>
      <w:r w:rsidRPr="00D44A4B">
        <w:rPr>
          <w:rFonts w:hint="cs"/>
          <w:rtl/>
        </w:rPr>
        <w:t>ש</w:t>
      </w:r>
      <w:r w:rsidR="00533C34" w:rsidRPr="00D44A4B">
        <w:rPr>
          <w:rFonts w:hint="cs"/>
          <w:rtl/>
        </w:rPr>
        <w:t>י</w:t>
      </w:r>
      <w:r w:rsidRPr="00D44A4B">
        <w:rPr>
          <w:rFonts w:hint="cs"/>
          <w:rtl/>
        </w:rPr>
        <w:t>רותי</w:t>
      </w:r>
      <w:r w:rsidRPr="00D44A4B">
        <w:rPr>
          <w:rtl/>
        </w:rPr>
        <w:t xml:space="preserve"> הבריאות</w:t>
      </w:r>
      <w:r w:rsidRPr="00D44A4B">
        <w:rPr>
          <w:rFonts w:hint="cs"/>
          <w:rtl/>
        </w:rPr>
        <w:t xml:space="preserve"> ועוד. בנוסף מרכזים אלה יתנו מענה משפטי וייעוץ</w:t>
      </w:r>
      <w:r w:rsidRPr="00D44A4B">
        <w:rPr>
          <w:rtl/>
        </w:rPr>
        <w:t xml:space="preserve"> </w:t>
      </w:r>
      <w:r w:rsidR="005213F8">
        <w:rPr>
          <w:rFonts w:hint="cs"/>
          <w:rtl/>
        </w:rPr>
        <w:t xml:space="preserve">לעניין </w:t>
      </w:r>
      <w:r w:rsidRPr="00D44A4B">
        <w:rPr>
          <w:rtl/>
        </w:rPr>
        <w:t>חובות וליווי</w:t>
      </w:r>
      <w:r w:rsidR="005213F8">
        <w:rPr>
          <w:rFonts w:hint="cs"/>
          <w:rtl/>
        </w:rPr>
        <w:t xml:space="preserve"> של</w:t>
      </w:r>
      <w:r w:rsidRPr="00D44A4B">
        <w:rPr>
          <w:rtl/>
        </w:rPr>
        <w:t xml:space="preserve"> חייבים (</w:t>
      </w:r>
      <w:r w:rsidR="005213F8">
        <w:rPr>
          <w:rFonts w:hint="cs"/>
          <w:rtl/>
        </w:rPr>
        <w:t>לרבות</w:t>
      </w:r>
      <w:r w:rsidRPr="00D44A4B">
        <w:rPr>
          <w:rtl/>
        </w:rPr>
        <w:t xml:space="preserve"> חובות ח</w:t>
      </w:r>
      <w:r w:rsidR="005213F8">
        <w:rPr>
          <w:rtl/>
        </w:rPr>
        <w:t>שמל ומים, ארנונה, חובות לבנקים</w:t>
      </w:r>
      <w:r w:rsidR="005213F8">
        <w:rPr>
          <w:rFonts w:hint="cs"/>
          <w:rtl/>
        </w:rPr>
        <w:t xml:space="preserve"> ו</w:t>
      </w:r>
      <w:r w:rsidRPr="00D44A4B">
        <w:rPr>
          <w:rtl/>
        </w:rPr>
        <w:t xml:space="preserve">הוצאה לפועל). </w:t>
      </w:r>
    </w:p>
    <w:p w14:paraId="572B867A" w14:textId="398E0A96" w:rsidR="00C735B9" w:rsidRPr="00D44A4B" w:rsidRDefault="00C735B9" w:rsidP="00992280">
      <w:pPr>
        <w:pStyle w:val="Hesber"/>
        <w:spacing w:line="240" w:lineRule="auto"/>
        <w:rPr>
          <w:rtl/>
        </w:rPr>
      </w:pPr>
      <w:r w:rsidRPr="00D44A4B">
        <w:rPr>
          <w:rtl/>
        </w:rPr>
        <w:t xml:space="preserve">תפקידי המרכז </w:t>
      </w:r>
      <w:r w:rsidR="00533C34" w:rsidRPr="00D44A4B">
        <w:rPr>
          <w:rFonts w:hint="cs"/>
          <w:rtl/>
        </w:rPr>
        <w:t xml:space="preserve">יכללו ריכוז </w:t>
      </w:r>
      <w:r w:rsidRPr="00D44A4B">
        <w:rPr>
          <w:rtl/>
        </w:rPr>
        <w:t>המידע הנוגע לזכויותיהם של אנשים החיים בעוני</w:t>
      </w:r>
      <w:r w:rsidRPr="00D44A4B">
        <w:rPr>
          <w:rFonts w:hint="cs"/>
          <w:rtl/>
        </w:rPr>
        <w:t xml:space="preserve"> בכל תחומי החיים</w:t>
      </w:r>
      <w:r w:rsidR="00533C34" w:rsidRPr="00D44A4B">
        <w:rPr>
          <w:rFonts w:hint="cs"/>
          <w:rtl/>
        </w:rPr>
        <w:t xml:space="preserve"> וליווי</w:t>
      </w:r>
      <w:r w:rsidRPr="00D44A4B">
        <w:rPr>
          <w:rtl/>
        </w:rPr>
        <w:t xml:space="preserve"> </w:t>
      </w:r>
      <w:r w:rsidR="005213F8">
        <w:rPr>
          <w:rFonts w:hint="cs"/>
          <w:rtl/>
        </w:rPr>
        <w:t xml:space="preserve">של אדם </w:t>
      </w:r>
      <w:r w:rsidRPr="00D44A4B">
        <w:rPr>
          <w:rtl/>
        </w:rPr>
        <w:t>הפונה</w:t>
      </w:r>
      <w:r w:rsidR="005213F8">
        <w:rPr>
          <w:rFonts w:hint="cs"/>
          <w:rtl/>
        </w:rPr>
        <w:t xml:space="preserve"> למרכז</w:t>
      </w:r>
      <w:r w:rsidRPr="00D44A4B">
        <w:rPr>
          <w:rtl/>
        </w:rPr>
        <w:t xml:space="preserve"> למימוש זכויותיו מול הרשויות</w:t>
      </w:r>
      <w:r w:rsidR="00533C34" w:rsidRPr="00D44A4B">
        <w:rPr>
          <w:rFonts w:hint="cs"/>
          <w:rtl/>
        </w:rPr>
        <w:t xml:space="preserve">. כמו כן, </w:t>
      </w:r>
      <w:r w:rsidR="007263B3" w:rsidRPr="00D44A4B">
        <w:rPr>
          <w:rFonts w:hint="cs"/>
          <w:rtl/>
        </w:rPr>
        <w:t xml:space="preserve">המרכזים </w:t>
      </w:r>
      <w:r w:rsidR="00533C34" w:rsidRPr="00D44A4B">
        <w:rPr>
          <w:rFonts w:hint="cs"/>
          <w:rtl/>
        </w:rPr>
        <w:t xml:space="preserve">ירכזו </w:t>
      </w:r>
      <w:r w:rsidRPr="00D44A4B">
        <w:rPr>
          <w:rtl/>
        </w:rPr>
        <w:t>מידע עבור העובדים הסוציאליים במחלקות לשירותים חברתיים</w:t>
      </w:r>
      <w:r w:rsidRPr="00D44A4B">
        <w:rPr>
          <w:rFonts w:hint="cs"/>
          <w:rtl/>
        </w:rPr>
        <w:t xml:space="preserve">. </w:t>
      </w:r>
    </w:p>
    <w:p w14:paraId="36845784" w14:textId="1F4F70AD" w:rsidR="005C0293" w:rsidRPr="00D44A4B" w:rsidRDefault="00533C34" w:rsidP="00992280">
      <w:pPr>
        <w:pStyle w:val="Hesber"/>
        <w:spacing w:line="240" w:lineRule="auto"/>
        <w:rPr>
          <w:rtl/>
        </w:rPr>
      </w:pPr>
      <w:r w:rsidRPr="00D44A4B">
        <w:rPr>
          <w:rtl/>
        </w:rPr>
        <w:t>הצעת חוק זו הוכנה בהתאם להמלצות דוח הוועדה למלחמה בעוני בישראל</w:t>
      </w:r>
      <w:r w:rsidR="005213F8">
        <w:rPr>
          <w:rFonts w:hint="cs"/>
          <w:rtl/>
        </w:rPr>
        <w:t xml:space="preserve"> שמינה שר הרווחה</w:t>
      </w:r>
      <w:r w:rsidR="001B059F">
        <w:rPr>
          <w:rFonts w:hint="cs"/>
          <w:rtl/>
        </w:rPr>
        <w:t xml:space="preserve"> והשירותים החברתיים</w:t>
      </w:r>
      <w:r w:rsidR="005213F8">
        <w:rPr>
          <w:rFonts w:hint="cs"/>
          <w:rtl/>
        </w:rPr>
        <w:t xml:space="preserve"> לשעבר, חבר הכנסת</w:t>
      </w:r>
      <w:r w:rsidRPr="00D44A4B">
        <w:rPr>
          <w:rFonts w:hint="cs"/>
          <w:rtl/>
        </w:rPr>
        <w:t xml:space="preserve"> מאיר כהן.</w:t>
      </w:r>
    </w:p>
    <w:p w14:paraId="06045D3A" w14:textId="53444E2C" w:rsidR="005C0293" w:rsidRPr="00D44A4B" w:rsidRDefault="005C0293" w:rsidP="00992280">
      <w:pPr>
        <w:pStyle w:val="Hesber"/>
        <w:spacing w:line="240" w:lineRule="auto"/>
        <w:rPr>
          <w:rtl/>
        </w:rPr>
      </w:pPr>
      <w:r w:rsidRPr="00D44A4B">
        <w:rPr>
          <w:rFonts w:hint="cs"/>
          <w:rtl/>
        </w:rPr>
        <w:t xml:space="preserve">  </w:t>
      </w:r>
      <w:r w:rsidRPr="00D44A4B">
        <w:rPr>
          <w:rtl/>
        </w:rPr>
        <w:t>להלן</w:t>
      </w:r>
      <w:r w:rsidRPr="00D44A4B">
        <w:rPr>
          <w:rFonts w:hint="cs"/>
          <w:rtl/>
        </w:rPr>
        <w:t xml:space="preserve"> המלצת הדוח לעניין</w:t>
      </w:r>
      <w:r w:rsidRPr="00D44A4B">
        <w:rPr>
          <w:rtl/>
        </w:rPr>
        <w:t xml:space="preserve"> </w:t>
      </w:r>
      <w:r w:rsidR="007263B3" w:rsidRPr="00D44A4B">
        <w:rPr>
          <w:rFonts w:hint="cs"/>
          <w:rtl/>
        </w:rPr>
        <w:t>פריסת</w:t>
      </w:r>
      <w:r w:rsidRPr="00D44A4B">
        <w:rPr>
          <w:rtl/>
        </w:rPr>
        <w:t xml:space="preserve"> המרכזים </w:t>
      </w:r>
      <w:r w:rsidR="007263B3" w:rsidRPr="00D44A4B">
        <w:rPr>
          <w:rFonts w:hint="cs"/>
          <w:rtl/>
        </w:rPr>
        <w:t xml:space="preserve">ברשויות המקומיות </w:t>
      </w:r>
      <w:r w:rsidRPr="00D44A4B">
        <w:rPr>
          <w:rFonts w:hint="cs"/>
          <w:rtl/>
        </w:rPr>
        <w:t>-</w:t>
      </w:r>
    </w:p>
    <w:p w14:paraId="70793BEE" w14:textId="1383118C" w:rsidR="005C0293" w:rsidRPr="00D44A4B" w:rsidRDefault="005C0293" w:rsidP="00992280">
      <w:pPr>
        <w:pStyle w:val="Hesber"/>
        <w:spacing w:line="240" w:lineRule="auto"/>
        <w:rPr>
          <w:rtl/>
        </w:rPr>
      </w:pPr>
      <w:r w:rsidRPr="00D44A4B">
        <w:rPr>
          <w:rFonts w:hint="cs"/>
          <w:rtl/>
        </w:rPr>
        <w:t xml:space="preserve">10 מרכזי זכויות </w:t>
      </w:r>
      <w:r w:rsidR="005213F8">
        <w:rPr>
          <w:rFonts w:hint="cs"/>
          <w:rtl/>
        </w:rPr>
        <w:t xml:space="preserve">יוקמו </w:t>
      </w:r>
      <w:r w:rsidRPr="00D44A4B">
        <w:rPr>
          <w:rFonts w:hint="cs"/>
          <w:rtl/>
        </w:rPr>
        <w:t>בערים הגדולות שאינן מפעילות מרכזי זכויות.</w:t>
      </w:r>
    </w:p>
    <w:p w14:paraId="75FD0CB3" w14:textId="04EBF86A" w:rsidR="005C0293" w:rsidRPr="00D44A4B" w:rsidRDefault="005C0293" w:rsidP="00992280">
      <w:pPr>
        <w:pStyle w:val="Hesber"/>
        <w:spacing w:line="240" w:lineRule="auto"/>
        <w:rPr>
          <w:rtl/>
        </w:rPr>
      </w:pPr>
      <w:r w:rsidRPr="00D44A4B">
        <w:rPr>
          <w:rFonts w:hint="cs"/>
          <w:rtl/>
        </w:rPr>
        <w:t xml:space="preserve"> 64 מרכזי זכויות</w:t>
      </w:r>
      <w:r w:rsidR="005213F8">
        <w:rPr>
          <w:rFonts w:hint="cs"/>
          <w:rtl/>
        </w:rPr>
        <w:t xml:space="preserve"> יוקמו</w:t>
      </w:r>
      <w:r w:rsidRPr="00D44A4B">
        <w:rPr>
          <w:rFonts w:hint="cs"/>
          <w:rtl/>
        </w:rPr>
        <w:t xml:space="preserve"> ברשויות חלשות ובנוניות (</w:t>
      </w:r>
      <w:r w:rsidR="007263B3" w:rsidRPr="00D44A4B">
        <w:rPr>
          <w:rFonts w:hint="cs"/>
          <w:rtl/>
        </w:rPr>
        <w:t xml:space="preserve">דירוג </w:t>
      </w:r>
      <w:r w:rsidRPr="00D44A4B">
        <w:rPr>
          <w:rFonts w:hint="cs"/>
          <w:rtl/>
        </w:rPr>
        <w:t>סוציואקונומי 1-5).</w:t>
      </w:r>
    </w:p>
    <w:p w14:paraId="5E974CF3" w14:textId="45ABD3FE" w:rsidR="00533C34" w:rsidRPr="00D44A4B" w:rsidRDefault="005C0293" w:rsidP="00992280">
      <w:pPr>
        <w:pStyle w:val="Hesber"/>
        <w:spacing w:line="240" w:lineRule="auto"/>
        <w:rPr>
          <w:rtl/>
        </w:rPr>
      </w:pPr>
      <w:r w:rsidRPr="00D44A4B">
        <w:rPr>
          <w:rFonts w:hint="cs"/>
          <w:rtl/>
        </w:rPr>
        <w:t xml:space="preserve"> 36 מרכזים ניידים </w:t>
      </w:r>
      <w:r w:rsidRPr="00D44A4B">
        <w:rPr>
          <w:rtl/>
        </w:rPr>
        <w:t>–</w:t>
      </w:r>
      <w:r w:rsidR="007263B3" w:rsidRPr="00D44A4B">
        <w:rPr>
          <w:rFonts w:hint="cs"/>
          <w:rtl/>
        </w:rPr>
        <w:t xml:space="preserve"> כל מרכז נייד י</w:t>
      </w:r>
      <w:r w:rsidR="00D44A4B">
        <w:rPr>
          <w:rFonts w:hint="cs"/>
          <w:rtl/>
        </w:rPr>
        <w:t>י</w:t>
      </w:r>
      <w:r w:rsidR="007263B3" w:rsidRPr="00D44A4B">
        <w:rPr>
          <w:rFonts w:hint="cs"/>
          <w:rtl/>
        </w:rPr>
        <w:t>תן מענה לחמש</w:t>
      </w:r>
      <w:r w:rsidRPr="00D44A4B">
        <w:rPr>
          <w:rFonts w:hint="cs"/>
          <w:rtl/>
        </w:rPr>
        <w:t xml:space="preserve"> רשויות קטנות. </w:t>
      </w:r>
    </w:p>
    <w:p w14:paraId="0D6EE22D" w14:textId="008B5F56" w:rsidR="00C735B9" w:rsidRPr="00D44A4B" w:rsidRDefault="001B059F" w:rsidP="00992280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לפי נתוני הדו</w:t>
      </w:r>
      <w:r w:rsidR="00533C34" w:rsidRPr="00D44A4B">
        <w:rPr>
          <w:rFonts w:hint="cs"/>
          <w:rtl/>
        </w:rPr>
        <w:t>ח,</w:t>
      </w:r>
      <w:r w:rsidR="00C735B9" w:rsidRPr="00D44A4B">
        <w:rPr>
          <w:rFonts w:hint="cs"/>
          <w:rtl/>
        </w:rPr>
        <w:t xml:space="preserve"> עלות הקמת המרכזים מוערכת בכ-35 </w:t>
      </w:r>
      <w:r w:rsidR="007263B3" w:rsidRPr="00D44A4B">
        <w:rPr>
          <w:rFonts w:hint="cs"/>
          <w:rtl/>
        </w:rPr>
        <w:t>מיליוני שקלים חדשים</w:t>
      </w:r>
      <w:r w:rsidR="00C735B9" w:rsidRPr="00D44A4B">
        <w:rPr>
          <w:rFonts w:hint="cs"/>
          <w:rtl/>
        </w:rPr>
        <w:t>. עלות תפעול שנתית של המרכזים מוערכת בכ-70 מ</w:t>
      </w:r>
      <w:r w:rsidR="007263B3" w:rsidRPr="00D44A4B">
        <w:rPr>
          <w:rFonts w:hint="cs"/>
          <w:rtl/>
        </w:rPr>
        <w:t>יליוני שקלים חדשים</w:t>
      </w:r>
      <w:r w:rsidR="00C735B9" w:rsidRPr="00D44A4B">
        <w:rPr>
          <w:rFonts w:hint="cs"/>
          <w:rtl/>
        </w:rPr>
        <w:t xml:space="preserve">. </w:t>
      </w:r>
    </w:p>
    <w:p w14:paraId="52619A8E" w14:textId="77777777" w:rsidR="00D44A4B" w:rsidRDefault="00533C34" w:rsidP="00992280">
      <w:pPr>
        <w:pStyle w:val="Hesber"/>
        <w:spacing w:line="240" w:lineRule="auto"/>
        <w:rPr>
          <w:rtl/>
        </w:rPr>
      </w:pPr>
      <w:r w:rsidRPr="00D44A4B">
        <w:rPr>
          <w:rFonts w:hint="cs"/>
          <w:rtl/>
        </w:rPr>
        <w:t>הצעות חוק דומות בעיקרן הונחו על שולחן הכנסת</w:t>
      </w:r>
      <w:r w:rsidR="00387B1C" w:rsidRPr="00D44A4B">
        <w:rPr>
          <w:rFonts w:hint="cs"/>
          <w:rtl/>
        </w:rPr>
        <w:t xml:space="preserve"> התשע-עשרה על ידי חבר הכנסת אריה מכלוף דרעי</w:t>
      </w:r>
      <w:r w:rsidR="00D44A4B">
        <w:rPr>
          <w:rFonts w:hint="cs"/>
          <w:rtl/>
        </w:rPr>
        <w:t xml:space="preserve"> וקבוצת חברי הכנסת (פ/2752/19) ו</w:t>
      </w:r>
      <w:r w:rsidR="00387B1C" w:rsidRPr="00D44A4B">
        <w:rPr>
          <w:rFonts w:hint="cs"/>
          <w:rtl/>
        </w:rPr>
        <w:t>על שולחן הכנסת</w:t>
      </w:r>
      <w:r w:rsidRPr="00D44A4B">
        <w:rPr>
          <w:rFonts w:hint="cs"/>
          <w:rtl/>
        </w:rPr>
        <w:t xml:space="preserve"> העשרים על ידי חבר הכנסת יואל חסון (פ/309/20)</w:t>
      </w:r>
      <w:r w:rsidR="00D44A4B">
        <w:rPr>
          <w:rFonts w:hint="cs"/>
          <w:rtl/>
        </w:rPr>
        <w:t>.</w:t>
      </w:r>
    </w:p>
    <w:p w14:paraId="71E77E1C" w14:textId="3607F9B8" w:rsidR="00C735B9" w:rsidRDefault="00D44A4B" w:rsidP="00992280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 xml:space="preserve">הצעת חוק זהה הונחה על שולחן הכנסת העשרים </w:t>
      </w:r>
      <w:r w:rsidR="00533C34" w:rsidRPr="00D44A4B">
        <w:rPr>
          <w:rFonts w:hint="cs"/>
          <w:rtl/>
        </w:rPr>
        <w:t xml:space="preserve">על ידי חבר הכנסת יואב בן צור וקבוצת חברי הכנסת (פ/1113/20). </w:t>
      </w:r>
      <w:r w:rsidR="00C735B9" w:rsidRPr="00D44A4B">
        <w:rPr>
          <w:rFonts w:hint="cs"/>
          <w:rtl/>
        </w:rPr>
        <w:t xml:space="preserve"> </w:t>
      </w:r>
    </w:p>
    <w:p w14:paraId="0E035132" w14:textId="695648C3" w:rsidR="00992280" w:rsidRDefault="00992280" w:rsidP="00992280">
      <w:pPr>
        <w:pStyle w:val="Hesber"/>
        <w:spacing w:line="240" w:lineRule="auto"/>
        <w:rPr>
          <w:rtl/>
        </w:rPr>
      </w:pPr>
    </w:p>
    <w:p w14:paraId="22747918" w14:textId="77777777" w:rsidR="00992280" w:rsidRPr="00D44A4B" w:rsidRDefault="00992280" w:rsidP="00992280">
      <w:pPr>
        <w:pStyle w:val="Hesber"/>
        <w:spacing w:line="240" w:lineRule="auto"/>
      </w:pPr>
    </w:p>
    <w:p w14:paraId="5814F713" w14:textId="77777777" w:rsidR="00992280" w:rsidRPr="0022704F" w:rsidRDefault="00992280" w:rsidP="00992280">
      <w:pPr>
        <w:spacing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lastRenderedPageBreak/>
        <w:t>---------------------------------</w:t>
      </w:r>
    </w:p>
    <w:p w14:paraId="37577F20" w14:textId="77777777" w:rsidR="00992280" w:rsidRPr="0022704F" w:rsidRDefault="00992280" w:rsidP="00992280">
      <w:pPr>
        <w:spacing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32B4C5B1" w14:textId="77777777" w:rsidR="00992280" w:rsidRPr="0022704F" w:rsidRDefault="00992280" w:rsidP="00992280">
      <w:pPr>
        <w:spacing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3FB4B833" w14:textId="5061D5BA" w:rsidR="00992280" w:rsidRPr="00BE2391" w:rsidRDefault="00992280" w:rsidP="00992280">
      <w:pPr>
        <w:spacing w:line="240" w:lineRule="auto"/>
        <w:ind w:left="340" w:firstLine="0"/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י"ט בתמוז התשע"ה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6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  <w:bookmarkStart w:id="8" w:name="_GoBack"/>
      <w:bookmarkEnd w:id="8"/>
    </w:p>
    <w:p w14:paraId="7F6961CB" w14:textId="77777777" w:rsidR="00E13C27" w:rsidRPr="00D44A4B" w:rsidRDefault="00E13C27" w:rsidP="00D44A4B">
      <w:pPr>
        <w:pStyle w:val="Hesber"/>
        <w:rPr>
          <w:rtl/>
        </w:rPr>
      </w:pPr>
    </w:p>
    <w:sectPr w:rsidR="00E13C27" w:rsidRPr="00D44A4B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99228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02A5B1CD" w14:textId="742B1BB1" w:rsidR="009820D6" w:rsidRDefault="009820D6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התשי"ח, עמ' 103.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47ED8"/>
    <w:rsid w:val="00152609"/>
    <w:rsid w:val="00153E1B"/>
    <w:rsid w:val="001A0623"/>
    <w:rsid w:val="001B059F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87B1C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213F8"/>
    <w:rsid w:val="00533C34"/>
    <w:rsid w:val="00553C9D"/>
    <w:rsid w:val="00562A66"/>
    <w:rsid w:val="005B064E"/>
    <w:rsid w:val="005C0293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263B3"/>
    <w:rsid w:val="00735FE9"/>
    <w:rsid w:val="00763CAA"/>
    <w:rsid w:val="00765F66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0D6"/>
    <w:rsid w:val="00982412"/>
    <w:rsid w:val="00983A8D"/>
    <w:rsid w:val="00992280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6A21"/>
    <w:rsid w:val="00B975AD"/>
    <w:rsid w:val="00BC45FB"/>
    <w:rsid w:val="00BF148D"/>
    <w:rsid w:val="00C23B1A"/>
    <w:rsid w:val="00C310EB"/>
    <w:rsid w:val="00C735B9"/>
    <w:rsid w:val="00C9176A"/>
    <w:rsid w:val="00CF1AA2"/>
    <w:rsid w:val="00D17774"/>
    <w:rsid w:val="00D44A4B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97E3A972-1DA2-4B62-9459-B2B4B30D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link w:val="a4"/>
    <w:uiPriority w:val="99"/>
    <w:semiHidden/>
    <w:rsid w:val="00C735B9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styleId="ae">
    <w:name w:val="annotation reference"/>
    <w:basedOn w:val="a0"/>
    <w:semiHidden/>
    <w:unhideWhenUsed/>
    <w:rsid w:val="00533C34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33C34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533C34"/>
    <w:rPr>
      <w:rFonts w:ascii="Hadasa Roso SL" w:hAnsi="Hadasa Roso SL" w:cs="Hadasa Roso SL"/>
      <w:color w:val="000000"/>
      <w:spacing w:val="1"/>
      <w:lang w:eastAsia="ja-JP"/>
    </w:rPr>
  </w:style>
  <w:style w:type="paragraph" w:styleId="af1">
    <w:name w:val="annotation subject"/>
    <w:basedOn w:val="af"/>
    <w:next w:val="af"/>
    <w:link w:val="af2"/>
    <w:semiHidden/>
    <w:unhideWhenUsed/>
    <w:rsid w:val="00533C34"/>
    <w:rPr>
      <w:b/>
      <w:bCs/>
    </w:rPr>
  </w:style>
  <w:style w:type="character" w:customStyle="1" w:styleId="af2">
    <w:name w:val="נושא הערה תו"/>
    <w:basedOn w:val="af0"/>
    <w:link w:val="af1"/>
    <w:semiHidden/>
    <w:rsid w:val="00533C34"/>
    <w:rPr>
      <w:rFonts w:ascii="Hadasa Roso SL" w:hAnsi="Hadasa Roso SL" w:cs="Hadasa Roso SL"/>
      <w:b/>
      <w:bCs/>
      <w:color w:val="000000"/>
      <w:spacing w:val="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64B437-811B-4B0D-B154-EDC132C81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E13B0-54C4-4A48-8001-F3ADB168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458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תהל טהר לב</cp:lastModifiedBy>
  <cp:revision>12</cp:revision>
  <cp:lastPrinted>2015-07-01T11:42:00Z</cp:lastPrinted>
  <dcterms:created xsi:type="dcterms:W3CDTF">2015-04-20T09:58:00Z</dcterms:created>
  <dcterms:modified xsi:type="dcterms:W3CDTF">2015-07-01T11:43:00Z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564973</vt:r8>
  </property>
</Properties>
</file>