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563716</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CF1AA2">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ינון מגל</w:t>
      </w:r>
      <w:bookmarkEnd w:id="3"/>
    </w:p>
    <w:p w14:paraId="7F6961AA" w14:textId="77777777" w:rsidR="00E13C27" w:rsidRPr="00CF1AA2" w:rsidRDefault="007D585A" w:rsidP="00CF1AA2">
      <w:pPr>
        <w:pStyle w:val="David"/>
        <w:ind w:left="3544"/>
        <w:rPr>
          <w:b/>
          <w:bCs/>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7F6961AB" w14:textId="31FEE470" w:rsidR="00E13C27" w:rsidRPr="00E06736" w:rsidRDefault="0014195F" w:rsidP="00416B4D">
      <w:pPr>
        <w:pStyle w:val="David"/>
        <w:ind w:left="3544"/>
        <w:rPr>
          <w:rtl/>
        </w:rPr>
      </w:pPr>
      <w:r w:rsidRPr="00CF1AA2">
        <w:rPr>
          <w:b/>
          <w:bCs/>
          <w:noProof/>
          <w:rtl/>
          <w:lang w:eastAsia="en-US"/>
        </w:rPr>
        <mc:AlternateContent>
          <mc:Choice Requires="wps">
            <w:drawing>
              <wp:anchor distT="0" distB="0" distL="114300" distR="114300" simplePos="0" relativeHeight="251657216" behindDoc="0" locked="0" layoutInCell="1" allowOverlap="1" wp14:anchorId="7F6961CE" wp14:editId="7F6961CF">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4DF9A9" id="Freeform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sidR="00E13C27" w:rsidRPr="00E06736">
        <w:rPr>
          <w:rFonts w:hint="cs"/>
          <w:rtl/>
        </w:rPr>
        <w:tab/>
      </w:r>
      <w:r w:rsidR="00416B4D">
        <w:tab/>
      </w:r>
      <w:r w:rsidR="00FA5E88">
        <w:tab/>
      </w:r>
      <w:r w:rsidR="00E13C27" w:rsidRPr="00E06736">
        <w:rPr>
          <w:rFonts w:hint="cs"/>
          <w:rtl/>
        </w:rPr>
        <w:tab/>
      </w:r>
      <w:r w:rsidR="00E06736" w:rsidRPr="00E06736">
        <w:tab/>
      </w:r>
      <w:bookmarkStart w:id="6" w:name="Private_Number"/>
      <w:r>
        <w:rPr>
          <w:rFonts w:hint="cs"/>
          <w:rtl/>
        </w:rPr>
        <w:t xml:space="preserve"> </w:t>
      </w:r>
      <w:bookmarkEnd w:id="6"/>
      <w:r w:rsidR="00B540BD">
        <w:rPr>
          <w:rFonts w:hint="cs"/>
          <w:rtl/>
        </w:rPr>
        <w:t>פ/1323/20</w:t>
      </w:r>
      <w:r w:rsidR="00E13C27" w:rsidRPr="00E06736">
        <w:rPr>
          <w:rFonts w:hint="cs"/>
          <w:rtl/>
        </w:rPr>
        <w:tab/>
      </w:r>
      <w:r w:rsidR="00E13C27" w:rsidRPr="00E06736">
        <w:rPr>
          <w:rFonts w:hint="cs"/>
          <w:rtl/>
        </w:rPr>
        <w:tab/>
      </w:r>
      <w:r w:rsidR="00E13C27" w:rsidRPr="00E06736">
        <w:rPr>
          <w:rFonts w:hint="cs"/>
          <w:rtl/>
        </w:rPr>
        <w:tab/>
      </w:r>
    </w:p>
    <w:p w14:paraId="7F6961AC" w14:textId="77777777" w:rsidR="00E13C27" w:rsidRDefault="00E13C27" w:rsidP="00B540BD">
      <w:pPr>
        <w:spacing w:before="0" w:line="360" w:lineRule="auto"/>
        <w:rPr>
          <w:rFonts w:cs="David"/>
          <w:sz w:val="26"/>
          <w:szCs w:val="26"/>
          <w:rtl/>
        </w:rPr>
      </w:pPr>
    </w:p>
    <w:p w14:paraId="7F6961AD" w14:textId="77777777" w:rsidR="00E13C27" w:rsidRPr="00591227" w:rsidRDefault="00A443CF" w:rsidP="00B540BD">
      <w:pPr>
        <w:pStyle w:val="HeadHatzaotHok"/>
        <w:rPr>
          <w:rtl/>
        </w:rPr>
      </w:pPr>
      <w:bookmarkStart w:id="7" w:name="LGS_Subject"/>
      <w:r w:rsidRPr="00591227">
        <w:rPr>
          <w:rFonts w:hint="eastAsia"/>
          <w:rtl/>
        </w:rPr>
        <w:t>הצעת</w:t>
      </w:r>
      <w:r w:rsidRPr="00591227">
        <w:rPr>
          <w:rtl/>
        </w:rPr>
        <w:t xml:space="preserve"> </w:t>
      </w:r>
      <w:r w:rsidRPr="00591227">
        <w:rPr>
          <w:rFonts w:hint="eastAsia"/>
          <w:rtl/>
        </w:rPr>
        <w:t>חוק</w:t>
      </w:r>
      <w:r w:rsidRPr="00591227">
        <w:rPr>
          <w:rtl/>
        </w:rPr>
        <w:t xml:space="preserve"> </w:t>
      </w:r>
      <w:r w:rsidRPr="00591227">
        <w:rPr>
          <w:rFonts w:hint="eastAsia"/>
          <w:rtl/>
        </w:rPr>
        <w:t>הכניסה</w:t>
      </w:r>
      <w:r w:rsidRPr="00591227">
        <w:rPr>
          <w:rtl/>
        </w:rPr>
        <w:t xml:space="preserve"> </w:t>
      </w:r>
      <w:r w:rsidRPr="00591227">
        <w:rPr>
          <w:rFonts w:hint="eastAsia"/>
          <w:rtl/>
        </w:rPr>
        <w:t>לישראל</w:t>
      </w:r>
      <w:r w:rsidRPr="00591227">
        <w:rPr>
          <w:rtl/>
        </w:rPr>
        <w:t xml:space="preserve"> (תיקון </w:t>
      </w:r>
      <w:r w:rsidRPr="00591227">
        <w:rPr>
          <w:rFonts w:hint="eastAsia"/>
          <w:rtl/>
        </w:rPr>
        <w:t>–</w:t>
      </w:r>
      <w:r w:rsidRPr="00591227">
        <w:rPr>
          <w:rtl/>
        </w:rPr>
        <w:t xml:space="preserve"> </w:t>
      </w:r>
      <w:r w:rsidRPr="00591227">
        <w:rPr>
          <w:rFonts w:hint="eastAsia"/>
          <w:rtl/>
        </w:rPr>
        <w:t>ועדת</w:t>
      </w:r>
      <w:r w:rsidRPr="00591227">
        <w:rPr>
          <w:rtl/>
        </w:rPr>
        <w:t xml:space="preserve"> </w:t>
      </w:r>
      <w:r w:rsidRPr="00591227">
        <w:rPr>
          <w:rFonts w:hint="eastAsia"/>
          <w:rtl/>
        </w:rPr>
        <w:t>חריגים</w:t>
      </w:r>
      <w:r w:rsidRPr="00591227">
        <w:rPr>
          <w:rtl/>
        </w:rPr>
        <w:t xml:space="preserve"> </w:t>
      </w:r>
      <w:r w:rsidRPr="00591227">
        <w:rPr>
          <w:rFonts w:hint="eastAsia"/>
          <w:rtl/>
        </w:rPr>
        <w:t>הומניטרית</w:t>
      </w:r>
      <w:r w:rsidRPr="00591227">
        <w:rPr>
          <w:rtl/>
        </w:rPr>
        <w:t xml:space="preserve"> </w:t>
      </w:r>
      <w:r w:rsidRPr="00591227">
        <w:rPr>
          <w:rFonts w:hint="eastAsia"/>
          <w:rtl/>
        </w:rPr>
        <w:t>להעסקת</w:t>
      </w:r>
      <w:r w:rsidRPr="00591227">
        <w:rPr>
          <w:rtl/>
        </w:rPr>
        <w:t xml:space="preserve"> </w:t>
      </w:r>
      <w:r w:rsidRPr="00591227">
        <w:rPr>
          <w:rFonts w:hint="eastAsia"/>
          <w:rtl/>
        </w:rPr>
        <w:t>עובדי</w:t>
      </w:r>
      <w:r w:rsidRPr="00591227">
        <w:rPr>
          <w:rtl/>
        </w:rPr>
        <w:t xml:space="preserve"> </w:t>
      </w:r>
      <w:r w:rsidRPr="00591227">
        <w:rPr>
          <w:rFonts w:hint="eastAsia"/>
          <w:rtl/>
        </w:rPr>
        <w:t>סיעוד</w:t>
      </w:r>
      <w:r w:rsidRPr="00591227">
        <w:rPr>
          <w:rtl/>
        </w:rPr>
        <w:t xml:space="preserve"> </w:t>
      </w:r>
      <w:r w:rsidRPr="00591227">
        <w:rPr>
          <w:rFonts w:hint="eastAsia"/>
          <w:rtl/>
        </w:rPr>
        <w:t>מעבר</w:t>
      </w:r>
      <w:r w:rsidRPr="00591227">
        <w:rPr>
          <w:rtl/>
        </w:rPr>
        <w:t xml:space="preserve"> </w:t>
      </w:r>
      <w:r w:rsidRPr="00591227">
        <w:rPr>
          <w:rFonts w:hint="eastAsia"/>
          <w:rtl/>
        </w:rPr>
        <w:t>לתקופה</w:t>
      </w:r>
      <w:r w:rsidRPr="00591227">
        <w:rPr>
          <w:rtl/>
        </w:rPr>
        <w:t xml:space="preserve"> </w:t>
      </w:r>
      <w:r w:rsidRPr="00591227">
        <w:rPr>
          <w:rFonts w:hint="eastAsia"/>
          <w:rtl/>
        </w:rPr>
        <w:t>המותרת</w:t>
      </w:r>
      <w:r w:rsidRPr="00591227">
        <w:rPr>
          <w:rtl/>
        </w:rPr>
        <w:t xml:space="preserve">), </w:t>
      </w:r>
      <w:r w:rsidRPr="00591227">
        <w:rPr>
          <w:rFonts w:hint="eastAsia"/>
          <w:rtl/>
        </w:rPr>
        <w:t>התשע</w:t>
      </w:r>
      <w:r w:rsidRPr="00591227">
        <w:rPr>
          <w:rtl/>
        </w:rPr>
        <w:t>"ה–2015</w:t>
      </w:r>
      <w:bookmarkEnd w:id="7"/>
    </w:p>
    <w:p w14:paraId="7F6961AE" w14:textId="77777777" w:rsidR="00E13C27" w:rsidRDefault="00E13C27" w:rsidP="0000131B">
      <w:pPr>
        <w:pStyle w:val="HeadDivreiHesber"/>
        <w:spacing w:before="0" w:after="0" w:line="240" w:lineRule="auto"/>
        <w:rPr>
          <w:rtl/>
        </w:rPr>
      </w:pPr>
    </w:p>
    <w:tbl>
      <w:tblPr>
        <w:bidiVisual/>
        <w:tblW w:w="9640" w:type="dxa"/>
        <w:tblLayout w:type="fixed"/>
        <w:tblCellMar>
          <w:top w:w="57" w:type="dxa"/>
          <w:left w:w="0" w:type="dxa"/>
          <w:bottom w:w="57" w:type="dxa"/>
          <w:right w:w="0" w:type="dxa"/>
        </w:tblCellMar>
        <w:tblLook w:val="01E0" w:firstRow="1" w:lastRow="1" w:firstColumn="1" w:lastColumn="1" w:noHBand="0" w:noVBand="0"/>
      </w:tblPr>
      <w:tblGrid>
        <w:gridCol w:w="1873"/>
        <w:gridCol w:w="624"/>
        <w:gridCol w:w="624"/>
        <w:gridCol w:w="624"/>
        <w:gridCol w:w="5895"/>
      </w:tblGrid>
      <w:tr w:rsidR="00D7228B" w14:paraId="4F74538F" w14:textId="77777777" w:rsidTr="00B540BD">
        <w:trPr>
          <w:cantSplit/>
        </w:trPr>
        <w:tc>
          <w:tcPr>
            <w:tcW w:w="1873" w:type="dxa"/>
          </w:tcPr>
          <w:p w14:paraId="28AEF2A0" w14:textId="77777777" w:rsidR="00D7228B" w:rsidRPr="00D7228B" w:rsidRDefault="00D7228B">
            <w:pPr>
              <w:pStyle w:val="TableSideHeading"/>
              <w:keepLines w:val="0"/>
            </w:pPr>
            <w:r w:rsidRPr="00D7228B">
              <w:rPr>
                <w:rFonts w:hint="cs"/>
                <w:rtl/>
              </w:rPr>
              <w:t>תיקון סעיף 3א</w:t>
            </w:r>
          </w:p>
        </w:tc>
        <w:tc>
          <w:tcPr>
            <w:tcW w:w="624" w:type="dxa"/>
          </w:tcPr>
          <w:p w14:paraId="5A9EA0AA" w14:textId="77777777" w:rsidR="00D7228B" w:rsidRPr="00D7228B" w:rsidRDefault="00D7228B">
            <w:pPr>
              <w:pStyle w:val="TableText"/>
              <w:keepLines w:val="0"/>
            </w:pPr>
            <w:r w:rsidRPr="00D7228B">
              <w:rPr>
                <w:rFonts w:hint="cs"/>
                <w:rtl/>
              </w:rPr>
              <w:t>1.</w:t>
            </w:r>
          </w:p>
        </w:tc>
        <w:tc>
          <w:tcPr>
            <w:tcW w:w="7143" w:type="dxa"/>
            <w:gridSpan w:val="3"/>
          </w:tcPr>
          <w:p w14:paraId="128690F9" w14:textId="09A1174E" w:rsidR="00D7228B" w:rsidRPr="00B540BD" w:rsidRDefault="00D7228B" w:rsidP="00B540BD">
            <w:pPr>
              <w:pStyle w:val="TableBlock"/>
              <w:tabs>
                <w:tab w:val="left" w:pos="624"/>
                <w:tab w:val="left" w:pos="1247"/>
              </w:tabs>
            </w:pPr>
            <w:r w:rsidRPr="003D2F99">
              <w:rPr>
                <w:rFonts w:hint="cs"/>
                <w:rtl/>
              </w:rPr>
              <w:t>בחוק הכני</w:t>
            </w:r>
            <w:r w:rsidRPr="003D2F99">
              <w:rPr>
                <w:rFonts w:hint="eastAsia"/>
                <w:rtl/>
              </w:rPr>
              <w:t>סה</w:t>
            </w:r>
            <w:r w:rsidRPr="003D2F99">
              <w:rPr>
                <w:rtl/>
              </w:rPr>
              <w:t xml:space="preserve"> </w:t>
            </w:r>
            <w:r w:rsidRPr="003D2F99">
              <w:rPr>
                <w:rFonts w:hint="eastAsia"/>
                <w:rtl/>
              </w:rPr>
              <w:t>לישראל</w:t>
            </w:r>
            <w:r w:rsidRPr="003D2F99">
              <w:rPr>
                <w:rtl/>
              </w:rPr>
              <w:t xml:space="preserve">, </w:t>
            </w:r>
            <w:r w:rsidRPr="003D2F99">
              <w:rPr>
                <w:rFonts w:hint="eastAsia"/>
                <w:rtl/>
              </w:rPr>
              <w:t>התשי</w:t>
            </w:r>
            <w:r w:rsidRPr="003D2F99">
              <w:rPr>
                <w:rtl/>
              </w:rPr>
              <w:t>"ב–1952</w:t>
            </w:r>
            <w:r w:rsidRPr="00B540BD">
              <w:rPr>
                <w:vertAlign w:val="superscript"/>
                <w:rtl/>
              </w:rPr>
              <w:footnoteReference w:id="2"/>
            </w:r>
            <w:r w:rsidR="00C47158">
              <w:rPr>
                <w:rFonts w:hint="cs"/>
                <w:rtl/>
              </w:rPr>
              <w:t xml:space="preserve"> </w:t>
            </w:r>
            <w:r w:rsidR="00734C1B">
              <w:rPr>
                <w:rFonts w:hint="cs"/>
                <w:rtl/>
              </w:rPr>
              <w:t>(להלן</w:t>
            </w:r>
            <w:r w:rsidR="00B540BD">
              <w:rPr>
                <w:rFonts w:hint="cs"/>
                <w:rtl/>
              </w:rPr>
              <w:t xml:space="preserve"> </w:t>
            </w:r>
            <w:r w:rsidR="00B540BD">
              <w:rPr>
                <w:rFonts w:hint="eastAsia"/>
                <w:rtl/>
              </w:rPr>
              <w:t>–</w:t>
            </w:r>
            <w:r w:rsidR="00734C1B">
              <w:rPr>
                <w:rFonts w:hint="cs"/>
                <w:rtl/>
              </w:rPr>
              <w:t xml:space="preserve"> החוק העיקרי)</w:t>
            </w:r>
            <w:r w:rsidRPr="003D2F99">
              <w:rPr>
                <w:rtl/>
              </w:rPr>
              <w:t xml:space="preserve">, בסעיף 3א(ב1), במקום פסקה (1) יבוא: </w:t>
            </w:r>
          </w:p>
        </w:tc>
      </w:tr>
      <w:tr w:rsidR="00D7228B" w14:paraId="084DC8FA" w14:textId="77777777" w:rsidTr="00B540BD">
        <w:trPr>
          <w:cantSplit/>
        </w:trPr>
        <w:tc>
          <w:tcPr>
            <w:tcW w:w="1873" w:type="dxa"/>
          </w:tcPr>
          <w:p w14:paraId="3CB66A25" w14:textId="77777777" w:rsidR="00D7228B" w:rsidRPr="00D7228B" w:rsidRDefault="00D7228B">
            <w:pPr>
              <w:pStyle w:val="TableSideHeading"/>
              <w:keepLines w:val="0"/>
            </w:pPr>
          </w:p>
        </w:tc>
        <w:tc>
          <w:tcPr>
            <w:tcW w:w="624" w:type="dxa"/>
          </w:tcPr>
          <w:p w14:paraId="3D12D513" w14:textId="77777777" w:rsidR="00D7228B" w:rsidRPr="00D7228B" w:rsidRDefault="00D7228B">
            <w:pPr>
              <w:pStyle w:val="TableText"/>
              <w:keepLines w:val="0"/>
            </w:pPr>
          </w:p>
        </w:tc>
        <w:tc>
          <w:tcPr>
            <w:tcW w:w="7143" w:type="dxa"/>
            <w:gridSpan w:val="3"/>
          </w:tcPr>
          <w:p w14:paraId="16850642" w14:textId="4EC3A21E" w:rsidR="00D7228B" w:rsidRPr="00B540BD" w:rsidRDefault="00D7228B" w:rsidP="00B540BD">
            <w:pPr>
              <w:pStyle w:val="TableBlock"/>
              <w:tabs>
                <w:tab w:val="left" w:pos="624"/>
                <w:tab w:val="left" w:pos="1247"/>
              </w:tabs>
            </w:pPr>
            <w:r w:rsidRPr="003D2F99">
              <w:rPr>
                <w:rtl/>
              </w:rPr>
              <w:t xml:space="preserve">"(1) </w:t>
            </w:r>
            <w:r w:rsidRPr="003D2F99">
              <w:rPr>
                <w:rtl/>
              </w:rPr>
              <w:tab/>
            </w:r>
            <w:r w:rsidRPr="003D2F99">
              <w:rPr>
                <w:rFonts w:hint="eastAsia"/>
                <w:rtl/>
              </w:rPr>
              <w:t>על</w:t>
            </w:r>
            <w:r w:rsidRPr="003D2F99">
              <w:rPr>
                <w:rtl/>
              </w:rPr>
              <w:t xml:space="preserve"> אף האמור </w:t>
            </w:r>
            <w:r w:rsidR="00734C1B">
              <w:rPr>
                <w:rFonts w:hint="cs"/>
                <w:rtl/>
              </w:rPr>
              <w:t>בסעיף קטן (ב)</w:t>
            </w:r>
            <w:r w:rsidRPr="003D2F99">
              <w:rPr>
                <w:rtl/>
              </w:rPr>
              <w:t xml:space="preserve">, שר הפנים </w:t>
            </w:r>
            <w:r w:rsidR="00B540BD" w:rsidRPr="003D2F99">
              <w:rPr>
                <w:rtl/>
              </w:rPr>
              <w:t xml:space="preserve">רשאי </w:t>
            </w:r>
            <w:r w:rsidR="004F33F0">
              <w:rPr>
                <w:rFonts w:hint="cs"/>
                <w:rtl/>
              </w:rPr>
              <w:t>להאריך</w:t>
            </w:r>
            <w:r w:rsidRPr="003D2F99">
              <w:rPr>
                <w:rtl/>
              </w:rPr>
              <w:t xml:space="preserve"> רישיון לישיבת ביקור לשם העסקתו</w:t>
            </w:r>
            <w:r w:rsidR="00DD2976">
              <w:rPr>
                <w:rFonts w:hint="cs"/>
                <w:rtl/>
              </w:rPr>
              <w:t xml:space="preserve"> של עובד זר</w:t>
            </w:r>
            <w:r w:rsidRPr="003D2F99">
              <w:rPr>
                <w:rtl/>
              </w:rPr>
              <w:t xml:space="preserve"> במתן טיפול סיעודי</w:t>
            </w:r>
            <w:r w:rsidR="00575CEF">
              <w:rPr>
                <w:rFonts w:hint="cs"/>
                <w:rtl/>
              </w:rPr>
              <w:t xml:space="preserve"> ל</w:t>
            </w:r>
            <w:r w:rsidRPr="003D2F99">
              <w:rPr>
                <w:rtl/>
              </w:rPr>
              <w:t>מטופל בעל היתר</w:t>
            </w:r>
            <w:r w:rsidR="00575CEF">
              <w:rPr>
                <w:rFonts w:hint="cs"/>
                <w:rtl/>
              </w:rPr>
              <w:t xml:space="preserve"> להעסקת עובד זר הניתן</w:t>
            </w:r>
            <w:r w:rsidRPr="003D2F99">
              <w:rPr>
                <w:rtl/>
              </w:rPr>
              <w:t xml:space="preserve"> </w:t>
            </w:r>
            <w:r w:rsidR="00C47158">
              <w:rPr>
                <w:rFonts w:hint="cs"/>
                <w:rtl/>
              </w:rPr>
              <w:t>לפי</w:t>
            </w:r>
            <w:r w:rsidR="00575CEF" w:rsidRPr="003D2F99">
              <w:rPr>
                <w:rtl/>
              </w:rPr>
              <w:t xml:space="preserve"> </w:t>
            </w:r>
            <w:r w:rsidRPr="003D2F99">
              <w:rPr>
                <w:rtl/>
              </w:rPr>
              <w:t>סעיף 1יג לחוק עובדים זרים (להלן – מטופל סיעודי) מטעמים הומניטריים מיוחדים וחריגים המתקיימים במטופל</w:t>
            </w:r>
            <w:r w:rsidR="00575CEF">
              <w:rPr>
                <w:rFonts w:hint="cs"/>
                <w:rtl/>
              </w:rPr>
              <w:t xml:space="preserve"> הסיעודי</w:t>
            </w:r>
            <w:r w:rsidRPr="003D2F99">
              <w:rPr>
                <w:rtl/>
              </w:rPr>
              <w:t xml:space="preserve"> והקשורים למורכבות או ייחודיות הטיפול הסיעודי הנדרש, ובלבד שהעובד הזר שהארכת רישיונו נדרשת לפי סעיף זה (להלן – העובד הזר הנדרש) שוהה כדין בישראל והתקיימו לגביו התנאים המצטברים להלן:</w:t>
            </w:r>
          </w:p>
        </w:tc>
      </w:tr>
      <w:tr w:rsidR="00D7228B" w14:paraId="1DFB3A00" w14:textId="77777777" w:rsidTr="00B540BD">
        <w:trPr>
          <w:cantSplit/>
        </w:trPr>
        <w:tc>
          <w:tcPr>
            <w:tcW w:w="1873" w:type="dxa"/>
          </w:tcPr>
          <w:p w14:paraId="2B23DEBC" w14:textId="77777777" w:rsidR="00D7228B" w:rsidRDefault="00D7228B">
            <w:pPr>
              <w:pStyle w:val="TableSideHeading"/>
              <w:rPr>
                <w:sz w:val="26"/>
              </w:rPr>
            </w:pPr>
          </w:p>
        </w:tc>
        <w:tc>
          <w:tcPr>
            <w:tcW w:w="624" w:type="dxa"/>
          </w:tcPr>
          <w:p w14:paraId="1A24A9D1" w14:textId="77777777" w:rsidR="00D7228B" w:rsidRDefault="00D7228B">
            <w:pPr>
              <w:pStyle w:val="TableText"/>
              <w:rPr>
                <w:sz w:val="26"/>
              </w:rPr>
            </w:pPr>
          </w:p>
        </w:tc>
        <w:tc>
          <w:tcPr>
            <w:tcW w:w="624" w:type="dxa"/>
          </w:tcPr>
          <w:p w14:paraId="0B937066" w14:textId="77777777" w:rsidR="00D7228B" w:rsidRDefault="00D7228B">
            <w:pPr>
              <w:pStyle w:val="TableText"/>
              <w:rPr>
                <w:sz w:val="26"/>
              </w:rPr>
            </w:pPr>
          </w:p>
        </w:tc>
        <w:tc>
          <w:tcPr>
            <w:tcW w:w="6519" w:type="dxa"/>
            <w:gridSpan w:val="2"/>
            <w:hideMark/>
          </w:tcPr>
          <w:p w14:paraId="324BB8BF" w14:textId="49D85EFA" w:rsidR="00D7228B" w:rsidRDefault="00D7228B" w:rsidP="00B540BD">
            <w:pPr>
              <w:pStyle w:val="TableBlock"/>
              <w:tabs>
                <w:tab w:val="left" w:pos="624"/>
                <w:tab w:val="left" w:pos="1247"/>
              </w:tabs>
              <w:rPr>
                <w:sz w:val="26"/>
              </w:rPr>
            </w:pPr>
            <w:r>
              <w:rPr>
                <w:rFonts w:hint="cs"/>
                <w:sz w:val="26"/>
                <w:rtl/>
              </w:rPr>
              <w:t>(א)</w:t>
            </w:r>
            <w:r>
              <w:rPr>
                <w:rFonts w:hint="cs"/>
                <w:sz w:val="26"/>
                <w:rtl/>
              </w:rPr>
              <w:tab/>
              <w:t>במשך תקופת שהותו בישראל, העובד הזר הנדרש הועסק כדין אצל מטופל סיעודי אחד במשך תקופה של עשרים וארבעה חודשים לפחות</w:t>
            </w:r>
            <w:r w:rsidR="004C6919">
              <w:rPr>
                <w:rFonts w:hint="cs"/>
                <w:sz w:val="26"/>
                <w:rtl/>
              </w:rPr>
              <w:t>;</w:t>
            </w:r>
          </w:p>
        </w:tc>
      </w:tr>
      <w:tr w:rsidR="00D7228B" w14:paraId="7243BAC7" w14:textId="77777777" w:rsidTr="00B540BD">
        <w:trPr>
          <w:cantSplit/>
        </w:trPr>
        <w:tc>
          <w:tcPr>
            <w:tcW w:w="1873" w:type="dxa"/>
          </w:tcPr>
          <w:p w14:paraId="49ECD7D5" w14:textId="77777777" w:rsidR="00D7228B" w:rsidRDefault="00D7228B">
            <w:pPr>
              <w:pStyle w:val="TableSideHeading"/>
              <w:rPr>
                <w:sz w:val="26"/>
              </w:rPr>
            </w:pPr>
          </w:p>
        </w:tc>
        <w:tc>
          <w:tcPr>
            <w:tcW w:w="624" w:type="dxa"/>
          </w:tcPr>
          <w:p w14:paraId="1E20EB4F" w14:textId="77777777" w:rsidR="00D7228B" w:rsidRDefault="00D7228B">
            <w:pPr>
              <w:pStyle w:val="TableText"/>
              <w:rPr>
                <w:sz w:val="26"/>
              </w:rPr>
            </w:pPr>
          </w:p>
        </w:tc>
        <w:tc>
          <w:tcPr>
            <w:tcW w:w="624" w:type="dxa"/>
          </w:tcPr>
          <w:p w14:paraId="6FF002DF" w14:textId="77777777" w:rsidR="00D7228B" w:rsidRDefault="00D7228B">
            <w:pPr>
              <w:pStyle w:val="TableText"/>
              <w:rPr>
                <w:sz w:val="26"/>
              </w:rPr>
            </w:pPr>
          </w:p>
        </w:tc>
        <w:tc>
          <w:tcPr>
            <w:tcW w:w="6519" w:type="dxa"/>
            <w:gridSpan w:val="2"/>
            <w:hideMark/>
          </w:tcPr>
          <w:p w14:paraId="65AB28A9" w14:textId="19824B59" w:rsidR="00D7228B" w:rsidRDefault="00D7228B" w:rsidP="00B540BD">
            <w:pPr>
              <w:pStyle w:val="TableBlock"/>
              <w:tabs>
                <w:tab w:val="left" w:pos="624"/>
                <w:tab w:val="left" w:pos="1247"/>
              </w:tabs>
              <w:rPr>
                <w:sz w:val="26"/>
              </w:rPr>
            </w:pPr>
            <w:r>
              <w:rPr>
                <w:rFonts w:hint="cs"/>
                <w:sz w:val="26"/>
                <w:rtl/>
              </w:rPr>
              <w:t>(ב)</w:t>
            </w:r>
            <w:r>
              <w:rPr>
                <w:rFonts w:hint="cs"/>
                <w:sz w:val="26"/>
                <w:rtl/>
              </w:rPr>
              <w:tab/>
              <w:t xml:space="preserve">העובד הזר הנדרש סיים את תקופת העסקתו האחרונה בישראל, </w:t>
            </w:r>
            <w:r w:rsidR="00C82099">
              <w:rPr>
                <w:rFonts w:hint="cs"/>
                <w:sz w:val="26"/>
                <w:rtl/>
              </w:rPr>
              <w:t>לפני</w:t>
            </w:r>
            <w:r w:rsidR="00B540BD">
              <w:rPr>
                <w:rFonts w:hint="cs"/>
                <w:sz w:val="26"/>
                <w:rtl/>
              </w:rPr>
              <w:t xml:space="preserve"> </w:t>
            </w:r>
            <w:r>
              <w:rPr>
                <w:rFonts w:hint="cs"/>
                <w:sz w:val="26"/>
                <w:rtl/>
              </w:rPr>
              <w:t>מועד הגשת הבקשה לפי סעיף זה, בעקבות פטירת המטופל הסיעודי אותו סעד, או בעקבות מעבר המטופל הסיעודי אותו סעד למוסד סיעודי בלבד</w:t>
            </w:r>
            <w:r w:rsidR="004C6919">
              <w:rPr>
                <w:rFonts w:hint="cs"/>
                <w:sz w:val="26"/>
                <w:rtl/>
              </w:rPr>
              <w:t>;</w:t>
            </w:r>
          </w:p>
        </w:tc>
      </w:tr>
      <w:tr w:rsidR="00D7228B" w14:paraId="377A24A1" w14:textId="77777777" w:rsidTr="00B540BD">
        <w:trPr>
          <w:cantSplit/>
        </w:trPr>
        <w:tc>
          <w:tcPr>
            <w:tcW w:w="1873" w:type="dxa"/>
          </w:tcPr>
          <w:p w14:paraId="2B6146E6" w14:textId="77777777" w:rsidR="00D7228B" w:rsidRDefault="00D7228B">
            <w:pPr>
              <w:pStyle w:val="TableSideHeading"/>
              <w:rPr>
                <w:sz w:val="26"/>
              </w:rPr>
            </w:pPr>
          </w:p>
        </w:tc>
        <w:tc>
          <w:tcPr>
            <w:tcW w:w="624" w:type="dxa"/>
          </w:tcPr>
          <w:p w14:paraId="4DE9C0E4" w14:textId="77777777" w:rsidR="00D7228B" w:rsidRDefault="00D7228B">
            <w:pPr>
              <w:pStyle w:val="TableText"/>
              <w:rPr>
                <w:sz w:val="26"/>
              </w:rPr>
            </w:pPr>
          </w:p>
        </w:tc>
        <w:tc>
          <w:tcPr>
            <w:tcW w:w="624" w:type="dxa"/>
          </w:tcPr>
          <w:p w14:paraId="1B99D4C7" w14:textId="77777777" w:rsidR="00D7228B" w:rsidRDefault="00D7228B">
            <w:pPr>
              <w:pStyle w:val="TableText"/>
              <w:rPr>
                <w:sz w:val="26"/>
              </w:rPr>
            </w:pPr>
          </w:p>
        </w:tc>
        <w:tc>
          <w:tcPr>
            <w:tcW w:w="6519" w:type="dxa"/>
            <w:gridSpan w:val="2"/>
            <w:hideMark/>
          </w:tcPr>
          <w:p w14:paraId="7784A9FC" w14:textId="055097C0" w:rsidR="00D7228B" w:rsidRDefault="00D7228B" w:rsidP="00B540BD">
            <w:pPr>
              <w:pStyle w:val="TableBlock"/>
              <w:tabs>
                <w:tab w:val="left" w:pos="624"/>
                <w:tab w:val="left" w:pos="1247"/>
              </w:tabs>
              <w:rPr>
                <w:sz w:val="26"/>
              </w:rPr>
            </w:pPr>
            <w:r>
              <w:rPr>
                <w:rFonts w:hint="cs"/>
                <w:sz w:val="26"/>
                <w:rtl/>
              </w:rPr>
              <w:t>(ג)</w:t>
            </w:r>
            <w:r>
              <w:rPr>
                <w:rFonts w:hint="cs"/>
                <w:sz w:val="26"/>
                <w:rtl/>
              </w:rPr>
              <w:tab/>
              <w:t>בעת הגשת הבקשה לפי סעיף זה, לא עברו מעל 7 שנים מיום כניסתו לראשונה של העובד הזר הנדרש לישראל לעבודה בענף הסיעוד</w:t>
            </w:r>
            <w:r w:rsidR="004F33F0">
              <w:rPr>
                <w:rFonts w:hint="cs"/>
                <w:sz w:val="26"/>
                <w:rtl/>
              </w:rPr>
              <w:t>;</w:t>
            </w:r>
            <w:r>
              <w:rPr>
                <w:rFonts w:hint="cs"/>
                <w:sz w:val="26"/>
                <w:rtl/>
              </w:rPr>
              <w:t xml:space="preserve"> </w:t>
            </w:r>
            <w:r w:rsidR="00B540BD">
              <w:rPr>
                <w:sz w:val="26"/>
                <w:rtl/>
              </w:rPr>
              <w:t xml:space="preserve"> </w:t>
            </w:r>
            <w:r>
              <w:rPr>
                <w:rFonts w:hint="cs"/>
                <w:sz w:val="26"/>
                <w:rtl/>
              </w:rPr>
              <w:t xml:space="preserve">על אף האמור, </w:t>
            </w:r>
            <w:r w:rsidR="005C565B">
              <w:rPr>
                <w:rFonts w:hint="cs"/>
                <w:sz w:val="26"/>
                <w:rtl/>
              </w:rPr>
              <w:t xml:space="preserve">אם ההארכה כאמור נדרשת לצורך טיפול במטופל שהוא אחד מאלה, </w:t>
            </w:r>
            <w:r w:rsidR="000E212F">
              <w:rPr>
                <w:rFonts w:hint="cs"/>
                <w:sz w:val="26"/>
                <w:rtl/>
              </w:rPr>
              <w:t>תתאפשר הארכת רישיונו של העובד הזר הנדרש</w:t>
            </w:r>
            <w:r w:rsidR="00685D58">
              <w:rPr>
                <w:rFonts w:hint="cs"/>
                <w:sz w:val="26"/>
                <w:rtl/>
              </w:rPr>
              <w:t xml:space="preserve"> מעל 7 שנים </w:t>
            </w:r>
            <w:r w:rsidR="001F3932">
              <w:rPr>
                <w:rFonts w:hint="cs"/>
                <w:sz w:val="26"/>
                <w:rtl/>
              </w:rPr>
              <w:t>ו</w:t>
            </w:r>
            <w:r w:rsidR="001F3932" w:rsidRPr="00B540BD">
              <w:rPr>
                <w:rFonts w:hint="eastAsia"/>
                <w:sz w:val="26"/>
                <w:rtl/>
              </w:rPr>
              <w:t>כל</w:t>
            </w:r>
            <w:r w:rsidR="001F3932" w:rsidRPr="00B540BD">
              <w:rPr>
                <w:sz w:val="26"/>
                <w:rtl/>
              </w:rPr>
              <w:t xml:space="preserve"> עוד </w:t>
            </w:r>
            <w:r w:rsidR="00685D58" w:rsidRPr="00B540BD">
              <w:rPr>
                <w:rFonts w:hint="eastAsia"/>
                <w:sz w:val="26"/>
                <w:rtl/>
              </w:rPr>
              <w:t>לא</w:t>
            </w:r>
            <w:r w:rsidR="00685D58" w:rsidRPr="00B540BD">
              <w:rPr>
                <w:sz w:val="26"/>
                <w:rtl/>
              </w:rPr>
              <w:t xml:space="preserve"> </w:t>
            </w:r>
            <w:r w:rsidR="00685D58" w:rsidRPr="00B540BD">
              <w:rPr>
                <w:rFonts w:hint="eastAsia"/>
                <w:sz w:val="26"/>
                <w:rtl/>
              </w:rPr>
              <w:t>עברו</w:t>
            </w:r>
            <w:r w:rsidR="00685D58" w:rsidRPr="00B540BD">
              <w:rPr>
                <w:sz w:val="26"/>
                <w:rtl/>
              </w:rPr>
              <w:t xml:space="preserve"> </w:t>
            </w:r>
            <w:r w:rsidR="00685D58" w:rsidRPr="00B540BD">
              <w:rPr>
                <w:rFonts w:hint="eastAsia"/>
                <w:sz w:val="26"/>
                <w:rtl/>
              </w:rPr>
              <w:t>מעל</w:t>
            </w:r>
            <w:r w:rsidR="00685D58" w:rsidRPr="00B540BD">
              <w:rPr>
                <w:sz w:val="26"/>
                <w:rtl/>
              </w:rPr>
              <w:t xml:space="preserve"> 12 </w:t>
            </w:r>
            <w:r w:rsidR="00685D58" w:rsidRPr="00B540BD">
              <w:rPr>
                <w:rFonts w:hint="eastAsia"/>
                <w:sz w:val="26"/>
                <w:rtl/>
              </w:rPr>
              <w:t>שנה</w:t>
            </w:r>
            <w:r w:rsidR="00685D58" w:rsidRPr="00B540BD">
              <w:rPr>
                <w:sz w:val="26"/>
                <w:rtl/>
              </w:rPr>
              <w:t xml:space="preserve"> </w:t>
            </w:r>
            <w:r w:rsidR="00685D58" w:rsidRPr="00B540BD">
              <w:rPr>
                <w:rFonts w:hint="eastAsia"/>
                <w:sz w:val="26"/>
                <w:rtl/>
              </w:rPr>
              <w:t>מיום</w:t>
            </w:r>
            <w:r w:rsidR="00685D58" w:rsidRPr="00B540BD">
              <w:rPr>
                <w:sz w:val="26"/>
                <w:rtl/>
              </w:rPr>
              <w:t xml:space="preserve"> </w:t>
            </w:r>
            <w:r w:rsidR="00685D58" w:rsidRPr="00B540BD">
              <w:rPr>
                <w:rFonts w:hint="eastAsia"/>
                <w:sz w:val="26"/>
                <w:rtl/>
              </w:rPr>
              <w:t>כניסתו</w:t>
            </w:r>
            <w:r w:rsidR="00685D58" w:rsidRPr="00B540BD">
              <w:rPr>
                <w:sz w:val="26"/>
                <w:rtl/>
              </w:rPr>
              <w:t xml:space="preserve"> </w:t>
            </w:r>
            <w:r w:rsidR="00685D58" w:rsidRPr="00B540BD">
              <w:rPr>
                <w:rFonts w:hint="eastAsia"/>
                <w:sz w:val="26"/>
                <w:rtl/>
              </w:rPr>
              <w:t>לראשונה</w:t>
            </w:r>
            <w:r w:rsidR="00685D58" w:rsidRPr="00B540BD">
              <w:rPr>
                <w:sz w:val="26"/>
                <w:rtl/>
              </w:rPr>
              <w:t xml:space="preserve"> </w:t>
            </w:r>
            <w:r w:rsidR="00685D58" w:rsidRPr="00B540BD">
              <w:rPr>
                <w:rFonts w:hint="eastAsia"/>
                <w:sz w:val="26"/>
                <w:rtl/>
              </w:rPr>
              <w:t>של</w:t>
            </w:r>
            <w:r w:rsidR="00685D58" w:rsidRPr="00B540BD">
              <w:rPr>
                <w:sz w:val="26"/>
                <w:rtl/>
              </w:rPr>
              <w:t xml:space="preserve"> </w:t>
            </w:r>
            <w:r w:rsidR="00685D58" w:rsidRPr="00B540BD">
              <w:rPr>
                <w:rFonts w:hint="eastAsia"/>
                <w:sz w:val="26"/>
                <w:rtl/>
              </w:rPr>
              <w:t>העובד</w:t>
            </w:r>
            <w:r w:rsidR="00685D58" w:rsidRPr="00B540BD">
              <w:rPr>
                <w:sz w:val="26"/>
                <w:rtl/>
              </w:rPr>
              <w:t xml:space="preserve"> </w:t>
            </w:r>
            <w:r w:rsidR="00685D58" w:rsidRPr="00B540BD">
              <w:rPr>
                <w:rFonts w:hint="eastAsia"/>
                <w:sz w:val="26"/>
                <w:rtl/>
              </w:rPr>
              <w:t>הזר</w:t>
            </w:r>
            <w:r w:rsidR="00685D58" w:rsidRPr="00B540BD">
              <w:rPr>
                <w:sz w:val="26"/>
                <w:rtl/>
              </w:rPr>
              <w:t xml:space="preserve"> </w:t>
            </w:r>
            <w:r w:rsidR="00685D58" w:rsidRPr="00B540BD">
              <w:rPr>
                <w:rFonts w:hint="eastAsia"/>
                <w:sz w:val="26"/>
                <w:rtl/>
              </w:rPr>
              <w:t>הנדרש</w:t>
            </w:r>
            <w:r w:rsidR="00685D58" w:rsidRPr="00B540BD">
              <w:rPr>
                <w:sz w:val="26"/>
                <w:rtl/>
              </w:rPr>
              <w:t xml:space="preserve"> </w:t>
            </w:r>
            <w:r w:rsidR="00685D58" w:rsidRPr="00B540BD">
              <w:rPr>
                <w:rFonts w:hint="eastAsia"/>
                <w:sz w:val="26"/>
                <w:rtl/>
              </w:rPr>
              <w:t>לישראל</w:t>
            </w:r>
            <w:r w:rsidR="001E1DB5">
              <w:rPr>
                <w:rFonts w:hint="cs"/>
                <w:sz w:val="26"/>
                <w:rtl/>
              </w:rPr>
              <w:t>:</w:t>
            </w:r>
          </w:p>
        </w:tc>
      </w:tr>
      <w:tr w:rsidR="00B540BD" w14:paraId="5C79047D" w14:textId="77777777" w:rsidTr="00B540BD">
        <w:trPr>
          <w:cantSplit/>
        </w:trPr>
        <w:tc>
          <w:tcPr>
            <w:tcW w:w="1873" w:type="dxa"/>
          </w:tcPr>
          <w:p w14:paraId="0407B945" w14:textId="77777777" w:rsidR="00B540BD" w:rsidRDefault="00B540BD">
            <w:pPr>
              <w:pStyle w:val="TableSideHeading"/>
              <w:rPr>
                <w:rFonts w:hint="cs"/>
              </w:rPr>
            </w:pPr>
          </w:p>
        </w:tc>
        <w:tc>
          <w:tcPr>
            <w:tcW w:w="624" w:type="dxa"/>
          </w:tcPr>
          <w:p w14:paraId="375B4CCE" w14:textId="77777777" w:rsidR="00B540BD" w:rsidRDefault="00B540BD">
            <w:pPr>
              <w:pStyle w:val="TableText"/>
            </w:pPr>
          </w:p>
        </w:tc>
        <w:tc>
          <w:tcPr>
            <w:tcW w:w="624" w:type="dxa"/>
          </w:tcPr>
          <w:p w14:paraId="449E5247" w14:textId="77777777" w:rsidR="00B540BD" w:rsidRDefault="00B540BD">
            <w:pPr>
              <w:pStyle w:val="TableText"/>
              <w:rPr>
                <w:rFonts w:hint="cs"/>
              </w:rPr>
            </w:pPr>
          </w:p>
        </w:tc>
        <w:tc>
          <w:tcPr>
            <w:tcW w:w="624" w:type="dxa"/>
          </w:tcPr>
          <w:p w14:paraId="08C746A9" w14:textId="77777777" w:rsidR="00B540BD" w:rsidRDefault="00B540BD">
            <w:pPr>
              <w:pStyle w:val="TableText"/>
            </w:pPr>
          </w:p>
        </w:tc>
        <w:tc>
          <w:tcPr>
            <w:tcW w:w="5895" w:type="dxa"/>
          </w:tcPr>
          <w:p w14:paraId="5FEE8534" w14:textId="619C96D8" w:rsidR="00B540BD" w:rsidRDefault="00B540BD" w:rsidP="00B540BD">
            <w:pPr>
              <w:pStyle w:val="TableBlock"/>
              <w:tabs>
                <w:tab w:val="left" w:pos="624"/>
                <w:tab w:val="left" w:pos="1247"/>
              </w:tabs>
            </w:pPr>
            <w:r>
              <w:rPr>
                <w:rFonts w:hint="cs"/>
                <w:sz w:val="26"/>
                <w:rtl/>
              </w:rPr>
              <w:t>(1)</w:t>
            </w:r>
            <w:r>
              <w:rPr>
                <w:sz w:val="26"/>
                <w:rtl/>
              </w:rPr>
              <w:tab/>
            </w:r>
            <w:r>
              <w:rPr>
                <w:rFonts w:hint="cs"/>
                <w:sz w:val="26"/>
                <w:rtl/>
              </w:rPr>
              <w:t xml:space="preserve">מטופל סיעודי הזכאי לקצבת שירותים מיוחדים מהמוסד לביטוח לאומי בשיעור של 175% לפחות; </w:t>
            </w:r>
          </w:p>
        </w:tc>
      </w:tr>
      <w:tr w:rsidR="00B540BD" w14:paraId="09771FA5" w14:textId="77777777" w:rsidTr="00B540BD">
        <w:trPr>
          <w:cantSplit/>
        </w:trPr>
        <w:tc>
          <w:tcPr>
            <w:tcW w:w="1873" w:type="dxa"/>
          </w:tcPr>
          <w:p w14:paraId="79ABFB61" w14:textId="77777777" w:rsidR="00B540BD" w:rsidRDefault="00B540BD">
            <w:pPr>
              <w:pStyle w:val="TableSideHeading"/>
              <w:rPr>
                <w:rFonts w:hint="cs"/>
                <w:rtl/>
              </w:rPr>
            </w:pPr>
          </w:p>
        </w:tc>
        <w:tc>
          <w:tcPr>
            <w:tcW w:w="624" w:type="dxa"/>
          </w:tcPr>
          <w:p w14:paraId="55D7B033" w14:textId="77777777" w:rsidR="00B540BD" w:rsidRDefault="00B540BD" w:rsidP="00B540BD">
            <w:pPr>
              <w:pStyle w:val="TableText"/>
            </w:pPr>
          </w:p>
        </w:tc>
        <w:tc>
          <w:tcPr>
            <w:tcW w:w="624" w:type="dxa"/>
          </w:tcPr>
          <w:p w14:paraId="4E8F6706" w14:textId="77777777" w:rsidR="00B540BD" w:rsidRDefault="00B540BD">
            <w:pPr>
              <w:pStyle w:val="TableText"/>
              <w:rPr>
                <w:rFonts w:hint="cs"/>
              </w:rPr>
            </w:pPr>
          </w:p>
        </w:tc>
        <w:tc>
          <w:tcPr>
            <w:tcW w:w="624" w:type="dxa"/>
          </w:tcPr>
          <w:p w14:paraId="6E702A7E" w14:textId="77777777" w:rsidR="00B540BD" w:rsidRDefault="00B540BD">
            <w:pPr>
              <w:pStyle w:val="TableText"/>
            </w:pPr>
          </w:p>
        </w:tc>
        <w:tc>
          <w:tcPr>
            <w:tcW w:w="5895" w:type="dxa"/>
          </w:tcPr>
          <w:p w14:paraId="601B1164" w14:textId="3352C2DC" w:rsidR="00B540BD" w:rsidRDefault="00B540BD" w:rsidP="00B540BD">
            <w:pPr>
              <w:pStyle w:val="TableBlock"/>
              <w:tabs>
                <w:tab w:val="left" w:pos="624"/>
                <w:tab w:val="left" w:pos="1247"/>
              </w:tabs>
              <w:rPr>
                <w:rtl/>
              </w:rPr>
            </w:pPr>
            <w:r>
              <w:rPr>
                <w:rFonts w:hint="cs"/>
                <w:sz w:val="26"/>
                <w:rtl/>
              </w:rPr>
              <w:t>(2)</w:t>
            </w:r>
            <w:r>
              <w:rPr>
                <w:sz w:val="26"/>
                <w:rtl/>
              </w:rPr>
              <w:tab/>
            </w:r>
            <w:r>
              <w:rPr>
                <w:rFonts w:hint="cs"/>
                <w:sz w:val="26"/>
                <w:rtl/>
              </w:rPr>
              <w:t>נכה צה"ל שהוכר כסיעודי ברמה של 100%+;</w:t>
            </w:r>
          </w:p>
        </w:tc>
      </w:tr>
      <w:tr w:rsidR="00B540BD" w14:paraId="4D665B8F" w14:textId="77777777" w:rsidTr="00B540BD">
        <w:trPr>
          <w:cantSplit/>
        </w:trPr>
        <w:tc>
          <w:tcPr>
            <w:tcW w:w="1873" w:type="dxa"/>
          </w:tcPr>
          <w:p w14:paraId="456825A4" w14:textId="77777777" w:rsidR="00B540BD" w:rsidRDefault="00B540BD">
            <w:pPr>
              <w:pStyle w:val="TableSideHeading"/>
              <w:rPr>
                <w:rFonts w:hint="cs"/>
                <w:rtl/>
              </w:rPr>
            </w:pPr>
          </w:p>
        </w:tc>
        <w:tc>
          <w:tcPr>
            <w:tcW w:w="624" w:type="dxa"/>
          </w:tcPr>
          <w:p w14:paraId="4778ED54" w14:textId="77777777" w:rsidR="00B540BD" w:rsidRDefault="00B540BD" w:rsidP="00B540BD">
            <w:pPr>
              <w:pStyle w:val="TableText"/>
            </w:pPr>
          </w:p>
        </w:tc>
        <w:tc>
          <w:tcPr>
            <w:tcW w:w="624" w:type="dxa"/>
          </w:tcPr>
          <w:p w14:paraId="053586D0" w14:textId="77777777" w:rsidR="00B540BD" w:rsidRDefault="00B540BD">
            <w:pPr>
              <w:pStyle w:val="TableText"/>
              <w:rPr>
                <w:rFonts w:hint="cs"/>
              </w:rPr>
            </w:pPr>
          </w:p>
        </w:tc>
        <w:tc>
          <w:tcPr>
            <w:tcW w:w="624" w:type="dxa"/>
          </w:tcPr>
          <w:p w14:paraId="71817E20" w14:textId="77777777" w:rsidR="00B540BD" w:rsidRDefault="00B540BD">
            <w:pPr>
              <w:pStyle w:val="TableText"/>
            </w:pPr>
          </w:p>
        </w:tc>
        <w:tc>
          <w:tcPr>
            <w:tcW w:w="5895" w:type="dxa"/>
          </w:tcPr>
          <w:p w14:paraId="0FD0840B" w14:textId="3975ABDA" w:rsidR="00B540BD" w:rsidRDefault="00B540BD" w:rsidP="00B540BD">
            <w:pPr>
              <w:pStyle w:val="TableBlock"/>
              <w:tabs>
                <w:tab w:val="left" w:pos="624"/>
                <w:tab w:val="left" w:pos="1247"/>
              </w:tabs>
              <w:rPr>
                <w:rtl/>
              </w:rPr>
            </w:pPr>
            <w:r>
              <w:rPr>
                <w:rFonts w:hint="cs"/>
                <w:sz w:val="26"/>
                <w:rtl/>
              </w:rPr>
              <w:t>(3)</w:t>
            </w:r>
            <w:r>
              <w:rPr>
                <w:sz w:val="26"/>
                <w:rtl/>
              </w:rPr>
              <w:tab/>
            </w:r>
            <w:r>
              <w:rPr>
                <w:rFonts w:hint="cs"/>
                <w:sz w:val="26"/>
                <w:rtl/>
              </w:rPr>
              <w:t xml:space="preserve">ילד נכה הזכאי לקצבת ילד נכה מאת המוסד לביטוח לאומי ברמה של 100%, והוא בעל נכות קשה במיוחד. </w:t>
            </w:r>
          </w:p>
        </w:tc>
      </w:tr>
      <w:tr w:rsidR="00D7228B" w14:paraId="53E84EE6" w14:textId="77777777" w:rsidTr="00B540BD">
        <w:trPr>
          <w:cantSplit/>
        </w:trPr>
        <w:tc>
          <w:tcPr>
            <w:tcW w:w="1873" w:type="dxa"/>
          </w:tcPr>
          <w:p w14:paraId="63DC0688" w14:textId="4A2D3CE1" w:rsidR="00D7228B" w:rsidRDefault="00D7228B">
            <w:pPr>
              <w:pStyle w:val="TableSideHeading"/>
              <w:rPr>
                <w:sz w:val="26"/>
              </w:rPr>
            </w:pPr>
          </w:p>
        </w:tc>
        <w:tc>
          <w:tcPr>
            <w:tcW w:w="624" w:type="dxa"/>
          </w:tcPr>
          <w:p w14:paraId="0AF38BA4" w14:textId="77777777" w:rsidR="00D7228B" w:rsidRDefault="00D7228B">
            <w:pPr>
              <w:pStyle w:val="TableText"/>
              <w:rPr>
                <w:sz w:val="26"/>
              </w:rPr>
            </w:pPr>
          </w:p>
        </w:tc>
        <w:tc>
          <w:tcPr>
            <w:tcW w:w="624" w:type="dxa"/>
          </w:tcPr>
          <w:p w14:paraId="3C40CC33" w14:textId="77777777" w:rsidR="00D7228B" w:rsidRDefault="00D7228B">
            <w:pPr>
              <w:pStyle w:val="TableText"/>
              <w:rPr>
                <w:sz w:val="26"/>
              </w:rPr>
            </w:pPr>
          </w:p>
        </w:tc>
        <w:tc>
          <w:tcPr>
            <w:tcW w:w="6519" w:type="dxa"/>
            <w:gridSpan w:val="2"/>
            <w:hideMark/>
          </w:tcPr>
          <w:p w14:paraId="1CE68E28" w14:textId="24B32F6F" w:rsidR="00EC26B3" w:rsidRDefault="00D7228B" w:rsidP="00B540BD">
            <w:pPr>
              <w:pStyle w:val="TableBlock"/>
              <w:tabs>
                <w:tab w:val="left" w:pos="624"/>
                <w:tab w:val="left" w:pos="1247"/>
              </w:tabs>
              <w:rPr>
                <w:sz w:val="26"/>
              </w:rPr>
            </w:pPr>
            <w:r>
              <w:rPr>
                <w:rFonts w:hint="cs"/>
                <w:sz w:val="26"/>
                <w:rtl/>
              </w:rPr>
              <w:t>(ד)</w:t>
            </w:r>
            <w:r>
              <w:rPr>
                <w:rFonts w:hint="cs"/>
                <w:sz w:val="26"/>
                <w:rtl/>
              </w:rPr>
              <w:tab/>
            </w:r>
            <w:r>
              <w:rPr>
                <w:sz w:val="26"/>
              </w:rPr>
              <w:t xml:space="preserve"> </w:t>
            </w:r>
            <w:r w:rsidR="00EC26B3">
              <w:rPr>
                <w:rFonts w:hint="cs"/>
                <w:sz w:val="26"/>
                <w:rtl/>
              </w:rPr>
              <w:t>לא הוגשה בקשה קודמת להארכת רישיונו של העובד הזר הנדרש אשר נדחתה;</w:t>
            </w:r>
          </w:p>
        </w:tc>
      </w:tr>
      <w:tr w:rsidR="00D7228B" w14:paraId="18642240" w14:textId="77777777" w:rsidTr="00B540BD">
        <w:trPr>
          <w:cantSplit/>
        </w:trPr>
        <w:tc>
          <w:tcPr>
            <w:tcW w:w="1873" w:type="dxa"/>
          </w:tcPr>
          <w:p w14:paraId="1227BA81" w14:textId="77777777" w:rsidR="00D7228B" w:rsidRDefault="00D7228B">
            <w:pPr>
              <w:pStyle w:val="TableSideHeading"/>
              <w:rPr>
                <w:sz w:val="26"/>
              </w:rPr>
            </w:pPr>
          </w:p>
        </w:tc>
        <w:tc>
          <w:tcPr>
            <w:tcW w:w="624" w:type="dxa"/>
          </w:tcPr>
          <w:p w14:paraId="192A9E63" w14:textId="77777777" w:rsidR="00D7228B" w:rsidRDefault="00D7228B">
            <w:pPr>
              <w:pStyle w:val="TableText"/>
              <w:rPr>
                <w:sz w:val="26"/>
              </w:rPr>
            </w:pPr>
          </w:p>
        </w:tc>
        <w:tc>
          <w:tcPr>
            <w:tcW w:w="624" w:type="dxa"/>
          </w:tcPr>
          <w:p w14:paraId="130B064C" w14:textId="77777777" w:rsidR="00D7228B" w:rsidRPr="00CE2086" w:rsidRDefault="00D7228B">
            <w:pPr>
              <w:pStyle w:val="TableText"/>
              <w:rPr>
                <w:sz w:val="26"/>
              </w:rPr>
            </w:pPr>
          </w:p>
        </w:tc>
        <w:tc>
          <w:tcPr>
            <w:tcW w:w="6519" w:type="dxa"/>
            <w:gridSpan w:val="2"/>
            <w:hideMark/>
          </w:tcPr>
          <w:p w14:paraId="28FD4C48" w14:textId="7C1363C9" w:rsidR="00D7228B" w:rsidRPr="00CE2086" w:rsidRDefault="00D7228B" w:rsidP="00B540BD">
            <w:pPr>
              <w:pStyle w:val="TableBlock"/>
              <w:tabs>
                <w:tab w:val="left" w:pos="624"/>
                <w:tab w:val="left" w:pos="1247"/>
              </w:tabs>
              <w:rPr>
                <w:sz w:val="26"/>
              </w:rPr>
            </w:pPr>
            <w:r w:rsidRPr="00CE2086">
              <w:rPr>
                <w:sz w:val="26"/>
                <w:rtl/>
              </w:rPr>
              <w:t>(ה)</w:t>
            </w:r>
            <w:r w:rsidRPr="00CE2086">
              <w:rPr>
                <w:sz w:val="26"/>
                <w:rtl/>
              </w:rPr>
              <w:tab/>
            </w:r>
            <w:r w:rsidRPr="00CE2086">
              <w:rPr>
                <w:rFonts w:hint="eastAsia"/>
                <w:sz w:val="26"/>
                <w:rtl/>
              </w:rPr>
              <w:t>לא</w:t>
            </w:r>
            <w:r w:rsidRPr="00CE2086">
              <w:rPr>
                <w:sz w:val="26"/>
                <w:rtl/>
              </w:rPr>
              <w:t xml:space="preserve"> הוגשה</w:t>
            </w:r>
            <w:r w:rsidR="000F57C1" w:rsidRPr="00CE2086">
              <w:rPr>
                <w:sz w:val="26"/>
                <w:rtl/>
              </w:rPr>
              <w:t xml:space="preserve"> לעניין העובד הזר הנדרש</w:t>
            </w:r>
            <w:r w:rsidRPr="00CE2086">
              <w:rPr>
                <w:sz w:val="26"/>
                <w:rtl/>
              </w:rPr>
              <w:t xml:space="preserve"> בקשה קודמת </w:t>
            </w:r>
            <w:r w:rsidR="000F57C1" w:rsidRPr="00CE2086">
              <w:rPr>
                <w:rFonts w:hint="eastAsia"/>
                <w:sz w:val="26"/>
                <w:rtl/>
              </w:rPr>
              <w:t>לפי</w:t>
            </w:r>
            <w:r w:rsidR="000F57C1" w:rsidRPr="00CE2086">
              <w:rPr>
                <w:sz w:val="26"/>
                <w:rtl/>
              </w:rPr>
              <w:t xml:space="preserve"> סעיף קטן זה </w:t>
            </w:r>
            <w:r w:rsidRPr="00CE2086">
              <w:rPr>
                <w:sz w:val="26"/>
                <w:rtl/>
              </w:rPr>
              <w:t xml:space="preserve">על ידי מטופל סיעודי אחר, </w:t>
            </w:r>
            <w:r w:rsidR="000F57C1" w:rsidRPr="00CE2086">
              <w:rPr>
                <w:rFonts w:hint="eastAsia"/>
                <w:sz w:val="26"/>
                <w:rtl/>
              </w:rPr>
              <w:t>למעט</w:t>
            </w:r>
            <w:r w:rsidR="000F57C1" w:rsidRPr="00CE2086">
              <w:rPr>
                <w:sz w:val="26"/>
                <w:rtl/>
              </w:rPr>
              <w:t xml:space="preserve"> </w:t>
            </w:r>
            <w:r w:rsidRPr="00CE2086">
              <w:rPr>
                <w:sz w:val="26"/>
                <w:rtl/>
              </w:rPr>
              <w:t>בקשה שהוגשה על ידי מטופל סיעוד</w:t>
            </w:r>
            <w:r w:rsidR="00575CEF" w:rsidRPr="00B540BD">
              <w:rPr>
                <w:rFonts w:hint="eastAsia"/>
                <w:sz w:val="26"/>
                <w:rtl/>
              </w:rPr>
              <w:t>י</w:t>
            </w:r>
            <w:r w:rsidRPr="00CE2086">
              <w:rPr>
                <w:sz w:val="26"/>
                <w:rtl/>
              </w:rPr>
              <w:t xml:space="preserve"> </w:t>
            </w:r>
            <w:r w:rsidRPr="00CE2086">
              <w:rPr>
                <w:rFonts w:hint="eastAsia"/>
                <w:sz w:val="26"/>
                <w:rtl/>
              </w:rPr>
              <w:t>שהוא</w:t>
            </w:r>
            <w:r w:rsidRPr="00CE2086">
              <w:rPr>
                <w:sz w:val="26"/>
                <w:rtl/>
              </w:rPr>
              <w:t xml:space="preserve"> </w:t>
            </w:r>
            <w:r w:rsidRPr="00CE2086">
              <w:rPr>
                <w:rFonts w:hint="eastAsia"/>
                <w:sz w:val="26"/>
                <w:rtl/>
              </w:rPr>
              <w:t>בן</w:t>
            </w:r>
            <w:r w:rsidRPr="00CE2086">
              <w:rPr>
                <w:sz w:val="26"/>
                <w:rtl/>
              </w:rPr>
              <w:t xml:space="preserve"> </w:t>
            </w:r>
            <w:r w:rsidRPr="00CE2086">
              <w:rPr>
                <w:rFonts w:hint="eastAsia"/>
                <w:sz w:val="26"/>
                <w:rtl/>
              </w:rPr>
              <w:t>זוג</w:t>
            </w:r>
            <w:r w:rsidRPr="00CE2086">
              <w:rPr>
                <w:sz w:val="26"/>
                <w:rtl/>
              </w:rPr>
              <w:t xml:space="preserve"> </w:t>
            </w:r>
            <w:r w:rsidRPr="00CE2086">
              <w:rPr>
                <w:rFonts w:hint="eastAsia"/>
                <w:sz w:val="26"/>
                <w:rtl/>
              </w:rPr>
              <w:t>של</w:t>
            </w:r>
            <w:r w:rsidRPr="00CE2086">
              <w:rPr>
                <w:sz w:val="26"/>
                <w:rtl/>
              </w:rPr>
              <w:t xml:space="preserve"> </w:t>
            </w:r>
            <w:r w:rsidRPr="00CE2086">
              <w:rPr>
                <w:rFonts w:hint="eastAsia"/>
                <w:sz w:val="26"/>
                <w:rtl/>
              </w:rPr>
              <w:t>המטופל</w:t>
            </w:r>
            <w:r w:rsidRPr="00CE2086">
              <w:rPr>
                <w:sz w:val="26"/>
                <w:rtl/>
              </w:rPr>
              <w:t xml:space="preserve"> </w:t>
            </w:r>
            <w:r w:rsidRPr="00CE2086">
              <w:rPr>
                <w:rFonts w:hint="eastAsia"/>
                <w:sz w:val="26"/>
                <w:rtl/>
              </w:rPr>
              <w:t>הסיעודי</w:t>
            </w:r>
            <w:r w:rsidRPr="00CE2086">
              <w:rPr>
                <w:sz w:val="26"/>
                <w:rtl/>
              </w:rPr>
              <w:t xml:space="preserve"> </w:t>
            </w:r>
            <w:r w:rsidRPr="00CE2086">
              <w:rPr>
                <w:rFonts w:hint="eastAsia"/>
                <w:sz w:val="26"/>
                <w:rtl/>
              </w:rPr>
              <w:t>המבקש</w:t>
            </w:r>
            <w:r w:rsidRPr="00CE2086">
              <w:rPr>
                <w:sz w:val="26"/>
                <w:rtl/>
              </w:rPr>
              <w:t>."</w:t>
            </w:r>
          </w:p>
        </w:tc>
      </w:tr>
      <w:tr w:rsidR="00D7228B" w14:paraId="7FDE2963" w14:textId="77777777" w:rsidTr="00B540BD">
        <w:trPr>
          <w:cantSplit/>
        </w:trPr>
        <w:tc>
          <w:tcPr>
            <w:tcW w:w="1873" w:type="dxa"/>
            <w:hideMark/>
          </w:tcPr>
          <w:p w14:paraId="5482BEA6" w14:textId="77777777" w:rsidR="00D7228B" w:rsidRDefault="00D7228B">
            <w:pPr>
              <w:pStyle w:val="TableSideHeading"/>
              <w:keepLines w:val="0"/>
              <w:rPr>
                <w:sz w:val="26"/>
              </w:rPr>
            </w:pPr>
            <w:r>
              <w:rPr>
                <w:rFonts w:hint="cs"/>
                <w:sz w:val="26"/>
                <w:rtl/>
              </w:rPr>
              <w:t>הוראת מעבר</w:t>
            </w:r>
          </w:p>
        </w:tc>
        <w:tc>
          <w:tcPr>
            <w:tcW w:w="624" w:type="dxa"/>
            <w:hideMark/>
          </w:tcPr>
          <w:p w14:paraId="36D8D87F" w14:textId="77777777" w:rsidR="00D7228B" w:rsidRDefault="00D7228B">
            <w:pPr>
              <w:pStyle w:val="TableText"/>
              <w:keepLines w:val="0"/>
              <w:rPr>
                <w:sz w:val="26"/>
              </w:rPr>
            </w:pPr>
            <w:r>
              <w:rPr>
                <w:rFonts w:hint="cs"/>
                <w:sz w:val="26"/>
                <w:rtl/>
              </w:rPr>
              <w:t>2.</w:t>
            </w:r>
          </w:p>
        </w:tc>
        <w:tc>
          <w:tcPr>
            <w:tcW w:w="7143" w:type="dxa"/>
            <w:gridSpan w:val="3"/>
            <w:hideMark/>
          </w:tcPr>
          <w:p w14:paraId="37F65315" w14:textId="5BE3898E" w:rsidR="00D7228B" w:rsidRDefault="00D7228B" w:rsidP="00B540BD">
            <w:pPr>
              <w:pStyle w:val="TableBlock"/>
              <w:tabs>
                <w:tab w:val="left" w:pos="624"/>
                <w:tab w:val="left" w:pos="1247"/>
              </w:tabs>
              <w:rPr>
                <w:sz w:val="26"/>
              </w:rPr>
            </w:pPr>
            <w:r>
              <w:rPr>
                <w:rFonts w:hint="cs"/>
                <w:sz w:val="26"/>
                <w:rtl/>
              </w:rPr>
              <w:t>אין באמור ב</w:t>
            </w:r>
            <w:r w:rsidR="000F57C1">
              <w:rPr>
                <w:rFonts w:hint="cs"/>
                <w:sz w:val="26"/>
                <w:rtl/>
              </w:rPr>
              <w:t xml:space="preserve">חוק </w:t>
            </w:r>
            <w:r>
              <w:rPr>
                <w:rFonts w:hint="cs"/>
                <w:sz w:val="26"/>
                <w:rtl/>
              </w:rPr>
              <w:t xml:space="preserve"> זה</w:t>
            </w:r>
            <w:r w:rsidR="00591227">
              <w:rPr>
                <w:rFonts w:hint="cs"/>
                <w:sz w:val="26"/>
                <w:rtl/>
              </w:rPr>
              <w:t xml:space="preserve"> כדי</w:t>
            </w:r>
            <w:r>
              <w:rPr>
                <w:rFonts w:hint="cs"/>
                <w:sz w:val="26"/>
                <w:rtl/>
              </w:rPr>
              <w:t xml:space="preserve"> לפגוע בהחלטה שהתקבלה לפי סעיף </w:t>
            </w:r>
            <w:r w:rsidR="000F57C1">
              <w:rPr>
                <w:rFonts w:hint="cs"/>
                <w:sz w:val="26"/>
                <w:rtl/>
              </w:rPr>
              <w:t>3א'ב1</w:t>
            </w:r>
            <w:r w:rsidR="00D81925">
              <w:rPr>
                <w:rFonts w:hint="cs"/>
                <w:sz w:val="26"/>
                <w:rtl/>
              </w:rPr>
              <w:t xml:space="preserve"> </w:t>
            </w:r>
            <w:r w:rsidR="000F57C1">
              <w:rPr>
                <w:rFonts w:hint="cs"/>
                <w:sz w:val="26"/>
                <w:rtl/>
              </w:rPr>
              <w:t>כנוסחו בחוק העיקרי,</w:t>
            </w:r>
            <w:r>
              <w:rPr>
                <w:rFonts w:hint="cs"/>
                <w:sz w:val="26"/>
                <w:rtl/>
              </w:rPr>
              <w:t xml:space="preserve"> </w:t>
            </w:r>
            <w:r w:rsidR="000A02F8">
              <w:rPr>
                <w:rFonts w:hint="cs"/>
                <w:sz w:val="26"/>
                <w:rtl/>
              </w:rPr>
              <w:t xml:space="preserve">ערב </w:t>
            </w:r>
            <w:r>
              <w:rPr>
                <w:rFonts w:hint="cs"/>
                <w:sz w:val="26"/>
                <w:rtl/>
              </w:rPr>
              <w:t xml:space="preserve">תחילתו של </w:t>
            </w:r>
            <w:r w:rsidR="009B7235">
              <w:rPr>
                <w:rFonts w:hint="cs"/>
                <w:sz w:val="26"/>
                <w:rtl/>
              </w:rPr>
              <w:t xml:space="preserve">חוק </w:t>
            </w:r>
            <w:r>
              <w:rPr>
                <w:rFonts w:hint="cs"/>
                <w:sz w:val="26"/>
                <w:rtl/>
              </w:rPr>
              <w:t>זה.</w:t>
            </w:r>
          </w:p>
        </w:tc>
      </w:tr>
    </w:tbl>
    <w:p w14:paraId="7F6961CA" w14:textId="77777777" w:rsidR="002D1EE3" w:rsidRDefault="002D1EE3" w:rsidP="002D1EE3">
      <w:pPr>
        <w:pStyle w:val="HeadDivreiHesber"/>
        <w:rPr>
          <w:rtl/>
        </w:rPr>
      </w:pPr>
      <w:r w:rsidRPr="0027450A">
        <w:rPr>
          <w:rFonts w:hint="cs"/>
          <w:rtl/>
        </w:rPr>
        <w:t>דברי הסבר</w:t>
      </w:r>
    </w:p>
    <w:p w14:paraId="7896FE54" w14:textId="4320E527" w:rsidR="00D7228B" w:rsidRDefault="00D7228B" w:rsidP="00B540BD">
      <w:pPr>
        <w:pStyle w:val="Hesber"/>
      </w:pPr>
      <w:r>
        <w:rPr>
          <w:rFonts w:hint="cs"/>
          <w:rtl/>
        </w:rPr>
        <w:t>סעיף 3א(ב1) לחוק הכניסה לישראל, התשי"ב–1952</w:t>
      </w:r>
      <w:r w:rsidR="00F85B45">
        <w:rPr>
          <w:rFonts w:hint="cs"/>
          <w:rtl/>
        </w:rPr>
        <w:t xml:space="preserve"> (להלן –החוק)</w:t>
      </w:r>
      <w:r>
        <w:rPr>
          <w:rFonts w:hint="cs"/>
          <w:rtl/>
        </w:rPr>
        <w:t>, כפי שנוסף לחוק בשנת 2011, הסמיך את שר הפנים להאריך שהות עובדי הסיעוד הזרים בישראל מעבר לתקופות המרביות הרגילות הקבועות בחוק. בעקבות תיקון החוק, הוגשו אלפי בקשות חריגות לוועדה המייעצת, ומחמת עומס הבקשות והזמן הרב הנדרש לבדוק אותן לעומק, הוחלט בשנת 2014 על מתן אישור גורף לכ-5000 בקשות חריגות כאמור, תוך הקשחת הקריטריונים בנוהל המשמש את הוועדה לבחינת בקשות חדשות שיוגשו.</w:t>
      </w:r>
    </w:p>
    <w:p w14:paraId="53A7D855" w14:textId="0CE7142C" w:rsidR="00D7228B" w:rsidRDefault="00D7228B" w:rsidP="00D7228B">
      <w:pPr>
        <w:pStyle w:val="Hesber"/>
        <w:rPr>
          <w:rtl/>
        </w:rPr>
      </w:pPr>
      <w:r>
        <w:rPr>
          <w:rFonts w:hint="cs"/>
          <w:rtl/>
        </w:rPr>
        <w:t>לדעת הגורמים המקצועיים ברשות ההגירה, המציאות שנוצרה לאחר התיקון האמור גרמה לתופעות קשות, הן מהפן של נטישת מטופלים סיעודיים והן מהפן של פגיעה במדיניות ההגירה של המדינה כ</w:t>
      </w:r>
      <w:r w:rsidR="004F69E4">
        <w:rPr>
          <w:rFonts w:hint="cs"/>
          <w:rtl/>
        </w:rPr>
        <w:t xml:space="preserve">מפורט </w:t>
      </w:r>
      <w:r>
        <w:rPr>
          <w:rFonts w:hint="cs"/>
          <w:rtl/>
        </w:rPr>
        <w:t>להלן:</w:t>
      </w:r>
    </w:p>
    <w:p w14:paraId="6923280B" w14:textId="0E6DE951" w:rsidR="00D7228B" w:rsidRDefault="00D7228B" w:rsidP="00D7228B">
      <w:pPr>
        <w:pStyle w:val="Hesber"/>
        <w:rPr>
          <w:rtl/>
        </w:rPr>
      </w:pPr>
      <w:r>
        <w:rPr>
          <w:rFonts w:hint="cs"/>
          <w:rtl/>
        </w:rPr>
        <w:t xml:space="preserve">- </w:t>
      </w:r>
      <w:r>
        <w:rPr>
          <w:rFonts w:hint="cs"/>
          <w:b/>
          <w:bCs/>
          <w:rtl/>
        </w:rPr>
        <w:t>הגברת נטישת מטופלים</w:t>
      </w:r>
      <w:r>
        <w:rPr>
          <w:rFonts w:hint="cs"/>
          <w:rtl/>
        </w:rPr>
        <w:t xml:space="preserve"> – לפני התיקון, עובד זר שסיים 51 חודשים בישראל, אשר ביקש להישאר בישראל תקופה נוספת כדין, היה חייב להמשיך לעבוד אצל המטופל הסיעודי אותו סעד באותה העת, והוא לא היה רשאי לעבור לעבוד אצל מטופל אחר, מאחר </w:t>
      </w:r>
      <w:r w:rsidR="004F69E4">
        <w:rPr>
          <w:rFonts w:hint="cs"/>
          <w:rtl/>
        </w:rPr>
        <w:t>ש</w:t>
      </w:r>
      <w:r>
        <w:rPr>
          <w:rFonts w:hint="cs"/>
          <w:rtl/>
        </w:rPr>
        <w:t xml:space="preserve">הוא </w:t>
      </w:r>
      <w:r w:rsidR="004F69E4">
        <w:rPr>
          <w:rFonts w:hint="cs"/>
          <w:rtl/>
        </w:rPr>
        <w:t>מ</w:t>
      </w:r>
      <w:r>
        <w:rPr>
          <w:rFonts w:hint="cs"/>
          <w:rtl/>
        </w:rPr>
        <w:t>יצ</w:t>
      </w:r>
      <w:r w:rsidR="004F69E4">
        <w:rPr>
          <w:rFonts w:hint="cs"/>
          <w:rtl/>
        </w:rPr>
        <w:t>ה</w:t>
      </w:r>
      <w:r>
        <w:rPr>
          <w:rFonts w:hint="cs"/>
          <w:rtl/>
        </w:rPr>
        <w:t xml:space="preserve"> את תקופת ההעסקה המרבית המותרת בישראל. התיקון לחוק, שנועד להיטיב עם מטופלים סיעודיים, בפועל פגע במטופלים אחרים, מאחר שבעקבות התיקון, גם עובדי סיעוד הוותיקים הנ"ל יוכלו לעזוב את המטופלים הסיעודיים שאותם סעדו, ולעבור למטופלים אחרים אשר הגישו אותם לוועדת החריגים. במקרים רבים, אותו עובד זר עבר בין מטופל למטופל גם בזמן ההמתנה להחלטת ועדת החריגים בעניינו, כך שגם למטופל שהגישו לוועדת החריגים אין ודאות לגבי הישארות העובד הזר אצלו.</w:t>
      </w:r>
    </w:p>
    <w:p w14:paraId="04C40ECF" w14:textId="2854E282" w:rsidR="00D7228B" w:rsidRDefault="00D7228B" w:rsidP="00B540BD">
      <w:pPr>
        <w:pStyle w:val="Hesber"/>
      </w:pPr>
      <w:r>
        <w:rPr>
          <w:rFonts w:hint="cs"/>
          <w:rtl/>
        </w:rPr>
        <w:lastRenderedPageBreak/>
        <w:t xml:space="preserve">- </w:t>
      </w:r>
      <w:r>
        <w:rPr>
          <w:rFonts w:hint="cs"/>
          <w:b/>
          <w:bCs/>
          <w:rtl/>
        </w:rPr>
        <w:t xml:space="preserve">הגדלת </w:t>
      </w:r>
      <w:r w:rsidR="00F85B45">
        <w:rPr>
          <w:rFonts w:hint="cs"/>
          <w:b/>
          <w:bCs/>
          <w:rtl/>
        </w:rPr>
        <w:t xml:space="preserve">מספר </w:t>
      </w:r>
      <w:r>
        <w:rPr>
          <w:rFonts w:hint="cs"/>
          <w:b/>
          <w:bCs/>
          <w:rtl/>
        </w:rPr>
        <w:t>העובדים הזרים השוהים בישראל תקופות ארוכות</w:t>
      </w:r>
      <w:r>
        <w:rPr>
          <w:rFonts w:hint="cs"/>
          <w:rtl/>
        </w:rPr>
        <w:t xml:space="preserve"> – בעקבות התיקון לחוק והעיכוב בטיפול בבקשות בעקבות העומס הרב שנוצר, וכן האישור הגורף בתנאים שנקבע בעקבות כך, עלה באופן משמעותי מספר עובדי הסיעוד הזרים שהעסקתם ושהותם במדינה הותרה במשך תקופות ארוכות. על השפעת אורך שהותו של עובד זר על זכויותיו בישראל ניתן ללמוד מפסק הדין בבג"ץ 1105/06 </w:t>
      </w:r>
      <w:r>
        <w:rPr>
          <w:rFonts w:hint="cs"/>
          <w:b/>
          <w:bCs/>
          <w:rtl/>
        </w:rPr>
        <w:t>קו לעובד נגד שר הרווחה</w:t>
      </w:r>
      <w:r>
        <w:rPr>
          <w:rFonts w:hint="cs"/>
          <w:rtl/>
        </w:rPr>
        <w:t xml:space="preserve"> </w:t>
      </w:r>
      <w:r w:rsidR="00025BFB">
        <w:rPr>
          <w:rFonts w:hint="cs"/>
          <w:rtl/>
        </w:rPr>
        <w:t>(ניתן ב</w:t>
      </w:r>
      <w:r>
        <w:rPr>
          <w:rFonts w:hint="cs"/>
          <w:rtl/>
        </w:rPr>
        <w:t>יום 22 ביוני 2014</w:t>
      </w:r>
      <w:r w:rsidR="00025BFB">
        <w:rPr>
          <w:rFonts w:hint="cs"/>
          <w:rtl/>
        </w:rPr>
        <w:t>)</w:t>
      </w:r>
      <w:r>
        <w:rPr>
          <w:rFonts w:hint="cs"/>
          <w:rtl/>
        </w:rPr>
        <w:t>, אשר הורה לשר הבריאות להסדיר לעובדי סיעוד זרים השוהים בישראל תקופות ארוכות, ביטוח רפואי בתנאים קרובים יותר לביטוח המסופק לתושבי המדינה, וזאת בעקבות זיקתם החזקה לישראל. נוכח פסק הדין, המשך התרת עבודתם של מספר גדול של עובדים זרים בישראל במשך תקופות ארוכות, עלול בסופו של יום לפגוע במדיניות ההגירה של ישראל, ולחייב הענקת זכויות נוספ</w:t>
      </w:r>
      <w:r w:rsidR="00025BFB">
        <w:rPr>
          <w:rFonts w:hint="cs"/>
          <w:rtl/>
        </w:rPr>
        <w:t>ו</w:t>
      </w:r>
      <w:r>
        <w:rPr>
          <w:rFonts w:hint="cs"/>
          <w:rtl/>
        </w:rPr>
        <w:t>ת לעובדים ותיקים בדומה לזכויות המוענקות לתושבים, מלבד ההשלכות התקציביות למערך הבריאות של המדינה. כן יצוין כי התיקון עודד עובדים זרים להישאר בישראל גם באופן בלתי חוקי, ונמצא כי גם עובדים שהיו מיועדים להרחקה הוגשו לוועדת החריגים על ידי מטופלים סיעודיים שביקשו להעסיקם על אף שהותם שלא כדין במדינה במשך תקופות ארוכות.</w:t>
      </w:r>
    </w:p>
    <w:p w14:paraId="7078C262" w14:textId="478742CE" w:rsidR="00D7228B" w:rsidRDefault="00D7228B" w:rsidP="00D7228B">
      <w:pPr>
        <w:pStyle w:val="Hesber"/>
      </w:pPr>
      <w:r>
        <w:rPr>
          <w:rFonts w:hint="cs"/>
          <w:rtl/>
        </w:rPr>
        <w:t xml:space="preserve"> אי לכך, לדעת הגורמים המקצועיים ברשות, קיים צורך דחוף לתקן את הוראות סעיף 3א(ב1) הנ"ל, במטרה לקבוע תנאי סף קשיחים בחוק לגבי העובדים הזרים שניתן לשקול הארכת שהותם מעבר לתקופות ההעסקה הרגילות של עובדי סיעוד זרים, לבקשת מטופל סיעודי במקרים ה</w:t>
      </w:r>
      <w:r w:rsidR="00025BFB">
        <w:rPr>
          <w:rFonts w:hint="cs"/>
          <w:rtl/>
        </w:rPr>
        <w:t>ו</w:t>
      </w:r>
      <w:r>
        <w:rPr>
          <w:rFonts w:hint="cs"/>
          <w:rtl/>
        </w:rPr>
        <w:t>מאניים מיוחדים. לפי ההצעה, שר הפנים יהא רשאי להאריך שהות של עובד זר שנכנס לישראל באשרת ב/1 לענף הסיעוד, רק אם העובד שוהה בישראל כדין והתקיימו לו תנאים נוספים כלהלן אשר יעודדו נאמנות למטופל סיעודי אחר ומניעת נטישת מטופלים</w:t>
      </w:r>
      <w:r w:rsidR="00025BFB">
        <w:rPr>
          <w:rFonts w:hint="cs"/>
          <w:rtl/>
        </w:rPr>
        <w:t>:</w:t>
      </w:r>
    </w:p>
    <w:p w14:paraId="63C629BA" w14:textId="77777777" w:rsidR="00D7228B" w:rsidRPr="009D2933" w:rsidRDefault="00D7228B" w:rsidP="00D7228B">
      <w:pPr>
        <w:pStyle w:val="Hesber"/>
        <w:numPr>
          <w:ilvl w:val="0"/>
          <w:numId w:val="15"/>
        </w:numPr>
        <w:textAlignment w:val="auto"/>
        <w:rPr>
          <w:rtl/>
        </w:rPr>
      </w:pPr>
      <w:r w:rsidRPr="009D2933">
        <w:rPr>
          <w:rFonts w:hint="eastAsia"/>
          <w:rtl/>
        </w:rPr>
        <w:t>במשך</w:t>
      </w:r>
      <w:r w:rsidRPr="009D2933">
        <w:rPr>
          <w:rtl/>
        </w:rPr>
        <w:t xml:space="preserve"> </w:t>
      </w:r>
      <w:r w:rsidRPr="009D2933">
        <w:rPr>
          <w:rFonts w:hint="eastAsia"/>
          <w:rtl/>
        </w:rPr>
        <w:t>תקופת</w:t>
      </w:r>
      <w:r w:rsidRPr="009D2933">
        <w:rPr>
          <w:rtl/>
        </w:rPr>
        <w:t xml:space="preserve"> </w:t>
      </w:r>
      <w:r w:rsidRPr="009D2933">
        <w:rPr>
          <w:rFonts w:hint="eastAsia"/>
          <w:rtl/>
        </w:rPr>
        <w:t>שהותו</w:t>
      </w:r>
      <w:r w:rsidRPr="009D2933">
        <w:rPr>
          <w:rtl/>
        </w:rPr>
        <w:t xml:space="preserve"> </w:t>
      </w:r>
      <w:r w:rsidRPr="009D2933">
        <w:rPr>
          <w:rFonts w:hint="eastAsia"/>
          <w:rtl/>
        </w:rPr>
        <w:t>בישראל</w:t>
      </w:r>
      <w:r w:rsidRPr="009D2933">
        <w:rPr>
          <w:rtl/>
        </w:rPr>
        <w:t xml:space="preserve">, </w:t>
      </w:r>
      <w:r w:rsidRPr="009D2933">
        <w:rPr>
          <w:rFonts w:hint="eastAsia"/>
          <w:rtl/>
        </w:rPr>
        <w:t>העובד</w:t>
      </w:r>
      <w:r w:rsidRPr="009D2933">
        <w:rPr>
          <w:rtl/>
        </w:rPr>
        <w:t xml:space="preserve"> </w:t>
      </w:r>
      <w:r w:rsidRPr="009D2933">
        <w:rPr>
          <w:rFonts w:hint="eastAsia"/>
          <w:rtl/>
        </w:rPr>
        <w:t>הזר</w:t>
      </w:r>
      <w:r w:rsidRPr="009D2933">
        <w:rPr>
          <w:rtl/>
        </w:rPr>
        <w:t xml:space="preserve"> </w:t>
      </w:r>
      <w:r w:rsidRPr="009D2933">
        <w:rPr>
          <w:rFonts w:hint="eastAsia"/>
          <w:rtl/>
        </w:rPr>
        <w:t>הנדרש</w:t>
      </w:r>
      <w:r w:rsidRPr="009D2933">
        <w:rPr>
          <w:rtl/>
        </w:rPr>
        <w:t xml:space="preserve"> </w:t>
      </w:r>
      <w:r w:rsidRPr="009D2933">
        <w:rPr>
          <w:rFonts w:hint="eastAsia"/>
          <w:rtl/>
        </w:rPr>
        <w:t>הועסק</w:t>
      </w:r>
      <w:r w:rsidRPr="009D2933">
        <w:rPr>
          <w:rtl/>
        </w:rPr>
        <w:t xml:space="preserve"> </w:t>
      </w:r>
      <w:r w:rsidRPr="009D2933">
        <w:rPr>
          <w:rFonts w:hint="eastAsia"/>
          <w:rtl/>
        </w:rPr>
        <w:t>כדין</w:t>
      </w:r>
      <w:r w:rsidRPr="009D2933">
        <w:rPr>
          <w:rtl/>
        </w:rPr>
        <w:t xml:space="preserve"> </w:t>
      </w:r>
      <w:r w:rsidRPr="009D2933">
        <w:rPr>
          <w:rFonts w:hint="eastAsia"/>
          <w:rtl/>
        </w:rPr>
        <w:t>אצל</w:t>
      </w:r>
      <w:r w:rsidRPr="009D2933">
        <w:rPr>
          <w:rtl/>
        </w:rPr>
        <w:t xml:space="preserve"> </w:t>
      </w:r>
      <w:r w:rsidRPr="009D2933">
        <w:rPr>
          <w:rFonts w:hint="eastAsia"/>
          <w:rtl/>
        </w:rPr>
        <w:t>מטופל</w:t>
      </w:r>
      <w:r w:rsidRPr="009D2933">
        <w:rPr>
          <w:rtl/>
        </w:rPr>
        <w:t xml:space="preserve"> </w:t>
      </w:r>
      <w:r w:rsidRPr="009D2933">
        <w:rPr>
          <w:rFonts w:hint="eastAsia"/>
          <w:rtl/>
        </w:rPr>
        <w:t>סיעודי</w:t>
      </w:r>
      <w:r w:rsidRPr="009D2933">
        <w:rPr>
          <w:rtl/>
        </w:rPr>
        <w:t xml:space="preserve"> </w:t>
      </w:r>
      <w:r w:rsidRPr="009D2933">
        <w:rPr>
          <w:rFonts w:hint="eastAsia"/>
          <w:rtl/>
        </w:rPr>
        <w:t>אחד</w:t>
      </w:r>
      <w:r w:rsidRPr="009D2933">
        <w:rPr>
          <w:rtl/>
        </w:rPr>
        <w:t xml:space="preserve"> </w:t>
      </w:r>
      <w:r w:rsidRPr="009D2933">
        <w:rPr>
          <w:rFonts w:hint="eastAsia"/>
          <w:rtl/>
        </w:rPr>
        <w:t>במשך</w:t>
      </w:r>
      <w:r w:rsidRPr="009D2933">
        <w:rPr>
          <w:rtl/>
        </w:rPr>
        <w:t xml:space="preserve"> </w:t>
      </w:r>
      <w:r w:rsidRPr="009D2933">
        <w:rPr>
          <w:rFonts w:hint="eastAsia"/>
          <w:rtl/>
        </w:rPr>
        <w:t>תקופה</w:t>
      </w:r>
      <w:r w:rsidRPr="009D2933">
        <w:rPr>
          <w:rtl/>
        </w:rPr>
        <w:t xml:space="preserve"> </w:t>
      </w:r>
      <w:r w:rsidRPr="009D2933">
        <w:rPr>
          <w:rFonts w:hint="eastAsia"/>
          <w:rtl/>
        </w:rPr>
        <w:t>של</w:t>
      </w:r>
      <w:r w:rsidRPr="009D2933">
        <w:rPr>
          <w:rtl/>
        </w:rPr>
        <w:t xml:space="preserve"> </w:t>
      </w:r>
      <w:r w:rsidRPr="009D2933">
        <w:rPr>
          <w:rFonts w:hint="eastAsia"/>
          <w:rtl/>
        </w:rPr>
        <w:t>עשרים</w:t>
      </w:r>
      <w:r w:rsidRPr="009D2933">
        <w:rPr>
          <w:rtl/>
        </w:rPr>
        <w:t xml:space="preserve"> </w:t>
      </w:r>
      <w:r w:rsidRPr="009D2933">
        <w:rPr>
          <w:rFonts w:hint="eastAsia"/>
          <w:rtl/>
        </w:rPr>
        <w:t>וארבעה</w:t>
      </w:r>
      <w:r w:rsidRPr="009D2933">
        <w:rPr>
          <w:rtl/>
        </w:rPr>
        <w:t xml:space="preserve"> </w:t>
      </w:r>
      <w:r w:rsidRPr="009D2933">
        <w:rPr>
          <w:rFonts w:hint="eastAsia"/>
          <w:rtl/>
        </w:rPr>
        <w:t>חודשים</w:t>
      </w:r>
      <w:r w:rsidRPr="009D2933">
        <w:rPr>
          <w:rtl/>
        </w:rPr>
        <w:t xml:space="preserve"> </w:t>
      </w:r>
      <w:r w:rsidRPr="009D2933">
        <w:rPr>
          <w:rFonts w:hint="eastAsia"/>
          <w:rtl/>
        </w:rPr>
        <w:t>לפחות</w:t>
      </w:r>
      <w:r w:rsidRPr="009D2933">
        <w:rPr>
          <w:rtl/>
        </w:rPr>
        <w:t>.</w:t>
      </w:r>
    </w:p>
    <w:p w14:paraId="443BB5A3" w14:textId="77777777" w:rsidR="00D7228B" w:rsidRPr="009D2933" w:rsidRDefault="00D7228B" w:rsidP="00D7228B">
      <w:pPr>
        <w:pStyle w:val="Hesber"/>
        <w:numPr>
          <w:ilvl w:val="0"/>
          <w:numId w:val="15"/>
        </w:numPr>
        <w:textAlignment w:val="auto"/>
      </w:pPr>
      <w:r w:rsidRPr="009D2933">
        <w:rPr>
          <w:rFonts w:hint="eastAsia"/>
          <w:rtl/>
        </w:rPr>
        <w:t>העובד</w:t>
      </w:r>
      <w:r w:rsidRPr="009D2933">
        <w:rPr>
          <w:rtl/>
        </w:rPr>
        <w:t xml:space="preserve"> </w:t>
      </w:r>
      <w:r w:rsidRPr="009D2933">
        <w:rPr>
          <w:rFonts w:hint="eastAsia"/>
          <w:rtl/>
        </w:rPr>
        <w:t>הזר</w:t>
      </w:r>
      <w:r w:rsidRPr="009D2933">
        <w:rPr>
          <w:rtl/>
        </w:rPr>
        <w:t xml:space="preserve"> </w:t>
      </w:r>
      <w:r w:rsidRPr="009D2933">
        <w:rPr>
          <w:rFonts w:hint="eastAsia"/>
          <w:rtl/>
        </w:rPr>
        <w:t>הנדרש</w:t>
      </w:r>
      <w:r w:rsidRPr="009D2933">
        <w:rPr>
          <w:rtl/>
        </w:rPr>
        <w:t xml:space="preserve"> </w:t>
      </w:r>
      <w:r w:rsidRPr="009D2933">
        <w:rPr>
          <w:rFonts w:hint="eastAsia"/>
          <w:rtl/>
        </w:rPr>
        <w:t>סיים</w:t>
      </w:r>
      <w:r w:rsidRPr="009D2933">
        <w:rPr>
          <w:rtl/>
        </w:rPr>
        <w:t xml:space="preserve"> </w:t>
      </w:r>
      <w:r w:rsidRPr="009D2933">
        <w:rPr>
          <w:rFonts w:hint="eastAsia"/>
          <w:rtl/>
        </w:rPr>
        <w:t>את</w:t>
      </w:r>
      <w:r w:rsidRPr="009D2933">
        <w:rPr>
          <w:rtl/>
        </w:rPr>
        <w:t xml:space="preserve"> </w:t>
      </w:r>
      <w:r w:rsidRPr="009D2933">
        <w:rPr>
          <w:rFonts w:hint="eastAsia"/>
          <w:rtl/>
        </w:rPr>
        <w:t>העסקתו</w:t>
      </w:r>
      <w:r w:rsidRPr="009D2933">
        <w:rPr>
          <w:rtl/>
        </w:rPr>
        <w:t xml:space="preserve"> </w:t>
      </w:r>
      <w:r w:rsidRPr="009D2933">
        <w:rPr>
          <w:rFonts w:hint="eastAsia"/>
          <w:rtl/>
        </w:rPr>
        <w:t>האחרונה</w:t>
      </w:r>
      <w:r w:rsidRPr="009D2933">
        <w:rPr>
          <w:rtl/>
        </w:rPr>
        <w:t xml:space="preserve"> </w:t>
      </w:r>
      <w:r w:rsidRPr="009D2933">
        <w:rPr>
          <w:rFonts w:hint="eastAsia"/>
          <w:rtl/>
        </w:rPr>
        <w:t>בישראל</w:t>
      </w:r>
      <w:r w:rsidRPr="009D2933">
        <w:rPr>
          <w:rtl/>
        </w:rPr>
        <w:t xml:space="preserve"> </w:t>
      </w:r>
      <w:r w:rsidRPr="009D2933">
        <w:rPr>
          <w:rFonts w:hint="eastAsia"/>
          <w:rtl/>
        </w:rPr>
        <w:t>טרם</w:t>
      </w:r>
      <w:r w:rsidRPr="009D2933">
        <w:rPr>
          <w:rtl/>
        </w:rPr>
        <w:t xml:space="preserve"> </w:t>
      </w:r>
      <w:r w:rsidRPr="009D2933">
        <w:rPr>
          <w:rFonts w:hint="eastAsia"/>
          <w:rtl/>
        </w:rPr>
        <w:t>הגשת</w:t>
      </w:r>
      <w:r w:rsidRPr="009D2933">
        <w:rPr>
          <w:rtl/>
        </w:rPr>
        <w:t xml:space="preserve"> </w:t>
      </w:r>
      <w:r w:rsidRPr="009D2933">
        <w:rPr>
          <w:rFonts w:hint="eastAsia"/>
          <w:rtl/>
        </w:rPr>
        <w:t>הבקשה</w:t>
      </w:r>
      <w:r w:rsidRPr="009D2933">
        <w:rPr>
          <w:rtl/>
        </w:rPr>
        <w:t xml:space="preserve"> </w:t>
      </w:r>
      <w:r w:rsidRPr="009D2933">
        <w:rPr>
          <w:rFonts w:hint="eastAsia"/>
          <w:rtl/>
        </w:rPr>
        <w:t>לוועדה</w:t>
      </w:r>
      <w:r w:rsidRPr="009D2933">
        <w:rPr>
          <w:rtl/>
        </w:rPr>
        <w:t xml:space="preserve"> </w:t>
      </w:r>
      <w:r w:rsidRPr="009D2933">
        <w:rPr>
          <w:rFonts w:hint="eastAsia"/>
          <w:rtl/>
        </w:rPr>
        <w:t>בעקבות</w:t>
      </w:r>
      <w:r w:rsidRPr="009D2933">
        <w:rPr>
          <w:rtl/>
        </w:rPr>
        <w:t xml:space="preserve"> </w:t>
      </w:r>
      <w:r w:rsidRPr="009D2933">
        <w:rPr>
          <w:rFonts w:hint="eastAsia"/>
          <w:rtl/>
        </w:rPr>
        <w:t>פטירת</w:t>
      </w:r>
      <w:r w:rsidRPr="009D2933">
        <w:rPr>
          <w:rtl/>
        </w:rPr>
        <w:t xml:space="preserve"> </w:t>
      </w:r>
      <w:r w:rsidRPr="009D2933">
        <w:rPr>
          <w:rFonts w:hint="eastAsia"/>
          <w:rtl/>
        </w:rPr>
        <w:t>המטופל</w:t>
      </w:r>
      <w:r w:rsidRPr="009D2933">
        <w:rPr>
          <w:rtl/>
        </w:rPr>
        <w:t xml:space="preserve"> </w:t>
      </w:r>
      <w:r w:rsidRPr="009D2933">
        <w:rPr>
          <w:rFonts w:hint="eastAsia"/>
          <w:rtl/>
        </w:rPr>
        <w:t>הסיעודי</w:t>
      </w:r>
      <w:r w:rsidRPr="009D2933">
        <w:rPr>
          <w:rtl/>
        </w:rPr>
        <w:t xml:space="preserve"> </w:t>
      </w:r>
      <w:r w:rsidRPr="009D2933">
        <w:rPr>
          <w:rFonts w:hint="eastAsia"/>
          <w:rtl/>
        </w:rPr>
        <w:t>שאותו</w:t>
      </w:r>
      <w:r w:rsidRPr="009D2933">
        <w:rPr>
          <w:rtl/>
        </w:rPr>
        <w:t xml:space="preserve"> </w:t>
      </w:r>
      <w:r w:rsidRPr="009D2933">
        <w:rPr>
          <w:rFonts w:hint="eastAsia"/>
          <w:rtl/>
        </w:rPr>
        <w:t>סעד</w:t>
      </w:r>
      <w:r w:rsidRPr="009D2933">
        <w:rPr>
          <w:rtl/>
        </w:rPr>
        <w:t xml:space="preserve">, </w:t>
      </w:r>
      <w:r w:rsidRPr="009D2933">
        <w:rPr>
          <w:rFonts w:hint="eastAsia"/>
          <w:rtl/>
        </w:rPr>
        <w:t>או</w:t>
      </w:r>
      <w:r w:rsidRPr="009D2933">
        <w:rPr>
          <w:rtl/>
        </w:rPr>
        <w:t xml:space="preserve"> </w:t>
      </w:r>
      <w:r w:rsidRPr="009D2933">
        <w:rPr>
          <w:rFonts w:hint="eastAsia"/>
          <w:rtl/>
        </w:rPr>
        <w:t>בעקבות</w:t>
      </w:r>
      <w:r w:rsidRPr="009D2933">
        <w:rPr>
          <w:rtl/>
        </w:rPr>
        <w:t xml:space="preserve"> </w:t>
      </w:r>
      <w:r w:rsidRPr="009D2933">
        <w:rPr>
          <w:rFonts w:hint="eastAsia"/>
          <w:rtl/>
        </w:rPr>
        <w:t>מעבר</w:t>
      </w:r>
      <w:r w:rsidRPr="009D2933">
        <w:rPr>
          <w:rtl/>
        </w:rPr>
        <w:t xml:space="preserve"> </w:t>
      </w:r>
      <w:r w:rsidRPr="009D2933">
        <w:rPr>
          <w:rFonts w:hint="eastAsia"/>
          <w:rtl/>
        </w:rPr>
        <w:t>המטופל</w:t>
      </w:r>
      <w:r w:rsidRPr="009D2933">
        <w:rPr>
          <w:rtl/>
        </w:rPr>
        <w:t xml:space="preserve"> </w:t>
      </w:r>
      <w:r w:rsidRPr="009D2933">
        <w:rPr>
          <w:rFonts w:hint="eastAsia"/>
          <w:rtl/>
        </w:rPr>
        <w:t>הסיעודי</w:t>
      </w:r>
      <w:r w:rsidRPr="009D2933">
        <w:rPr>
          <w:rtl/>
        </w:rPr>
        <w:t xml:space="preserve"> </w:t>
      </w:r>
      <w:r w:rsidRPr="009D2933">
        <w:rPr>
          <w:rFonts w:hint="eastAsia"/>
          <w:rtl/>
        </w:rPr>
        <w:t>למוסד</w:t>
      </w:r>
      <w:r w:rsidRPr="009D2933">
        <w:rPr>
          <w:rtl/>
        </w:rPr>
        <w:t xml:space="preserve"> </w:t>
      </w:r>
      <w:r w:rsidRPr="009D2933">
        <w:rPr>
          <w:rFonts w:hint="eastAsia"/>
          <w:rtl/>
        </w:rPr>
        <w:t>סיעודי</w:t>
      </w:r>
      <w:r w:rsidRPr="009D2933">
        <w:rPr>
          <w:rtl/>
        </w:rPr>
        <w:t xml:space="preserve">, </w:t>
      </w:r>
      <w:r w:rsidRPr="009D2933">
        <w:rPr>
          <w:rFonts w:hint="eastAsia"/>
          <w:rtl/>
        </w:rPr>
        <w:t>ולא</w:t>
      </w:r>
      <w:r w:rsidRPr="009D2933">
        <w:rPr>
          <w:rtl/>
        </w:rPr>
        <w:t xml:space="preserve"> </w:t>
      </w:r>
      <w:r w:rsidRPr="009D2933">
        <w:rPr>
          <w:rFonts w:hint="eastAsia"/>
          <w:rtl/>
        </w:rPr>
        <w:t>בעקבות</w:t>
      </w:r>
      <w:r w:rsidRPr="009D2933">
        <w:rPr>
          <w:rtl/>
        </w:rPr>
        <w:t xml:space="preserve"> </w:t>
      </w:r>
      <w:r w:rsidRPr="009D2933">
        <w:rPr>
          <w:rFonts w:hint="eastAsia"/>
          <w:rtl/>
        </w:rPr>
        <w:t>התפטרות</w:t>
      </w:r>
      <w:r w:rsidRPr="009D2933">
        <w:rPr>
          <w:rtl/>
        </w:rPr>
        <w:t xml:space="preserve"> </w:t>
      </w:r>
      <w:r w:rsidRPr="009D2933">
        <w:rPr>
          <w:rFonts w:hint="eastAsia"/>
          <w:rtl/>
        </w:rPr>
        <w:t>או</w:t>
      </w:r>
      <w:r w:rsidRPr="009D2933">
        <w:rPr>
          <w:rtl/>
        </w:rPr>
        <w:t xml:space="preserve"> </w:t>
      </w:r>
      <w:r w:rsidRPr="009D2933">
        <w:rPr>
          <w:rFonts w:hint="eastAsia"/>
          <w:rtl/>
        </w:rPr>
        <w:t>פיטורין</w:t>
      </w:r>
      <w:r w:rsidRPr="009D2933">
        <w:rPr>
          <w:rtl/>
        </w:rPr>
        <w:t>.</w:t>
      </w:r>
    </w:p>
    <w:p w14:paraId="41B40BBA" w14:textId="77777777" w:rsidR="00D7228B" w:rsidRPr="009D2933" w:rsidRDefault="00D7228B" w:rsidP="00D7228B">
      <w:pPr>
        <w:pStyle w:val="Hesber"/>
        <w:numPr>
          <w:ilvl w:val="0"/>
          <w:numId w:val="15"/>
        </w:numPr>
        <w:textAlignment w:val="auto"/>
      </w:pPr>
      <w:r w:rsidRPr="009D2933">
        <w:rPr>
          <w:rFonts w:hint="eastAsia"/>
          <w:rtl/>
        </w:rPr>
        <w:t>בעת</w:t>
      </w:r>
      <w:r w:rsidRPr="009D2933">
        <w:rPr>
          <w:rtl/>
        </w:rPr>
        <w:t xml:space="preserve"> </w:t>
      </w:r>
      <w:r w:rsidRPr="009D2933">
        <w:rPr>
          <w:rFonts w:hint="eastAsia"/>
          <w:rtl/>
        </w:rPr>
        <w:t>הגשת</w:t>
      </w:r>
      <w:r w:rsidRPr="009D2933">
        <w:rPr>
          <w:rtl/>
        </w:rPr>
        <w:t xml:space="preserve"> </w:t>
      </w:r>
      <w:r w:rsidRPr="009D2933">
        <w:rPr>
          <w:rFonts w:hint="eastAsia"/>
          <w:rtl/>
        </w:rPr>
        <w:t>הבקשה</w:t>
      </w:r>
      <w:r w:rsidRPr="009D2933">
        <w:rPr>
          <w:rtl/>
        </w:rPr>
        <w:t xml:space="preserve"> </w:t>
      </w:r>
      <w:r w:rsidRPr="009D2933">
        <w:rPr>
          <w:rFonts w:hint="eastAsia"/>
          <w:rtl/>
        </w:rPr>
        <w:t>לפי</w:t>
      </w:r>
      <w:r w:rsidRPr="009D2933">
        <w:rPr>
          <w:rtl/>
        </w:rPr>
        <w:t xml:space="preserve"> </w:t>
      </w:r>
      <w:r w:rsidRPr="009D2933">
        <w:rPr>
          <w:rFonts w:hint="eastAsia"/>
          <w:rtl/>
        </w:rPr>
        <w:t>סעיף</w:t>
      </w:r>
      <w:r w:rsidRPr="009D2933">
        <w:rPr>
          <w:rtl/>
        </w:rPr>
        <w:t xml:space="preserve"> </w:t>
      </w:r>
      <w:r w:rsidRPr="009D2933">
        <w:rPr>
          <w:rFonts w:hint="eastAsia"/>
          <w:rtl/>
        </w:rPr>
        <w:t>זה</w:t>
      </w:r>
      <w:r w:rsidRPr="009D2933">
        <w:rPr>
          <w:rtl/>
        </w:rPr>
        <w:t xml:space="preserve">, </w:t>
      </w:r>
      <w:r w:rsidRPr="009D2933">
        <w:rPr>
          <w:rFonts w:hint="eastAsia"/>
          <w:rtl/>
        </w:rPr>
        <w:t>לא</w:t>
      </w:r>
      <w:r w:rsidRPr="009D2933">
        <w:rPr>
          <w:rtl/>
        </w:rPr>
        <w:t xml:space="preserve"> </w:t>
      </w:r>
      <w:r w:rsidRPr="009D2933">
        <w:rPr>
          <w:rFonts w:hint="eastAsia"/>
          <w:rtl/>
        </w:rPr>
        <w:t>עברו</w:t>
      </w:r>
      <w:r w:rsidRPr="009D2933">
        <w:rPr>
          <w:rtl/>
        </w:rPr>
        <w:t xml:space="preserve"> </w:t>
      </w:r>
      <w:r w:rsidRPr="009D2933">
        <w:rPr>
          <w:rFonts w:hint="eastAsia"/>
          <w:rtl/>
        </w:rPr>
        <w:t>מעל</w:t>
      </w:r>
      <w:r w:rsidRPr="009D2933">
        <w:rPr>
          <w:rtl/>
        </w:rPr>
        <w:t xml:space="preserve"> 7 </w:t>
      </w:r>
      <w:r w:rsidRPr="009D2933">
        <w:rPr>
          <w:rFonts w:hint="eastAsia"/>
          <w:rtl/>
        </w:rPr>
        <w:t>שנים</w:t>
      </w:r>
      <w:r w:rsidRPr="009D2933">
        <w:rPr>
          <w:rtl/>
        </w:rPr>
        <w:t xml:space="preserve"> </w:t>
      </w:r>
      <w:r w:rsidRPr="009D2933">
        <w:rPr>
          <w:rFonts w:hint="eastAsia"/>
          <w:rtl/>
        </w:rPr>
        <w:t>מיום</w:t>
      </w:r>
      <w:r w:rsidRPr="009D2933">
        <w:rPr>
          <w:rtl/>
        </w:rPr>
        <w:t xml:space="preserve"> </w:t>
      </w:r>
      <w:r w:rsidRPr="009D2933">
        <w:rPr>
          <w:rFonts w:hint="eastAsia"/>
          <w:rtl/>
        </w:rPr>
        <w:t>כניסתו</w:t>
      </w:r>
      <w:r w:rsidRPr="009D2933">
        <w:rPr>
          <w:rtl/>
        </w:rPr>
        <w:t xml:space="preserve"> </w:t>
      </w:r>
      <w:r w:rsidRPr="009D2933">
        <w:rPr>
          <w:rFonts w:hint="eastAsia"/>
          <w:rtl/>
        </w:rPr>
        <w:t>לראשונה</w:t>
      </w:r>
      <w:r w:rsidRPr="009D2933">
        <w:rPr>
          <w:rtl/>
        </w:rPr>
        <w:t xml:space="preserve"> </w:t>
      </w:r>
      <w:r w:rsidRPr="009D2933">
        <w:rPr>
          <w:rFonts w:hint="eastAsia"/>
          <w:rtl/>
        </w:rPr>
        <w:t>של</w:t>
      </w:r>
      <w:r w:rsidRPr="009D2933">
        <w:rPr>
          <w:rtl/>
        </w:rPr>
        <w:t xml:space="preserve"> </w:t>
      </w:r>
      <w:r w:rsidRPr="009D2933">
        <w:rPr>
          <w:rFonts w:hint="eastAsia"/>
          <w:rtl/>
        </w:rPr>
        <w:t>העובד</w:t>
      </w:r>
      <w:r w:rsidRPr="009D2933">
        <w:rPr>
          <w:rtl/>
        </w:rPr>
        <w:t xml:space="preserve"> </w:t>
      </w:r>
      <w:r w:rsidRPr="009D2933">
        <w:rPr>
          <w:rFonts w:hint="eastAsia"/>
          <w:rtl/>
        </w:rPr>
        <w:t>הזר</w:t>
      </w:r>
      <w:r w:rsidRPr="009D2933">
        <w:rPr>
          <w:rtl/>
        </w:rPr>
        <w:t xml:space="preserve"> </w:t>
      </w:r>
      <w:r w:rsidRPr="009D2933">
        <w:rPr>
          <w:rFonts w:hint="eastAsia"/>
          <w:rtl/>
        </w:rPr>
        <w:t>המבוקש</w:t>
      </w:r>
      <w:r w:rsidRPr="009D2933">
        <w:rPr>
          <w:rtl/>
        </w:rPr>
        <w:t xml:space="preserve"> </w:t>
      </w:r>
      <w:r w:rsidRPr="009D2933">
        <w:rPr>
          <w:rFonts w:hint="eastAsia"/>
          <w:rtl/>
        </w:rPr>
        <w:t>לישראל</w:t>
      </w:r>
      <w:r w:rsidRPr="009D2933">
        <w:rPr>
          <w:rtl/>
        </w:rPr>
        <w:t xml:space="preserve"> </w:t>
      </w:r>
      <w:r w:rsidRPr="009D2933">
        <w:rPr>
          <w:rFonts w:hint="eastAsia"/>
          <w:rtl/>
        </w:rPr>
        <w:t>למעט</w:t>
      </w:r>
      <w:r w:rsidRPr="009D2933">
        <w:rPr>
          <w:rtl/>
        </w:rPr>
        <w:t xml:space="preserve"> </w:t>
      </w:r>
      <w:r w:rsidRPr="009D2933">
        <w:rPr>
          <w:rFonts w:hint="eastAsia"/>
          <w:rtl/>
        </w:rPr>
        <w:t>במקרים</w:t>
      </w:r>
      <w:r w:rsidRPr="009D2933">
        <w:rPr>
          <w:rtl/>
        </w:rPr>
        <w:t xml:space="preserve"> </w:t>
      </w:r>
      <w:r w:rsidRPr="009D2933">
        <w:rPr>
          <w:rFonts w:hint="eastAsia"/>
          <w:rtl/>
        </w:rPr>
        <w:t>של</w:t>
      </w:r>
      <w:r w:rsidRPr="009D2933">
        <w:rPr>
          <w:rtl/>
        </w:rPr>
        <w:t xml:space="preserve"> </w:t>
      </w:r>
      <w:r w:rsidRPr="009D2933">
        <w:rPr>
          <w:rFonts w:hint="eastAsia"/>
          <w:rtl/>
        </w:rPr>
        <w:t>מטופלים</w:t>
      </w:r>
      <w:r w:rsidRPr="009D2933">
        <w:rPr>
          <w:rtl/>
        </w:rPr>
        <w:t xml:space="preserve"> </w:t>
      </w:r>
      <w:r w:rsidRPr="009D2933">
        <w:rPr>
          <w:rFonts w:hint="eastAsia"/>
          <w:rtl/>
        </w:rPr>
        <w:t>קשים</w:t>
      </w:r>
      <w:r w:rsidRPr="009D2933">
        <w:rPr>
          <w:rtl/>
        </w:rPr>
        <w:t xml:space="preserve"> </w:t>
      </w:r>
      <w:r w:rsidRPr="009D2933">
        <w:rPr>
          <w:rFonts w:hint="eastAsia"/>
          <w:rtl/>
        </w:rPr>
        <w:t>הזכאים</w:t>
      </w:r>
      <w:r w:rsidRPr="009D2933">
        <w:rPr>
          <w:rtl/>
        </w:rPr>
        <w:t xml:space="preserve"> </w:t>
      </w:r>
      <w:r w:rsidRPr="009D2933">
        <w:rPr>
          <w:rFonts w:hint="eastAsia"/>
          <w:rtl/>
        </w:rPr>
        <w:t>לקצבת</w:t>
      </w:r>
      <w:r w:rsidRPr="009D2933">
        <w:rPr>
          <w:rtl/>
        </w:rPr>
        <w:t xml:space="preserve"> </w:t>
      </w:r>
      <w:r w:rsidRPr="009D2933">
        <w:rPr>
          <w:rFonts w:hint="eastAsia"/>
          <w:rtl/>
        </w:rPr>
        <w:t>שר</w:t>
      </w:r>
      <w:r w:rsidRPr="009D2933">
        <w:rPr>
          <w:rtl/>
        </w:rPr>
        <w:t xml:space="preserve">"מ </w:t>
      </w:r>
      <w:r w:rsidRPr="009D2933">
        <w:rPr>
          <w:rFonts w:hint="eastAsia"/>
          <w:rtl/>
        </w:rPr>
        <w:t>מהמוסד</w:t>
      </w:r>
      <w:r w:rsidRPr="009D2933">
        <w:rPr>
          <w:rtl/>
        </w:rPr>
        <w:t xml:space="preserve"> </w:t>
      </w:r>
      <w:r w:rsidRPr="009D2933">
        <w:rPr>
          <w:rFonts w:hint="eastAsia"/>
          <w:rtl/>
        </w:rPr>
        <w:t>לביטוח</w:t>
      </w:r>
      <w:r w:rsidRPr="009D2933">
        <w:rPr>
          <w:rtl/>
        </w:rPr>
        <w:t xml:space="preserve"> </w:t>
      </w:r>
      <w:r w:rsidRPr="009D2933">
        <w:rPr>
          <w:rFonts w:hint="eastAsia"/>
          <w:rtl/>
        </w:rPr>
        <w:t>לאומי</w:t>
      </w:r>
      <w:r w:rsidRPr="009D2933">
        <w:rPr>
          <w:rtl/>
        </w:rPr>
        <w:t xml:space="preserve"> </w:t>
      </w:r>
      <w:r w:rsidRPr="009D2933">
        <w:rPr>
          <w:rFonts w:hint="eastAsia"/>
          <w:rtl/>
        </w:rPr>
        <w:t>בשיעור</w:t>
      </w:r>
      <w:r w:rsidRPr="009D2933">
        <w:rPr>
          <w:rtl/>
        </w:rPr>
        <w:t xml:space="preserve"> </w:t>
      </w:r>
      <w:r w:rsidRPr="009D2933">
        <w:rPr>
          <w:rFonts w:hint="eastAsia"/>
          <w:rtl/>
        </w:rPr>
        <w:t>של</w:t>
      </w:r>
      <w:r w:rsidRPr="009D2933">
        <w:rPr>
          <w:rtl/>
        </w:rPr>
        <w:t xml:space="preserve"> 175% </w:t>
      </w:r>
      <w:r w:rsidRPr="009D2933">
        <w:rPr>
          <w:rFonts w:hint="eastAsia"/>
          <w:rtl/>
        </w:rPr>
        <w:t>או</w:t>
      </w:r>
      <w:r w:rsidRPr="009D2933">
        <w:rPr>
          <w:rtl/>
        </w:rPr>
        <w:t xml:space="preserve"> </w:t>
      </w:r>
      <w:r w:rsidRPr="009D2933">
        <w:rPr>
          <w:rFonts w:hint="eastAsia"/>
          <w:rtl/>
        </w:rPr>
        <w:t>נכי</w:t>
      </w:r>
      <w:r w:rsidRPr="009D2933">
        <w:rPr>
          <w:rtl/>
        </w:rPr>
        <w:t xml:space="preserve"> </w:t>
      </w:r>
      <w:r w:rsidRPr="009D2933">
        <w:rPr>
          <w:rFonts w:hint="eastAsia"/>
          <w:rtl/>
        </w:rPr>
        <w:t>צה</w:t>
      </w:r>
      <w:r w:rsidRPr="009D2933">
        <w:rPr>
          <w:rtl/>
        </w:rPr>
        <w:t xml:space="preserve">"ל </w:t>
      </w:r>
      <w:r w:rsidRPr="009D2933">
        <w:rPr>
          <w:rFonts w:hint="eastAsia"/>
          <w:rtl/>
        </w:rPr>
        <w:t>ברמה</w:t>
      </w:r>
      <w:r w:rsidRPr="009D2933">
        <w:rPr>
          <w:rtl/>
        </w:rPr>
        <w:t xml:space="preserve"> </w:t>
      </w:r>
      <w:r w:rsidRPr="009D2933">
        <w:rPr>
          <w:rFonts w:hint="eastAsia"/>
          <w:rtl/>
        </w:rPr>
        <w:t>של</w:t>
      </w:r>
      <w:r w:rsidRPr="009D2933">
        <w:rPr>
          <w:rtl/>
        </w:rPr>
        <w:t xml:space="preserve"> 100%+ </w:t>
      </w:r>
      <w:r w:rsidRPr="009D2933">
        <w:rPr>
          <w:rFonts w:hint="eastAsia"/>
          <w:rtl/>
        </w:rPr>
        <w:t>או</w:t>
      </w:r>
      <w:r w:rsidRPr="009D2933">
        <w:rPr>
          <w:rtl/>
        </w:rPr>
        <w:t xml:space="preserve"> </w:t>
      </w:r>
      <w:r w:rsidRPr="009D2933">
        <w:rPr>
          <w:rFonts w:hint="eastAsia"/>
          <w:rtl/>
        </w:rPr>
        <w:t>ילדים</w:t>
      </w:r>
      <w:r w:rsidRPr="009D2933">
        <w:rPr>
          <w:rtl/>
        </w:rPr>
        <w:t xml:space="preserve"> </w:t>
      </w:r>
      <w:r w:rsidRPr="009D2933">
        <w:rPr>
          <w:rFonts w:hint="eastAsia"/>
          <w:rtl/>
        </w:rPr>
        <w:t>נכים</w:t>
      </w:r>
      <w:r w:rsidRPr="009D2933">
        <w:rPr>
          <w:rtl/>
        </w:rPr>
        <w:t xml:space="preserve"> </w:t>
      </w:r>
      <w:r w:rsidRPr="009D2933">
        <w:rPr>
          <w:rFonts w:hint="eastAsia"/>
          <w:rtl/>
        </w:rPr>
        <w:t>במצבים</w:t>
      </w:r>
      <w:r w:rsidRPr="009D2933">
        <w:rPr>
          <w:rtl/>
        </w:rPr>
        <w:t xml:space="preserve"> </w:t>
      </w:r>
      <w:r w:rsidRPr="009D2933">
        <w:rPr>
          <w:rFonts w:hint="eastAsia"/>
          <w:rtl/>
        </w:rPr>
        <w:t>קשים</w:t>
      </w:r>
      <w:r w:rsidRPr="009D2933">
        <w:rPr>
          <w:rtl/>
        </w:rPr>
        <w:t xml:space="preserve"> </w:t>
      </w:r>
      <w:r w:rsidRPr="009D2933">
        <w:rPr>
          <w:rFonts w:hint="eastAsia"/>
          <w:rtl/>
        </w:rPr>
        <w:t>במיוחד</w:t>
      </w:r>
      <w:r w:rsidRPr="009D2933">
        <w:rPr>
          <w:rtl/>
        </w:rPr>
        <w:t xml:space="preserve">, </w:t>
      </w:r>
      <w:r w:rsidRPr="009D2933">
        <w:rPr>
          <w:rFonts w:hint="eastAsia"/>
          <w:rtl/>
        </w:rPr>
        <w:t>שלגביהם</w:t>
      </w:r>
      <w:r w:rsidRPr="009D2933">
        <w:rPr>
          <w:rtl/>
        </w:rPr>
        <w:t xml:space="preserve"> </w:t>
      </w:r>
      <w:r w:rsidRPr="009D2933">
        <w:rPr>
          <w:rFonts w:hint="eastAsia"/>
          <w:rtl/>
        </w:rPr>
        <w:t>המגבלה</w:t>
      </w:r>
      <w:r w:rsidRPr="009D2933">
        <w:rPr>
          <w:rtl/>
        </w:rPr>
        <w:t xml:space="preserve"> </w:t>
      </w:r>
      <w:r w:rsidRPr="009D2933">
        <w:rPr>
          <w:rFonts w:hint="eastAsia"/>
          <w:rtl/>
        </w:rPr>
        <w:t>תעמוד</w:t>
      </w:r>
      <w:r w:rsidRPr="009D2933">
        <w:rPr>
          <w:rtl/>
        </w:rPr>
        <w:t xml:space="preserve"> </w:t>
      </w:r>
      <w:r w:rsidRPr="009D2933">
        <w:rPr>
          <w:rFonts w:hint="eastAsia"/>
          <w:rtl/>
        </w:rPr>
        <w:t>על</w:t>
      </w:r>
      <w:r w:rsidRPr="009D2933">
        <w:rPr>
          <w:rtl/>
        </w:rPr>
        <w:t xml:space="preserve"> 12 </w:t>
      </w:r>
      <w:r w:rsidRPr="009D2933">
        <w:rPr>
          <w:rFonts w:hint="eastAsia"/>
          <w:rtl/>
        </w:rPr>
        <w:t>שנים</w:t>
      </w:r>
      <w:r w:rsidRPr="009D2933">
        <w:rPr>
          <w:rtl/>
        </w:rPr>
        <w:t>.</w:t>
      </w:r>
    </w:p>
    <w:p w14:paraId="3332AC6C" w14:textId="77777777" w:rsidR="00D7228B" w:rsidRPr="009D2933" w:rsidRDefault="00D7228B" w:rsidP="00D7228B">
      <w:pPr>
        <w:pStyle w:val="Hesber"/>
        <w:numPr>
          <w:ilvl w:val="0"/>
          <w:numId w:val="15"/>
        </w:numPr>
        <w:textAlignment w:val="auto"/>
      </w:pPr>
      <w:r w:rsidRPr="009D2933">
        <w:rPr>
          <w:rFonts w:hint="eastAsia"/>
          <w:rtl/>
        </w:rPr>
        <w:t>לא</w:t>
      </w:r>
      <w:r w:rsidRPr="009D2933">
        <w:rPr>
          <w:rtl/>
        </w:rPr>
        <w:t xml:space="preserve"> </w:t>
      </w:r>
      <w:r w:rsidRPr="009D2933">
        <w:rPr>
          <w:rFonts w:hint="eastAsia"/>
          <w:rtl/>
        </w:rPr>
        <w:t>התקבלה</w:t>
      </w:r>
      <w:r w:rsidRPr="009D2933">
        <w:rPr>
          <w:rtl/>
        </w:rPr>
        <w:t xml:space="preserve"> </w:t>
      </w:r>
      <w:r w:rsidRPr="009D2933">
        <w:rPr>
          <w:rFonts w:hint="eastAsia"/>
          <w:rtl/>
        </w:rPr>
        <w:t>החלטה</w:t>
      </w:r>
      <w:r w:rsidRPr="009D2933">
        <w:rPr>
          <w:rtl/>
        </w:rPr>
        <w:t xml:space="preserve"> </w:t>
      </w:r>
      <w:r w:rsidRPr="009D2933">
        <w:rPr>
          <w:rFonts w:hint="eastAsia"/>
          <w:rtl/>
        </w:rPr>
        <w:t>קודמת</w:t>
      </w:r>
      <w:r w:rsidRPr="009D2933">
        <w:rPr>
          <w:rtl/>
        </w:rPr>
        <w:t xml:space="preserve"> </w:t>
      </w:r>
      <w:r w:rsidRPr="009D2933">
        <w:rPr>
          <w:rFonts w:hint="eastAsia"/>
          <w:rtl/>
        </w:rPr>
        <w:t>של</w:t>
      </w:r>
      <w:r w:rsidRPr="009D2933">
        <w:rPr>
          <w:rtl/>
        </w:rPr>
        <w:t xml:space="preserve"> </w:t>
      </w:r>
      <w:r w:rsidRPr="009D2933">
        <w:rPr>
          <w:rFonts w:hint="eastAsia"/>
          <w:rtl/>
        </w:rPr>
        <w:t>שר</w:t>
      </w:r>
      <w:r w:rsidRPr="009D2933">
        <w:rPr>
          <w:rtl/>
        </w:rPr>
        <w:t xml:space="preserve"> </w:t>
      </w:r>
      <w:r w:rsidRPr="009D2933">
        <w:rPr>
          <w:rFonts w:hint="eastAsia"/>
          <w:rtl/>
        </w:rPr>
        <w:t>הפנים</w:t>
      </w:r>
      <w:r w:rsidRPr="009D2933">
        <w:rPr>
          <w:rtl/>
        </w:rPr>
        <w:t xml:space="preserve"> </w:t>
      </w:r>
      <w:r w:rsidRPr="009D2933">
        <w:rPr>
          <w:rFonts w:hint="eastAsia"/>
          <w:rtl/>
        </w:rPr>
        <w:t>לגבי</w:t>
      </w:r>
      <w:r w:rsidRPr="009D2933">
        <w:rPr>
          <w:rtl/>
        </w:rPr>
        <w:t xml:space="preserve"> </w:t>
      </w:r>
      <w:r w:rsidRPr="009D2933">
        <w:rPr>
          <w:rFonts w:hint="eastAsia"/>
          <w:rtl/>
        </w:rPr>
        <w:t>בקשה</w:t>
      </w:r>
      <w:r w:rsidRPr="009D2933">
        <w:rPr>
          <w:rtl/>
        </w:rPr>
        <w:t xml:space="preserve"> </w:t>
      </w:r>
      <w:r w:rsidRPr="009D2933">
        <w:rPr>
          <w:rFonts w:hint="eastAsia"/>
          <w:rtl/>
        </w:rPr>
        <w:t>שהוגשה</w:t>
      </w:r>
      <w:r w:rsidRPr="009D2933">
        <w:rPr>
          <w:rtl/>
        </w:rPr>
        <w:t xml:space="preserve"> </w:t>
      </w:r>
      <w:r w:rsidRPr="009D2933">
        <w:rPr>
          <w:rFonts w:hint="eastAsia"/>
          <w:rtl/>
        </w:rPr>
        <w:t>לפי</w:t>
      </w:r>
      <w:r w:rsidRPr="009D2933">
        <w:rPr>
          <w:rtl/>
        </w:rPr>
        <w:t xml:space="preserve"> </w:t>
      </w:r>
      <w:r w:rsidRPr="009D2933">
        <w:rPr>
          <w:rFonts w:hint="eastAsia"/>
          <w:rtl/>
        </w:rPr>
        <w:t>סעיף</w:t>
      </w:r>
      <w:r w:rsidRPr="009D2933">
        <w:rPr>
          <w:rtl/>
        </w:rPr>
        <w:t xml:space="preserve"> </w:t>
      </w:r>
      <w:r w:rsidRPr="009D2933">
        <w:rPr>
          <w:rFonts w:hint="eastAsia"/>
          <w:rtl/>
        </w:rPr>
        <w:t>קטן</w:t>
      </w:r>
      <w:r w:rsidRPr="009D2933">
        <w:rPr>
          <w:rtl/>
        </w:rPr>
        <w:t xml:space="preserve"> </w:t>
      </w:r>
      <w:r w:rsidRPr="009D2933">
        <w:rPr>
          <w:rFonts w:hint="eastAsia"/>
          <w:rtl/>
        </w:rPr>
        <w:t>זה</w:t>
      </w:r>
      <w:r w:rsidRPr="009D2933">
        <w:rPr>
          <w:rtl/>
        </w:rPr>
        <w:t xml:space="preserve"> </w:t>
      </w:r>
      <w:r w:rsidRPr="009D2933">
        <w:rPr>
          <w:rFonts w:hint="eastAsia"/>
          <w:rtl/>
        </w:rPr>
        <w:t>לגבי</w:t>
      </w:r>
      <w:r w:rsidRPr="009D2933">
        <w:rPr>
          <w:rtl/>
        </w:rPr>
        <w:t xml:space="preserve"> </w:t>
      </w:r>
      <w:r w:rsidRPr="009D2933">
        <w:rPr>
          <w:rFonts w:hint="eastAsia"/>
          <w:rtl/>
        </w:rPr>
        <w:t>העובד</w:t>
      </w:r>
      <w:r w:rsidRPr="009D2933">
        <w:rPr>
          <w:rtl/>
        </w:rPr>
        <w:t xml:space="preserve"> </w:t>
      </w:r>
      <w:r w:rsidRPr="009D2933">
        <w:rPr>
          <w:rFonts w:hint="eastAsia"/>
          <w:rtl/>
        </w:rPr>
        <w:t>הזר</w:t>
      </w:r>
      <w:r w:rsidRPr="009D2933">
        <w:rPr>
          <w:rtl/>
        </w:rPr>
        <w:t xml:space="preserve"> </w:t>
      </w:r>
      <w:r w:rsidRPr="009D2933">
        <w:rPr>
          <w:rFonts w:hint="eastAsia"/>
          <w:rtl/>
        </w:rPr>
        <w:t>הנדרש</w:t>
      </w:r>
      <w:r w:rsidRPr="009D2933">
        <w:rPr>
          <w:rtl/>
        </w:rPr>
        <w:t xml:space="preserve">, </w:t>
      </w:r>
      <w:r w:rsidRPr="009D2933">
        <w:rPr>
          <w:rFonts w:hint="eastAsia"/>
          <w:rtl/>
        </w:rPr>
        <w:t>מלבד</w:t>
      </w:r>
      <w:r w:rsidRPr="009D2933">
        <w:rPr>
          <w:rtl/>
        </w:rPr>
        <w:t xml:space="preserve"> </w:t>
      </w:r>
      <w:r w:rsidRPr="009D2933">
        <w:rPr>
          <w:rFonts w:hint="eastAsia"/>
          <w:rtl/>
        </w:rPr>
        <w:t>החלטה</w:t>
      </w:r>
      <w:r w:rsidRPr="009D2933">
        <w:rPr>
          <w:rtl/>
        </w:rPr>
        <w:t xml:space="preserve"> </w:t>
      </w:r>
      <w:r w:rsidRPr="009D2933">
        <w:rPr>
          <w:rFonts w:hint="eastAsia"/>
          <w:rtl/>
        </w:rPr>
        <w:t>להאריך</w:t>
      </w:r>
      <w:r w:rsidRPr="009D2933">
        <w:rPr>
          <w:rtl/>
        </w:rPr>
        <w:t xml:space="preserve"> </w:t>
      </w:r>
      <w:r w:rsidRPr="009D2933">
        <w:rPr>
          <w:rFonts w:hint="eastAsia"/>
          <w:rtl/>
        </w:rPr>
        <w:t>רישיון</w:t>
      </w:r>
      <w:r w:rsidRPr="009D2933">
        <w:rPr>
          <w:rtl/>
        </w:rPr>
        <w:t xml:space="preserve"> </w:t>
      </w:r>
      <w:r w:rsidRPr="009D2933">
        <w:rPr>
          <w:rFonts w:hint="eastAsia"/>
          <w:rtl/>
        </w:rPr>
        <w:t>ביקור</w:t>
      </w:r>
      <w:r w:rsidRPr="009D2933">
        <w:rPr>
          <w:rtl/>
        </w:rPr>
        <w:t xml:space="preserve"> </w:t>
      </w:r>
      <w:r w:rsidRPr="009D2933">
        <w:rPr>
          <w:rFonts w:hint="eastAsia"/>
          <w:rtl/>
        </w:rPr>
        <w:t>של</w:t>
      </w:r>
      <w:r w:rsidRPr="009D2933">
        <w:rPr>
          <w:rtl/>
        </w:rPr>
        <w:t xml:space="preserve"> </w:t>
      </w:r>
      <w:r w:rsidRPr="009D2933">
        <w:rPr>
          <w:rFonts w:hint="eastAsia"/>
          <w:rtl/>
        </w:rPr>
        <w:t>עובד</w:t>
      </w:r>
      <w:r w:rsidRPr="009D2933">
        <w:rPr>
          <w:rtl/>
        </w:rPr>
        <w:t xml:space="preserve"> </w:t>
      </w:r>
      <w:r w:rsidRPr="009D2933">
        <w:rPr>
          <w:rFonts w:hint="eastAsia"/>
          <w:rtl/>
        </w:rPr>
        <w:t>לפי</w:t>
      </w:r>
      <w:r w:rsidRPr="009D2933">
        <w:rPr>
          <w:rtl/>
        </w:rPr>
        <w:t xml:space="preserve"> </w:t>
      </w:r>
      <w:r w:rsidRPr="009D2933">
        <w:rPr>
          <w:rFonts w:hint="eastAsia"/>
          <w:rtl/>
        </w:rPr>
        <w:t>סעיף</w:t>
      </w:r>
      <w:r w:rsidRPr="009D2933">
        <w:rPr>
          <w:rtl/>
        </w:rPr>
        <w:t xml:space="preserve"> </w:t>
      </w:r>
      <w:r w:rsidRPr="009D2933">
        <w:rPr>
          <w:rFonts w:hint="eastAsia"/>
          <w:rtl/>
        </w:rPr>
        <w:t>זה</w:t>
      </w:r>
      <w:r w:rsidRPr="009D2933">
        <w:rPr>
          <w:rtl/>
        </w:rPr>
        <w:t xml:space="preserve"> </w:t>
      </w:r>
      <w:r w:rsidRPr="009D2933">
        <w:rPr>
          <w:rFonts w:hint="eastAsia"/>
          <w:rtl/>
        </w:rPr>
        <w:t>לטיפול</w:t>
      </w:r>
      <w:r w:rsidRPr="009D2933">
        <w:rPr>
          <w:rtl/>
        </w:rPr>
        <w:t xml:space="preserve"> </w:t>
      </w:r>
      <w:r w:rsidRPr="009D2933">
        <w:rPr>
          <w:rFonts w:hint="eastAsia"/>
          <w:rtl/>
        </w:rPr>
        <w:t>בבן</w:t>
      </w:r>
      <w:r w:rsidRPr="009D2933">
        <w:rPr>
          <w:rtl/>
        </w:rPr>
        <w:t xml:space="preserve"> </w:t>
      </w:r>
      <w:r w:rsidRPr="009D2933">
        <w:rPr>
          <w:rFonts w:hint="eastAsia"/>
          <w:rtl/>
        </w:rPr>
        <w:t>זוג</w:t>
      </w:r>
      <w:r w:rsidRPr="009D2933">
        <w:rPr>
          <w:rtl/>
        </w:rPr>
        <w:t xml:space="preserve"> </w:t>
      </w:r>
      <w:r w:rsidRPr="009D2933">
        <w:rPr>
          <w:rFonts w:hint="eastAsia"/>
          <w:rtl/>
        </w:rPr>
        <w:t>של</w:t>
      </w:r>
      <w:r w:rsidRPr="009D2933">
        <w:rPr>
          <w:rtl/>
        </w:rPr>
        <w:t xml:space="preserve"> </w:t>
      </w:r>
      <w:r w:rsidRPr="009D2933">
        <w:rPr>
          <w:rFonts w:hint="eastAsia"/>
          <w:rtl/>
        </w:rPr>
        <w:t>המטופל</w:t>
      </w:r>
      <w:r w:rsidRPr="009D2933">
        <w:rPr>
          <w:rtl/>
        </w:rPr>
        <w:t xml:space="preserve"> </w:t>
      </w:r>
      <w:r w:rsidRPr="009D2933">
        <w:rPr>
          <w:rFonts w:hint="eastAsia"/>
          <w:rtl/>
        </w:rPr>
        <w:t>הסיעודי</w:t>
      </w:r>
      <w:r w:rsidRPr="009D2933">
        <w:rPr>
          <w:rtl/>
        </w:rPr>
        <w:t xml:space="preserve"> </w:t>
      </w:r>
      <w:r w:rsidRPr="009D2933">
        <w:rPr>
          <w:rFonts w:hint="eastAsia"/>
          <w:rtl/>
        </w:rPr>
        <w:t>אשר</w:t>
      </w:r>
      <w:r w:rsidRPr="009D2933">
        <w:rPr>
          <w:rtl/>
        </w:rPr>
        <w:t xml:space="preserve"> </w:t>
      </w:r>
      <w:r w:rsidRPr="009D2933">
        <w:rPr>
          <w:rFonts w:hint="eastAsia"/>
          <w:rtl/>
        </w:rPr>
        <w:t>הגיש</w:t>
      </w:r>
      <w:r w:rsidRPr="009D2933">
        <w:rPr>
          <w:rtl/>
        </w:rPr>
        <w:t xml:space="preserve"> </w:t>
      </w:r>
      <w:r w:rsidRPr="009D2933">
        <w:rPr>
          <w:rFonts w:hint="eastAsia"/>
          <w:rtl/>
        </w:rPr>
        <w:t>את</w:t>
      </w:r>
      <w:r w:rsidRPr="009D2933">
        <w:rPr>
          <w:rtl/>
        </w:rPr>
        <w:t xml:space="preserve"> </w:t>
      </w:r>
      <w:r w:rsidRPr="009D2933">
        <w:rPr>
          <w:rFonts w:hint="eastAsia"/>
          <w:rtl/>
        </w:rPr>
        <w:t>הבקשה</w:t>
      </w:r>
      <w:r w:rsidRPr="009D2933">
        <w:rPr>
          <w:rtl/>
        </w:rPr>
        <w:t xml:space="preserve"> </w:t>
      </w:r>
      <w:r w:rsidRPr="009D2933">
        <w:rPr>
          <w:rFonts w:hint="eastAsia"/>
          <w:rtl/>
        </w:rPr>
        <w:t>הנוכחית</w:t>
      </w:r>
      <w:r w:rsidRPr="009D2933">
        <w:rPr>
          <w:rtl/>
        </w:rPr>
        <w:t>.</w:t>
      </w:r>
    </w:p>
    <w:p w14:paraId="3A0D7A82" w14:textId="77777777" w:rsidR="00D7228B" w:rsidRDefault="00D7228B" w:rsidP="00D7228B">
      <w:pPr>
        <w:pStyle w:val="Hesber"/>
        <w:numPr>
          <w:ilvl w:val="0"/>
          <w:numId w:val="15"/>
        </w:numPr>
        <w:textAlignment w:val="auto"/>
      </w:pPr>
      <w:r w:rsidRPr="009D2933">
        <w:rPr>
          <w:rFonts w:hint="eastAsia"/>
          <w:rtl/>
        </w:rPr>
        <w:t>לא</w:t>
      </w:r>
      <w:r w:rsidRPr="009D2933">
        <w:rPr>
          <w:rtl/>
        </w:rPr>
        <w:t xml:space="preserve"> הוגשה בקשה קודמת להאריך את רישיון העובד הזר לפי סעיף זה על ידי מטופל סיעודי </w:t>
      </w:r>
      <w:r>
        <w:rPr>
          <w:rFonts w:hint="cs"/>
          <w:rtl/>
        </w:rPr>
        <w:t>אחר, מלבד בן משפחה של המטופל הסיעודי המבקש.</w:t>
      </w:r>
    </w:p>
    <w:p w14:paraId="3221ADCF" w14:textId="048AEF7A" w:rsidR="00D7228B" w:rsidRDefault="00D7228B" w:rsidP="00B540BD">
      <w:pPr>
        <w:pStyle w:val="Hesber"/>
      </w:pPr>
      <w:r>
        <w:rPr>
          <w:rFonts w:hint="cs"/>
          <w:rtl/>
        </w:rPr>
        <w:t xml:space="preserve">לסיכום: תיקון סעיף 3א(ב1) לחוק הכניסה לישראל </w:t>
      </w:r>
      <w:r w:rsidR="009D2933">
        <w:rPr>
          <w:rFonts w:hint="cs"/>
          <w:rtl/>
        </w:rPr>
        <w:t>מטרתו</w:t>
      </w:r>
      <w:r>
        <w:rPr>
          <w:rFonts w:hint="cs"/>
          <w:rtl/>
        </w:rPr>
        <w:t xml:space="preserve"> למגר את תופעת הנטישות</w:t>
      </w:r>
      <w:r w:rsidR="00DC4DF5">
        <w:rPr>
          <w:rFonts w:hint="cs"/>
          <w:rtl/>
        </w:rPr>
        <w:t xml:space="preserve"> </w:t>
      </w:r>
      <w:bookmarkStart w:id="8" w:name="_GoBack"/>
      <w:bookmarkEnd w:id="8"/>
      <w:r w:rsidR="009D2933">
        <w:rPr>
          <w:rFonts w:hint="cs"/>
          <w:rtl/>
        </w:rPr>
        <w:t>ו</w:t>
      </w:r>
      <w:r>
        <w:rPr>
          <w:rFonts w:hint="cs"/>
          <w:rtl/>
        </w:rPr>
        <w:t>לתרום הן למטופלים הסיעודיים והן למדינה, בכך שימנע חשש להשתקעות עובדים זרים רבים בה, תוך מתן מענה למספר מצומצם של מקרים חריגים העומדים בתנאי החוק.</w:t>
      </w:r>
    </w:p>
    <w:p w14:paraId="7F6961CB" w14:textId="031B0B67" w:rsidR="00E13C27" w:rsidRDefault="00D7228B" w:rsidP="00962348">
      <w:pPr>
        <w:pStyle w:val="Hesber"/>
        <w:rPr>
          <w:rtl/>
        </w:rPr>
      </w:pPr>
      <w:r>
        <w:rPr>
          <w:rFonts w:hint="cs"/>
          <w:rtl/>
        </w:rPr>
        <w:t>הצעת חוק זהה הונחה על שולחן הכנסת התשע-עשרה על ידי חברת הכנסת אורית סטרוק ו</w:t>
      </w:r>
      <w:r w:rsidR="00962348">
        <w:rPr>
          <w:rFonts w:hint="cs"/>
          <w:rtl/>
        </w:rPr>
        <w:t xml:space="preserve">קבוצת </w:t>
      </w:r>
      <w:r>
        <w:rPr>
          <w:rFonts w:hint="cs"/>
          <w:rtl/>
        </w:rPr>
        <w:t xml:space="preserve">חברי </w:t>
      </w:r>
      <w:r w:rsidR="00962348">
        <w:rPr>
          <w:rFonts w:hint="cs"/>
          <w:rtl/>
        </w:rPr>
        <w:t>ה</w:t>
      </w:r>
      <w:r>
        <w:rPr>
          <w:rFonts w:hint="cs"/>
          <w:rtl/>
        </w:rPr>
        <w:t>כנסת</w:t>
      </w:r>
      <w:r w:rsidR="00962348">
        <w:rPr>
          <w:rFonts w:hint="cs"/>
          <w:rtl/>
        </w:rPr>
        <w:t xml:space="preserve"> (פ/2850/19).</w:t>
      </w:r>
      <w:r w:rsidR="00BD1159">
        <w:rPr>
          <w:rFonts w:hint="cs"/>
          <w:rtl/>
        </w:rPr>
        <w:t xml:space="preserve"> </w:t>
      </w:r>
    </w:p>
    <w:p w14:paraId="556409AB" w14:textId="77777777" w:rsidR="00B540BD" w:rsidRPr="00557D2C" w:rsidRDefault="00B540BD" w:rsidP="007D273A">
      <w:pPr>
        <w:pStyle w:val="Hesber"/>
        <w:rPr>
          <w:rtl/>
        </w:rPr>
      </w:pPr>
      <w:r w:rsidRPr="00557D2C">
        <w:rPr>
          <w:rtl/>
        </w:rPr>
        <w:t>---------------------------------</w:t>
      </w:r>
    </w:p>
    <w:p w14:paraId="79D3CE8B" w14:textId="77777777" w:rsidR="00B540BD" w:rsidRPr="00557D2C" w:rsidRDefault="00B540BD" w:rsidP="007D273A">
      <w:pPr>
        <w:pStyle w:val="Hesber"/>
        <w:rPr>
          <w:rtl/>
        </w:rPr>
      </w:pPr>
      <w:r w:rsidRPr="00557D2C">
        <w:rPr>
          <w:rtl/>
        </w:rPr>
        <w:t>הוגשה ליו"ר הכנסת והסגנים</w:t>
      </w:r>
    </w:p>
    <w:p w14:paraId="4DA79A24" w14:textId="77777777" w:rsidR="00B540BD" w:rsidRPr="00557D2C" w:rsidRDefault="00B540BD" w:rsidP="007D273A">
      <w:pPr>
        <w:pStyle w:val="Hesber"/>
        <w:rPr>
          <w:rtl/>
        </w:rPr>
      </w:pPr>
      <w:r w:rsidRPr="00557D2C">
        <w:rPr>
          <w:rtl/>
        </w:rPr>
        <w:t>והונחה על שולחן הכנסת ביום</w:t>
      </w:r>
    </w:p>
    <w:p w14:paraId="3174DDB4" w14:textId="3F491052" w:rsidR="00B540BD" w:rsidRPr="00D7228B" w:rsidRDefault="00B540BD" w:rsidP="00045C95">
      <w:pPr>
        <w:pStyle w:val="Hesber"/>
        <w:rPr>
          <w:rtl/>
        </w:rPr>
      </w:pPr>
      <w:r>
        <w:rPr>
          <w:rFonts w:hint="cs"/>
          <w:rtl/>
        </w:rPr>
        <w:t>כ"א</w:t>
      </w:r>
      <w:r w:rsidRPr="00557D2C">
        <w:rPr>
          <w:rFonts w:hint="cs"/>
          <w:rtl/>
        </w:rPr>
        <w:t xml:space="preserve"> ב</w:t>
      </w:r>
      <w:r>
        <w:rPr>
          <w:rFonts w:hint="cs"/>
          <w:rtl/>
        </w:rPr>
        <w:t>סיוון</w:t>
      </w:r>
      <w:r w:rsidRPr="00557D2C">
        <w:rPr>
          <w:rFonts w:hint="cs"/>
          <w:rtl/>
        </w:rPr>
        <w:t xml:space="preserve"> התשע"ה </w:t>
      </w:r>
      <w:r w:rsidRPr="00557D2C">
        <w:rPr>
          <w:rtl/>
        </w:rPr>
        <w:t>–</w:t>
      </w:r>
      <w:r>
        <w:rPr>
          <w:rFonts w:hint="cs"/>
          <w:rtl/>
        </w:rPr>
        <w:t xml:space="preserve"> 8.6.15</w:t>
      </w:r>
    </w:p>
    <w:sectPr w:rsidR="00B540BD" w:rsidRPr="00D7228B"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961D3" w14:textId="77777777" w:rsidR="00C23B1A" w:rsidRDefault="00C23B1A">
      <w:r>
        <w:separator/>
      </w:r>
    </w:p>
  </w:endnote>
  <w:endnote w:type="continuationSeparator" w:id="0">
    <w:p w14:paraId="7F6961D4" w14:textId="77777777" w:rsidR="00C23B1A" w:rsidRDefault="00C2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DC4DF5">
      <w:rPr>
        <w:rStyle w:val="ab"/>
        <w:noProof/>
        <w:rtl/>
      </w:rPr>
      <w:t>2</w:t>
    </w:r>
    <w:r>
      <w:rPr>
        <w:rStyle w:val="ab"/>
        <w:rtl/>
      </w:rPr>
      <w:fldChar w:fldCharType="end"/>
    </w:r>
  </w:p>
  <w:p w14:paraId="7F6961D8" w14:textId="77777777"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961D0" w14:textId="77777777" w:rsidR="00C23B1A" w:rsidRDefault="00C23B1A">
      <w:r>
        <w:separator/>
      </w:r>
    </w:p>
  </w:footnote>
  <w:footnote w:type="continuationSeparator" w:id="0">
    <w:p w14:paraId="7F6961D1" w14:textId="77777777" w:rsidR="00C23B1A" w:rsidRDefault="00C23B1A">
      <w:r>
        <w:continuationSeparator/>
      </w:r>
    </w:p>
  </w:footnote>
  <w:footnote w:type="continuationNotice" w:id="1">
    <w:p w14:paraId="7F6961D2" w14:textId="77777777" w:rsidR="00C23B1A" w:rsidRDefault="00C23B1A"/>
  </w:footnote>
  <w:footnote w:id="2">
    <w:p w14:paraId="08E6B63A" w14:textId="77777777" w:rsidR="00D7228B" w:rsidRDefault="00D7228B" w:rsidP="00D7228B">
      <w:pPr>
        <w:pStyle w:val="a4"/>
      </w:pPr>
      <w:r>
        <w:rPr>
          <w:rStyle w:val="a6"/>
        </w:rPr>
        <w:footnoteRef/>
      </w:r>
      <w:r>
        <w:rPr>
          <w:rFonts w:hint="cs"/>
          <w:rtl/>
        </w:rPr>
        <w:t xml:space="preserve"> ס"ח התשי"ב, עמ' 354.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8C2CE9"/>
    <w:multiLevelType w:val="hybridMultilevel"/>
    <w:tmpl w:val="524C8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2F61FF"/>
    <w:multiLevelType w:val="hybridMultilevel"/>
    <w:tmpl w:val="524C8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0F1620"/>
    <w:multiLevelType w:val="hybridMultilevel"/>
    <w:tmpl w:val="524C8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AF2799F"/>
    <w:multiLevelType w:val="hybridMultilevel"/>
    <w:tmpl w:val="362EF150"/>
    <w:lvl w:ilvl="0" w:tplc="206E8F5E">
      <w:start w:val="1"/>
      <w:numFmt w:val="hebrew1"/>
      <w:lvlText w:val="%1."/>
      <w:lvlJc w:val="center"/>
      <w:pPr>
        <w:ind w:left="1060" w:hanging="360"/>
      </w:pPr>
      <w:rPr>
        <w:rFonts w:cs="David"/>
      </w:rPr>
    </w:lvl>
    <w:lvl w:ilvl="1" w:tplc="04090019">
      <w:start w:val="1"/>
      <w:numFmt w:val="lowerLetter"/>
      <w:lvlText w:val="%2."/>
      <w:lvlJc w:val="left"/>
      <w:pPr>
        <w:ind w:left="1780" w:hanging="360"/>
      </w:pPr>
      <w:rPr>
        <w:rFonts w:cs="Times New Roman"/>
      </w:rPr>
    </w:lvl>
    <w:lvl w:ilvl="2" w:tplc="0409001B">
      <w:start w:val="1"/>
      <w:numFmt w:val="lowerRoman"/>
      <w:lvlText w:val="%3."/>
      <w:lvlJc w:val="right"/>
      <w:pPr>
        <w:ind w:left="2500" w:hanging="180"/>
      </w:pPr>
      <w:rPr>
        <w:rFonts w:cs="Times New Roman"/>
      </w:rPr>
    </w:lvl>
    <w:lvl w:ilvl="3" w:tplc="0409000F">
      <w:start w:val="1"/>
      <w:numFmt w:val="decimal"/>
      <w:lvlText w:val="%4."/>
      <w:lvlJc w:val="left"/>
      <w:pPr>
        <w:ind w:left="3220" w:hanging="360"/>
      </w:pPr>
      <w:rPr>
        <w:rFonts w:cs="Times New Roman"/>
      </w:rPr>
    </w:lvl>
    <w:lvl w:ilvl="4" w:tplc="04090019">
      <w:start w:val="1"/>
      <w:numFmt w:val="lowerLetter"/>
      <w:lvlText w:val="%5."/>
      <w:lvlJc w:val="left"/>
      <w:pPr>
        <w:ind w:left="3940" w:hanging="360"/>
      </w:pPr>
      <w:rPr>
        <w:rFonts w:cs="Times New Roman"/>
      </w:rPr>
    </w:lvl>
    <w:lvl w:ilvl="5" w:tplc="0409001B">
      <w:start w:val="1"/>
      <w:numFmt w:val="lowerRoman"/>
      <w:lvlText w:val="%6."/>
      <w:lvlJc w:val="right"/>
      <w:pPr>
        <w:ind w:left="4660" w:hanging="180"/>
      </w:pPr>
      <w:rPr>
        <w:rFonts w:cs="Times New Roman"/>
      </w:rPr>
    </w:lvl>
    <w:lvl w:ilvl="6" w:tplc="0409000F">
      <w:start w:val="1"/>
      <w:numFmt w:val="decimal"/>
      <w:lvlText w:val="%7."/>
      <w:lvlJc w:val="left"/>
      <w:pPr>
        <w:ind w:left="5380" w:hanging="360"/>
      </w:pPr>
      <w:rPr>
        <w:rFonts w:cs="Times New Roman"/>
      </w:rPr>
    </w:lvl>
    <w:lvl w:ilvl="7" w:tplc="04090019">
      <w:start w:val="1"/>
      <w:numFmt w:val="lowerLetter"/>
      <w:lvlText w:val="%8."/>
      <w:lvlJc w:val="left"/>
      <w:pPr>
        <w:ind w:left="6100" w:hanging="360"/>
      </w:pPr>
      <w:rPr>
        <w:rFonts w:cs="Times New Roman"/>
      </w:rPr>
    </w:lvl>
    <w:lvl w:ilvl="8" w:tplc="0409001B">
      <w:start w:val="1"/>
      <w:numFmt w:val="lowerRoman"/>
      <w:lvlText w:val="%9."/>
      <w:lvlJc w:val="right"/>
      <w:pPr>
        <w:ind w:left="682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0"/>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25BFB"/>
    <w:rsid w:val="00045C95"/>
    <w:rsid w:val="0007681A"/>
    <w:rsid w:val="000A02F8"/>
    <w:rsid w:val="000A542E"/>
    <w:rsid w:val="000B1084"/>
    <w:rsid w:val="000E212F"/>
    <w:rsid w:val="000F57C1"/>
    <w:rsid w:val="00102B6B"/>
    <w:rsid w:val="001052D4"/>
    <w:rsid w:val="0010644B"/>
    <w:rsid w:val="001207F8"/>
    <w:rsid w:val="00121924"/>
    <w:rsid w:val="001279A8"/>
    <w:rsid w:val="0014195F"/>
    <w:rsid w:val="00152609"/>
    <w:rsid w:val="00153E1B"/>
    <w:rsid w:val="001A0623"/>
    <w:rsid w:val="001C23B0"/>
    <w:rsid w:val="001E1DB5"/>
    <w:rsid w:val="001F3932"/>
    <w:rsid w:val="00203A7F"/>
    <w:rsid w:val="002200A1"/>
    <w:rsid w:val="002362BF"/>
    <w:rsid w:val="00241B97"/>
    <w:rsid w:val="00246756"/>
    <w:rsid w:val="00251E58"/>
    <w:rsid w:val="00254605"/>
    <w:rsid w:val="0026546A"/>
    <w:rsid w:val="002728B4"/>
    <w:rsid w:val="0027600C"/>
    <w:rsid w:val="00292712"/>
    <w:rsid w:val="002A487D"/>
    <w:rsid w:val="002C2E29"/>
    <w:rsid w:val="002D1EE3"/>
    <w:rsid w:val="002F1D80"/>
    <w:rsid w:val="003232A2"/>
    <w:rsid w:val="00325C14"/>
    <w:rsid w:val="003710F6"/>
    <w:rsid w:val="00386E88"/>
    <w:rsid w:val="00396585"/>
    <w:rsid w:val="003D2F99"/>
    <w:rsid w:val="003D74A0"/>
    <w:rsid w:val="004033D8"/>
    <w:rsid w:val="004073F0"/>
    <w:rsid w:val="00412A7D"/>
    <w:rsid w:val="00416B4D"/>
    <w:rsid w:val="00417CFC"/>
    <w:rsid w:val="004B24ED"/>
    <w:rsid w:val="004C6919"/>
    <w:rsid w:val="004D2D82"/>
    <w:rsid w:val="004D3876"/>
    <w:rsid w:val="004E4552"/>
    <w:rsid w:val="004F33F0"/>
    <w:rsid w:val="004F69E4"/>
    <w:rsid w:val="00553C9D"/>
    <w:rsid w:val="00562A66"/>
    <w:rsid w:val="00575CEF"/>
    <w:rsid w:val="00591227"/>
    <w:rsid w:val="005B064E"/>
    <w:rsid w:val="005C1DD1"/>
    <w:rsid w:val="005C565B"/>
    <w:rsid w:val="005D51AE"/>
    <w:rsid w:val="0062674B"/>
    <w:rsid w:val="006363B2"/>
    <w:rsid w:val="00644940"/>
    <w:rsid w:val="006818A9"/>
    <w:rsid w:val="00685D58"/>
    <w:rsid w:val="006A2D81"/>
    <w:rsid w:val="006C1D0D"/>
    <w:rsid w:val="0070601E"/>
    <w:rsid w:val="00712C72"/>
    <w:rsid w:val="00734C1B"/>
    <w:rsid w:val="00735FE9"/>
    <w:rsid w:val="00763CAA"/>
    <w:rsid w:val="00765F66"/>
    <w:rsid w:val="007C3FA6"/>
    <w:rsid w:val="007D585A"/>
    <w:rsid w:val="007D5A12"/>
    <w:rsid w:val="007E59F9"/>
    <w:rsid w:val="00810BCD"/>
    <w:rsid w:val="00812C98"/>
    <w:rsid w:val="00814D92"/>
    <w:rsid w:val="0083181D"/>
    <w:rsid w:val="00874BBC"/>
    <w:rsid w:val="00892135"/>
    <w:rsid w:val="00895449"/>
    <w:rsid w:val="00897879"/>
    <w:rsid w:val="008A6870"/>
    <w:rsid w:val="008C2DDC"/>
    <w:rsid w:val="008C7516"/>
    <w:rsid w:val="008E6EC7"/>
    <w:rsid w:val="008F0D63"/>
    <w:rsid w:val="008F2C35"/>
    <w:rsid w:val="008F6665"/>
    <w:rsid w:val="0091204F"/>
    <w:rsid w:val="009203DB"/>
    <w:rsid w:val="00923CD4"/>
    <w:rsid w:val="00943386"/>
    <w:rsid w:val="009456B6"/>
    <w:rsid w:val="00957589"/>
    <w:rsid w:val="00962348"/>
    <w:rsid w:val="00966D06"/>
    <w:rsid w:val="00982412"/>
    <w:rsid w:val="00983A8D"/>
    <w:rsid w:val="009941E8"/>
    <w:rsid w:val="009A7257"/>
    <w:rsid w:val="009B7235"/>
    <w:rsid w:val="009D2933"/>
    <w:rsid w:val="009D6E0A"/>
    <w:rsid w:val="00A14672"/>
    <w:rsid w:val="00A26BD6"/>
    <w:rsid w:val="00A443CF"/>
    <w:rsid w:val="00A65261"/>
    <w:rsid w:val="00A6611D"/>
    <w:rsid w:val="00A82CB7"/>
    <w:rsid w:val="00AA2F03"/>
    <w:rsid w:val="00AC36F7"/>
    <w:rsid w:val="00AC63A4"/>
    <w:rsid w:val="00AD239E"/>
    <w:rsid w:val="00B10265"/>
    <w:rsid w:val="00B21211"/>
    <w:rsid w:val="00B35784"/>
    <w:rsid w:val="00B540BD"/>
    <w:rsid w:val="00B733A7"/>
    <w:rsid w:val="00B975AD"/>
    <w:rsid w:val="00BC45FB"/>
    <w:rsid w:val="00BD1159"/>
    <w:rsid w:val="00BF148D"/>
    <w:rsid w:val="00C23B1A"/>
    <w:rsid w:val="00C310EB"/>
    <w:rsid w:val="00C47158"/>
    <w:rsid w:val="00C56999"/>
    <w:rsid w:val="00C664C2"/>
    <w:rsid w:val="00C82099"/>
    <w:rsid w:val="00C9176A"/>
    <w:rsid w:val="00CE2086"/>
    <w:rsid w:val="00CF1AA2"/>
    <w:rsid w:val="00CF26D4"/>
    <w:rsid w:val="00D2495B"/>
    <w:rsid w:val="00D63620"/>
    <w:rsid w:val="00D7228B"/>
    <w:rsid w:val="00D81925"/>
    <w:rsid w:val="00D8410D"/>
    <w:rsid w:val="00D867D7"/>
    <w:rsid w:val="00DB7060"/>
    <w:rsid w:val="00DC4DF5"/>
    <w:rsid w:val="00DD2976"/>
    <w:rsid w:val="00DE3153"/>
    <w:rsid w:val="00E06736"/>
    <w:rsid w:val="00E13C27"/>
    <w:rsid w:val="00E33BBD"/>
    <w:rsid w:val="00E45103"/>
    <w:rsid w:val="00E665B9"/>
    <w:rsid w:val="00EA01E6"/>
    <w:rsid w:val="00EA3DE8"/>
    <w:rsid w:val="00EA758F"/>
    <w:rsid w:val="00EC26B3"/>
    <w:rsid w:val="00ED4A6F"/>
    <w:rsid w:val="00EF3A3A"/>
    <w:rsid w:val="00F628D6"/>
    <w:rsid w:val="00F67051"/>
    <w:rsid w:val="00F85B45"/>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00E1543E-2B54-4C29-86A8-D1CB14AD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0B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semiHidden/>
    <w:rsid w:val="00B540B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B540B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540B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540BD"/>
    <w:rPr>
      <w:sz w:val="36"/>
      <w:szCs w:val="52"/>
    </w:rPr>
  </w:style>
  <w:style w:type="paragraph" w:customStyle="1" w:styleId="Cover3-Haknesset">
    <w:name w:val="Cover 3-Haknesset"/>
    <w:basedOn w:val="Cover1-Reshumot"/>
    <w:rsid w:val="00B540BD"/>
    <w:rPr>
      <w:b/>
      <w:bCs/>
      <w:spacing w:val="60"/>
    </w:rPr>
  </w:style>
  <w:style w:type="paragraph" w:customStyle="1" w:styleId="Cover4-Date">
    <w:name w:val="Cover 4-Date"/>
    <w:basedOn w:val="a"/>
    <w:rsid w:val="00B540B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540B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540B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540BD"/>
    <w:pPr>
      <w:spacing w:before="120" w:after="120"/>
    </w:pPr>
    <w:rPr>
      <w:color w:val="FF0000"/>
      <w:w w:val="80"/>
    </w:rPr>
  </w:style>
  <w:style w:type="paragraph" w:styleId="a3">
    <w:name w:val="endnote text"/>
    <w:basedOn w:val="a"/>
    <w:semiHidden/>
    <w:rsid w:val="00B540BD"/>
    <w:pPr>
      <w:ind w:left="227" w:hanging="227"/>
    </w:pPr>
    <w:rPr>
      <w:sz w:val="14"/>
      <w:szCs w:val="22"/>
    </w:rPr>
  </w:style>
  <w:style w:type="paragraph" w:customStyle="1" w:styleId="TableText">
    <w:name w:val="Table Text"/>
    <w:basedOn w:val="a"/>
    <w:rsid w:val="00B540B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540BD"/>
  </w:style>
  <w:style w:type="paragraph" w:customStyle="1" w:styleId="TableBlock">
    <w:name w:val="Table Block"/>
    <w:basedOn w:val="TableText"/>
    <w:rsid w:val="00B540BD"/>
    <w:pPr>
      <w:ind w:right="0"/>
      <w:jc w:val="both"/>
    </w:pPr>
  </w:style>
  <w:style w:type="paragraph" w:customStyle="1" w:styleId="TableHead">
    <w:name w:val="Table Head"/>
    <w:basedOn w:val="TableText"/>
    <w:rsid w:val="00B540B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540BD"/>
  </w:style>
  <w:style w:type="paragraph" w:customStyle="1" w:styleId="Hesber">
    <w:name w:val="Hesber"/>
    <w:basedOn w:val="a"/>
    <w:rsid w:val="00B540B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540B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540BD"/>
    <w:rPr>
      <w:vertAlign w:val="superscript"/>
    </w:rPr>
  </w:style>
  <w:style w:type="paragraph" w:customStyle="1" w:styleId="HesberHeading">
    <w:name w:val="Hesber Heading"/>
    <w:basedOn w:val="Hesber"/>
    <w:rsid w:val="00B540BD"/>
    <w:pPr>
      <w:tabs>
        <w:tab w:val="left" w:pos="624"/>
        <w:tab w:val="left" w:pos="1247"/>
      </w:tabs>
      <w:ind w:firstLine="0"/>
    </w:pPr>
    <w:rPr>
      <w:b/>
      <w:bCs/>
    </w:rPr>
  </w:style>
  <w:style w:type="paragraph" w:customStyle="1" w:styleId="HesberWriters">
    <w:name w:val="Hesber Writers"/>
    <w:basedOn w:val="Hesber"/>
    <w:rsid w:val="00B540BD"/>
    <w:pPr>
      <w:spacing w:before="120" w:after="6000"/>
      <w:ind w:left="1418" w:firstLine="0"/>
      <w:jc w:val="right"/>
    </w:pPr>
    <w:rPr>
      <w:b/>
      <w:bCs/>
    </w:rPr>
  </w:style>
  <w:style w:type="paragraph" w:customStyle="1" w:styleId="Hesber1st">
    <w:name w:val="Hesber 1st"/>
    <w:basedOn w:val="Hesber"/>
    <w:rsid w:val="00B540BD"/>
    <w:pPr>
      <w:tabs>
        <w:tab w:val="left" w:pos="680"/>
        <w:tab w:val="left" w:pos="1020"/>
      </w:tabs>
      <w:ind w:firstLine="0"/>
    </w:pPr>
  </w:style>
  <w:style w:type="character" w:styleId="a7">
    <w:name w:val="endnote reference"/>
    <w:basedOn w:val="a0"/>
    <w:semiHidden/>
    <w:rsid w:val="00B540BD"/>
    <w:rPr>
      <w:vertAlign w:val="superscript"/>
    </w:rPr>
  </w:style>
  <w:style w:type="paragraph" w:customStyle="1" w:styleId="TableBlockOutdent">
    <w:name w:val="Table BlockOutdent"/>
    <w:basedOn w:val="TableBlock"/>
    <w:rsid w:val="00B540BD"/>
    <w:pPr>
      <w:ind w:left="624" w:hanging="624"/>
    </w:pPr>
  </w:style>
  <w:style w:type="paragraph" w:styleId="a8">
    <w:name w:val="header"/>
    <w:basedOn w:val="a"/>
    <w:rsid w:val="00B540BD"/>
    <w:pPr>
      <w:tabs>
        <w:tab w:val="center" w:pos="4153"/>
        <w:tab w:val="right" w:pos="8306"/>
      </w:tabs>
    </w:pPr>
  </w:style>
  <w:style w:type="paragraph" w:styleId="a9">
    <w:name w:val="footer"/>
    <w:basedOn w:val="a"/>
    <w:rsid w:val="00B540BD"/>
    <w:pPr>
      <w:tabs>
        <w:tab w:val="center" w:pos="4153"/>
        <w:tab w:val="right" w:pos="8306"/>
      </w:tabs>
    </w:pPr>
  </w:style>
  <w:style w:type="paragraph" w:customStyle="1" w:styleId="HeadDivreiHesber">
    <w:name w:val="Head DivreiHesber"/>
    <w:basedOn w:val="a"/>
    <w:rsid w:val="00B540B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540B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540B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D7228B"/>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582615">
      <w:bodyDiv w:val="1"/>
      <w:marLeft w:val="0"/>
      <w:marRight w:val="0"/>
      <w:marTop w:val="0"/>
      <w:marBottom w:val="0"/>
      <w:divBdr>
        <w:top w:val="none" w:sz="0" w:space="0" w:color="auto"/>
        <w:left w:val="none" w:sz="0" w:space="0" w:color="auto"/>
        <w:bottom w:val="none" w:sz="0" w:space="0" w:color="auto"/>
        <w:right w:val="none" w:sz="0" w:space="0" w:color="auto"/>
      </w:divBdr>
    </w:div>
    <w:div w:id="2073698602">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025E7-3628-482F-A15A-44C691ACB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DDFC12E2-AB8F-4FAC-A930-856A7DA88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1011</Words>
  <Characters>5059</Characters>
  <Application>Microsoft Office Word</Application>
  <DocSecurity>0</DocSecurity>
  <Lines>42</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24</cp:revision>
  <cp:lastPrinted>2015-06-02T15:42:00Z</cp:lastPrinted>
  <dcterms:created xsi:type="dcterms:W3CDTF">2015-03-26T08:06:00Z</dcterms:created>
  <dcterms:modified xsi:type="dcterms:W3CDTF">2015-06-02T15:43:00Z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0354fdee-f711-4d2a-9cf2-2d1c4d9ac92a</vt:lpwstr>
  </property>
  <property fmtid="{D5CDD505-2E9C-101B-9397-08002B2CF9AE}" pid="4" name="SanhedrinDocumentType">
    <vt:r8>10</vt:r8>
  </property>
  <property fmtid="{D5CDD505-2E9C-101B-9397-08002B2CF9AE}" pid="5" name="SanhedrinItemID">
    <vt:r8>563716</vt:r8>
  </property>
</Properties>
</file>