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563710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6867B7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ינון מגל</w:t>
      </w:r>
      <w:bookmarkEnd w:id="3"/>
    </w:p>
    <w:p w14:paraId="7F6961AA" w14:textId="77777777" w:rsidR="00E13C27" w:rsidRPr="00CF1AA2" w:rsidRDefault="007D585A" w:rsidP="00CF1AA2">
      <w:pPr>
        <w:pStyle w:val="David"/>
        <w:ind w:left="3544"/>
        <w:rPr>
          <w:b/>
          <w:bCs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7F6961AB" w14:textId="1A02760E" w:rsidR="00E13C27" w:rsidRPr="00E06736" w:rsidRDefault="0014195F" w:rsidP="00416B4D">
      <w:pPr>
        <w:pStyle w:val="David"/>
        <w:ind w:left="3544"/>
        <w:rPr>
          <w:rtl/>
        </w:rPr>
      </w:pPr>
      <w:r w:rsidRPr="00CF1AA2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961CE" wp14:editId="7F6961CF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a="http://schemas.openxmlformats.org/drawingml/2006/main">
            <w:pict>
              <v:polyline id="Freeform 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9,27" o:spid="_x0000_s1026" filled="f" points=".1pt,5.1pt,305.55pt,3.75pt" w14:anchorId="21D28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>
                <v:path arrowok="t" o:connecttype="custom" o:connectlocs="0,17145;3879215,0" o:connectangles="0,0"/>
              </v:polyline>
            </w:pict>
          </mc:Fallback>
        </mc:AlternateContent>
      </w:r>
      <w:r w:rsidR="00E13C27" w:rsidRPr="00E06736">
        <w:rPr>
          <w:rFonts w:hint="cs"/>
          <w:rtl/>
        </w:rPr>
        <w:tab/>
      </w:r>
      <w:r w:rsidR="00416B4D">
        <w:tab/>
      </w:r>
      <w:r w:rsidR="00FA5E88">
        <w:tab/>
      </w:r>
      <w:r w:rsidR="00E13C27" w:rsidRPr="00E06736">
        <w:rPr>
          <w:rFonts w:hint="cs"/>
          <w:rtl/>
        </w:rPr>
        <w:tab/>
      </w:r>
      <w:r w:rsidR="00E06736" w:rsidRPr="00E06736">
        <w:tab/>
      </w:r>
      <w:bookmarkStart w:id="6" w:name="Private_Number"/>
      <w:r>
        <w:rPr>
          <w:rFonts w:hint="cs"/>
          <w:rtl/>
        </w:rPr>
        <w:t>פ/740/20</w:t>
      </w:r>
      <w:bookmarkEnd w:id="6"/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6867B7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התקשורת (בזק ושידורים) (תיקון – הודעת התנתקות משירות כהודעת סירוב לקבל פרסומות), התשע"ה–2015</w:t>
      </w:r>
      <w:bookmarkEnd w:id="7"/>
    </w:p>
    <w:p w14:paraId="7F6961AE" w14:textId="77777777" w:rsidR="00E13C27" w:rsidRDefault="00E13C27" w:rsidP="0000131B">
      <w:pPr>
        <w:pStyle w:val="HeadDivreiHesber"/>
        <w:spacing w:before="0" w:after="0" w:line="240" w:lineRule="auto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B71347" w:rsidRPr="00C34DE2" w14:paraId="0576738D" w14:textId="77777777" w:rsidTr="00D4069F">
        <w:trPr>
          <w:cantSplit/>
          <w:trHeight w:val="60"/>
        </w:trPr>
        <w:tc>
          <w:tcPr>
            <w:tcW w:w="1871" w:type="dxa"/>
          </w:tcPr>
          <w:p w14:paraId="3A74B7E9" w14:textId="77777777" w:rsidR="00B71347" w:rsidRDefault="00B71347" w:rsidP="00D4069F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30א</w:t>
            </w:r>
          </w:p>
        </w:tc>
        <w:tc>
          <w:tcPr>
            <w:tcW w:w="624" w:type="dxa"/>
          </w:tcPr>
          <w:p w14:paraId="2AC04362" w14:textId="77777777" w:rsidR="00B71347" w:rsidRDefault="00B71347" w:rsidP="00D4069F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2CE5C2FF" w14:textId="77777777" w:rsidR="00B71347" w:rsidRPr="00C34DE2" w:rsidRDefault="00B71347" w:rsidP="00D4069F">
            <w:pPr>
              <w:pStyle w:val="TableBlock"/>
              <w:keepLines w:val="0"/>
            </w:pPr>
            <w:r>
              <w:rPr>
                <w:sz w:val="26"/>
                <w:rtl/>
              </w:rPr>
              <w:t>בחוק התקשורת (בזק ושידורים), התשמ"ב–1982</w:t>
            </w:r>
            <w:r>
              <w:rPr>
                <w:rStyle w:val="a6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, בסעיף 30א(ד), בסופו יבוא "לעניין זה, יראו כהודעת סירוב גם בקשה או הודעה של הנמען להפסיק לקבל שירות שרכש מהמפרסם." </w:t>
            </w:r>
          </w:p>
        </w:tc>
      </w:tr>
    </w:tbl>
    <w:p w14:paraId="2C3BA391" w14:textId="77777777" w:rsidR="00B71347" w:rsidRDefault="00B71347" w:rsidP="00B71347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6FEC620" w14:textId="77777777" w:rsidR="00B71347" w:rsidRPr="00A62DFB" w:rsidRDefault="00B71347" w:rsidP="00B71347">
      <w:pPr>
        <w:pStyle w:val="Hesber"/>
        <w:rPr>
          <w:rtl/>
        </w:rPr>
      </w:pPr>
      <w:r w:rsidRPr="00A62DFB">
        <w:rPr>
          <w:rFonts w:hint="cs"/>
          <w:rtl/>
        </w:rPr>
        <w:t xml:space="preserve">חוק התקשורת </w:t>
      </w:r>
      <w:r>
        <w:rPr>
          <w:rFonts w:hint="cs"/>
          <w:rtl/>
        </w:rPr>
        <w:t>(בזק ושידורים),</w:t>
      </w:r>
      <w:r w:rsidRPr="00A62DFB">
        <w:rPr>
          <w:sz w:val="26"/>
          <w:rtl/>
        </w:rPr>
        <w:t xml:space="preserve"> </w:t>
      </w:r>
      <w:r>
        <w:rPr>
          <w:sz w:val="26"/>
          <w:rtl/>
        </w:rPr>
        <w:t>התשמ"ב–1982</w:t>
      </w:r>
      <w:r>
        <w:rPr>
          <w:rFonts w:hint="cs"/>
          <w:rtl/>
        </w:rPr>
        <w:t xml:space="preserve"> (להלן </w:t>
      </w:r>
      <w:r>
        <w:rPr>
          <w:rtl/>
        </w:rPr>
        <w:t>–</w:t>
      </w:r>
      <w:r>
        <w:rPr>
          <w:rFonts w:hint="cs"/>
          <w:rtl/>
        </w:rPr>
        <w:t xml:space="preserve"> החוק), </w:t>
      </w:r>
      <w:r w:rsidRPr="00A62DFB">
        <w:rPr>
          <w:rFonts w:hint="cs"/>
          <w:rtl/>
        </w:rPr>
        <w:t xml:space="preserve">אוסר על </w:t>
      </w:r>
      <w:r>
        <w:rPr>
          <w:rFonts w:hint="cs"/>
          <w:rtl/>
        </w:rPr>
        <w:t>מפרסם לשלוח</w:t>
      </w:r>
      <w:r w:rsidRPr="00A62DFB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Pr="00A62DFB">
        <w:rPr>
          <w:rFonts w:hint="cs"/>
          <w:rtl/>
        </w:rPr>
        <w:t>דבר פרסומת</w:t>
      </w:r>
      <w:r>
        <w:rPr>
          <w:rFonts w:hint="cs"/>
          <w:rtl/>
        </w:rPr>
        <w:t>"</w:t>
      </w:r>
      <w:r w:rsidRPr="00A62DFB">
        <w:rPr>
          <w:rFonts w:hint="cs"/>
          <w:rtl/>
        </w:rPr>
        <w:t xml:space="preserve"> </w:t>
      </w:r>
      <w:r>
        <w:rPr>
          <w:rFonts w:hint="cs"/>
          <w:rtl/>
        </w:rPr>
        <w:t xml:space="preserve">לנמען, </w:t>
      </w:r>
      <w:r w:rsidRPr="00A62DFB">
        <w:rPr>
          <w:rFonts w:hint="cs"/>
          <w:rtl/>
        </w:rPr>
        <w:t xml:space="preserve">למעט במקרה שבו אישר </w:t>
      </w:r>
      <w:r>
        <w:rPr>
          <w:rFonts w:hint="cs"/>
          <w:rtl/>
        </w:rPr>
        <w:t>ה</w:t>
      </w:r>
      <w:r w:rsidRPr="00A62DFB">
        <w:rPr>
          <w:rFonts w:hint="cs"/>
          <w:rtl/>
        </w:rPr>
        <w:t xml:space="preserve">נמען באופן פוזיטיבי כי הוא מעוניין לקבל </w:t>
      </w:r>
      <w:r>
        <w:rPr>
          <w:rFonts w:hint="cs"/>
          <w:rtl/>
        </w:rPr>
        <w:t xml:space="preserve">מהמפרסם </w:t>
      </w:r>
      <w:r w:rsidRPr="00A62DFB">
        <w:rPr>
          <w:rFonts w:hint="cs"/>
          <w:rtl/>
        </w:rPr>
        <w:t xml:space="preserve">דברי פרסומת. יחד עם זאת, החוק מאפשר למפרסמים לשלוח דברי פרסומת גם ללא אישור </w:t>
      </w:r>
      <w:r>
        <w:rPr>
          <w:rFonts w:hint="cs"/>
          <w:rtl/>
        </w:rPr>
        <w:t xml:space="preserve">מפורש </w:t>
      </w:r>
      <w:r w:rsidRPr="00A62DFB">
        <w:rPr>
          <w:rFonts w:hint="cs"/>
          <w:rtl/>
        </w:rPr>
        <w:t>של הנמען</w:t>
      </w:r>
      <w:r>
        <w:rPr>
          <w:rFonts w:hint="cs"/>
          <w:rtl/>
        </w:rPr>
        <w:t>, בהתקיים כל התנאים המנויים בסעיף 30א(ג) לחוק,</w:t>
      </w:r>
      <w:r w:rsidRPr="00A62DFB">
        <w:rPr>
          <w:rFonts w:hint="cs"/>
          <w:rtl/>
        </w:rPr>
        <w:t xml:space="preserve"> </w:t>
      </w:r>
      <w:r>
        <w:rPr>
          <w:rFonts w:hint="cs"/>
          <w:rtl/>
        </w:rPr>
        <w:t xml:space="preserve">דהיינו, כאשר </w:t>
      </w:r>
      <w:r w:rsidRPr="00A62DFB">
        <w:rPr>
          <w:rFonts w:hint="cs"/>
          <w:rtl/>
        </w:rPr>
        <w:t xml:space="preserve">הנמען </w:t>
      </w:r>
      <w:r>
        <w:rPr>
          <w:rFonts w:hint="cs"/>
          <w:rtl/>
        </w:rPr>
        <w:t xml:space="preserve">מסר למפרסם </w:t>
      </w:r>
      <w:r w:rsidRPr="00A62DFB">
        <w:rPr>
          <w:rFonts w:hint="cs"/>
          <w:rtl/>
        </w:rPr>
        <w:t xml:space="preserve">את פרטיו במהלך רכישה של מוצר או שירות או במהלך משא ומתן לרכישה כאמור, והמפרסם הודיע לו כי הפרטים שמסר ישמשו לצורך משלוח דבר פרסומת מטעמו. </w:t>
      </w:r>
      <w:r>
        <w:rPr>
          <w:rFonts w:hint="cs"/>
          <w:rtl/>
        </w:rPr>
        <w:t>עוד קובע החוק, כי הנמען רשאי, בכל עת, להודיע למפרסם על סירובו לקבל דברי פרסומת, או לחזור בו מהסכמתו לקבל דברי פרסומת, ככל שניתנה, וזאת באמצעות שליחת "הודעת סירוב" למפרסם.</w:t>
      </w:r>
    </w:p>
    <w:p w14:paraId="770361EF" w14:textId="77777777" w:rsidR="00B71347" w:rsidRDefault="00B71347" w:rsidP="00B71347">
      <w:pPr>
        <w:pStyle w:val="Hesber"/>
        <w:rPr>
          <w:rtl/>
        </w:rPr>
      </w:pPr>
      <w:r w:rsidRPr="00214967">
        <w:rPr>
          <w:rFonts w:hint="cs"/>
          <w:rtl/>
        </w:rPr>
        <w:t xml:space="preserve">לעניין זה, מוצע לקבוע כי יראו כהודעת סירוב </w:t>
      </w:r>
      <w:r>
        <w:rPr>
          <w:rFonts w:hint="cs"/>
          <w:rtl/>
        </w:rPr>
        <w:t>לקבלת דבר פרסומת</w:t>
      </w:r>
      <w:r w:rsidRPr="00214967">
        <w:rPr>
          <w:rFonts w:hint="cs"/>
          <w:rtl/>
        </w:rPr>
        <w:t xml:space="preserve"> גם הודעה של הנמען כי ברצונו להתנתק משירות שרכש מן המפרסם. באופן זה,</w:t>
      </w:r>
      <w:r>
        <w:rPr>
          <w:rtl/>
        </w:rPr>
        <w:t xml:space="preserve"> במקרה שבו </w:t>
      </w:r>
      <w:r w:rsidRPr="00214967">
        <w:rPr>
          <w:rFonts w:hint="cs"/>
          <w:rtl/>
        </w:rPr>
        <w:t>ה</w:t>
      </w:r>
      <w:r w:rsidRPr="00214967">
        <w:rPr>
          <w:rFonts w:hint="eastAsia"/>
          <w:rtl/>
        </w:rPr>
        <w:t>נמען</w:t>
      </w:r>
      <w:r w:rsidRPr="00214967">
        <w:rPr>
          <w:rFonts w:hint="cs"/>
          <w:rtl/>
        </w:rPr>
        <w:t xml:space="preserve"> לא מעוניין עוד להיות לקוח של המפרסם, והודיע לו כי ברצונו </w:t>
      </w:r>
      <w:r w:rsidRPr="00214967">
        <w:rPr>
          <w:rFonts w:hint="eastAsia"/>
          <w:rtl/>
        </w:rPr>
        <w:t>להתנתק</w:t>
      </w:r>
      <w:r w:rsidRPr="00214967">
        <w:rPr>
          <w:rtl/>
        </w:rPr>
        <w:t xml:space="preserve"> </w:t>
      </w:r>
      <w:r w:rsidRPr="00214967">
        <w:rPr>
          <w:rFonts w:hint="eastAsia"/>
          <w:rtl/>
        </w:rPr>
        <w:t>מ</w:t>
      </w:r>
      <w:r w:rsidRPr="00214967">
        <w:rPr>
          <w:rFonts w:hint="cs"/>
          <w:rtl/>
        </w:rPr>
        <w:t>ה</w:t>
      </w:r>
      <w:r w:rsidRPr="00214967">
        <w:rPr>
          <w:rFonts w:hint="eastAsia"/>
          <w:rtl/>
        </w:rPr>
        <w:t>שירות</w:t>
      </w:r>
      <w:r w:rsidRPr="00214967">
        <w:rPr>
          <w:rFonts w:hint="cs"/>
          <w:rtl/>
        </w:rPr>
        <w:t>,</w:t>
      </w:r>
      <w:r w:rsidRPr="00214967">
        <w:rPr>
          <w:rtl/>
        </w:rPr>
        <w:t xml:space="preserve"> יראו את הבקשה כהודעת סירוב האוסרת על המפרסם להוסיף ולשלוח ל</w:t>
      </w:r>
      <w:r w:rsidRPr="00214967">
        <w:rPr>
          <w:rFonts w:hint="cs"/>
          <w:rtl/>
        </w:rPr>
        <w:t>נמען</w:t>
      </w:r>
      <w:r w:rsidRPr="00214967">
        <w:rPr>
          <w:rtl/>
        </w:rPr>
        <w:t xml:space="preserve"> דברי פרסומת נוספ</w:t>
      </w:r>
      <w:r w:rsidRPr="00214967">
        <w:rPr>
          <w:rFonts w:hint="eastAsia"/>
          <w:rtl/>
        </w:rPr>
        <w:t>ים</w:t>
      </w:r>
      <w:r w:rsidRPr="00214967">
        <w:rPr>
          <w:rFonts w:hint="cs"/>
          <w:rtl/>
        </w:rPr>
        <w:t>.</w:t>
      </w:r>
      <w:r w:rsidRPr="00A62DFB">
        <w:rPr>
          <w:rFonts w:hint="cs"/>
          <w:rtl/>
        </w:rPr>
        <w:t xml:space="preserve">    </w:t>
      </w:r>
    </w:p>
    <w:p w14:paraId="14587E7C" w14:textId="66C58F94" w:rsidR="00FA0DC7" w:rsidRDefault="00B71347" w:rsidP="00F36CDF">
      <w:pPr>
        <w:pStyle w:val="Hesber"/>
        <w:rPr>
          <w:rtl/>
        </w:rPr>
      </w:pPr>
      <w:r>
        <w:rPr>
          <w:rFonts w:hint="cs"/>
          <w:rtl/>
        </w:rPr>
        <w:t xml:space="preserve">הצעות חוק זהות הונחו על שולחן הכנסת התשע-עשרה על ידי חברת הכנסת שולי מועלם-רפאלי וקבוצת חברי </w:t>
      </w:r>
      <w:r w:rsidR="006867B7">
        <w:rPr>
          <w:rFonts w:hint="cs"/>
          <w:rtl/>
        </w:rPr>
        <w:t>ה</w:t>
      </w:r>
      <w:r>
        <w:rPr>
          <w:rFonts w:hint="cs"/>
          <w:rtl/>
        </w:rPr>
        <w:t>כנסת (</w:t>
      </w:r>
      <w:r w:rsidRPr="00594639">
        <w:rPr>
          <w:sz w:val="26"/>
          <w:rtl/>
        </w:rPr>
        <w:t>פ/2091/19</w:t>
      </w:r>
      <w:r>
        <w:rPr>
          <w:rFonts w:hint="cs"/>
          <w:sz w:val="26"/>
          <w:rtl/>
        </w:rPr>
        <w:t xml:space="preserve">), ועל שולחן הכנסת העשרים על ידי חבר הכנסת אורי מקלב ומשה גפני </w:t>
      </w:r>
      <w:r w:rsidRPr="00F36CDF">
        <w:rPr>
          <w:rFonts w:hint="cs"/>
          <w:sz w:val="26"/>
          <w:rtl/>
        </w:rPr>
        <w:t>(פ/</w:t>
      </w:r>
      <w:r w:rsidR="00F36CDF" w:rsidRPr="00F36CDF">
        <w:rPr>
          <w:rFonts w:hint="cs"/>
          <w:sz w:val="26"/>
          <w:rtl/>
        </w:rPr>
        <w:t>739/20</w:t>
      </w:r>
      <w:r w:rsidRPr="00F36CDF">
        <w:rPr>
          <w:rFonts w:hint="cs"/>
          <w:sz w:val="26"/>
          <w:rtl/>
        </w:rPr>
        <w:t>).</w:t>
      </w:r>
    </w:p>
    <w:p w14:paraId="4F2FFAE9" w14:textId="77777777" w:rsidR="006B0A95" w:rsidRPr="0022704F" w:rsidRDefault="006B0A95" w:rsidP="00F36CDF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7EB9A0E5" w14:textId="77777777" w:rsidR="006B0A95" w:rsidRPr="0022704F" w:rsidRDefault="006B0A95" w:rsidP="00F36CDF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325E72BE" w14:textId="77777777" w:rsidR="006B0A95" w:rsidRPr="0022704F" w:rsidRDefault="006B0A95" w:rsidP="00F36CDF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0EC5D3A5" w14:textId="503DF270" w:rsidR="006B0A95" w:rsidRDefault="006B0A95" w:rsidP="00F36CDF">
      <w:pPr>
        <w:spacing w:before="0" w:line="240" w:lineRule="auto"/>
        <w:ind w:left="340" w:firstLine="0"/>
        <w:rPr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כ"ט באייר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18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5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  <w:bookmarkStart w:id="8" w:name="_GoBack"/>
      <w:bookmarkEnd w:id="8"/>
    </w:p>
    <w:sectPr w:rsidR="006B0A95" w:rsidSect="001207F8">
      <w:footerReference w:type="even" r:id="rId12"/>
      <w:footerReference w:type="default" r:id="rId13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961D3" w14:textId="77777777" w:rsidR="00C23B1A" w:rsidRDefault="00C23B1A">
      <w:r>
        <w:separator/>
      </w:r>
    </w:p>
  </w:endnote>
  <w:endnote w:type="continuationSeparator" w:id="0">
    <w:p w14:paraId="7F6961D4" w14:textId="77777777" w:rsidR="00C23B1A" w:rsidRDefault="00C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5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7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F36CDF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961D0" w14:textId="77777777" w:rsidR="00C23B1A" w:rsidRDefault="00C23B1A">
      <w:r>
        <w:separator/>
      </w:r>
    </w:p>
  </w:footnote>
  <w:footnote w:type="continuationSeparator" w:id="0">
    <w:p w14:paraId="7F6961D1" w14:textId="77777777" w:rsidR="00C23B1A" w:rsidRDefault="00C23B1A">
      <w:r>
        <w:continuationSeparator/>
      </w:r>
    </w:p>
  </w:footnote>
  <w:footnote w:type="continuationNotice" w:id="1">
    <w:p w14:paraId="7F6961D2" w14:textId="77777777" w:rsidR="00C23B1A" w:rsidRDefault="00C23B1A"/>
  </w:footnote>
  <w:footnote w:id="2">
    <w:p w14:paraId="087BC6A8" w14:textId="77777777" w:rsidR="00B71347" w:rsidRDefault="00B71347" w:rsidP="00B71347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התשמ"ב, עמ' 218.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203A7F"/>
    <w:rsid w:val="002200A1"/>
    <w:rsid w:val="002362BF"/>
    <w:rsid w:val="00241B97"/>
    <w:rsid w:val="00246756"/>
    <w:rsid w:val="00251E58"/>
    <w:rsid w:val="00254605"/>
    <w:rsid w:val="002728B4"/>
    <w:rsid w:val="0027600C"/>
    <w:rsid w:val="00292712"/>
    <w:rsid w:val="002A487D"/>
    <w:rsid w:val="002C2E29"/>
    <w:rsid w:val="002D1EE3"/>
    <w:rsid w:val="002F1D80"/>
    <w:rsid w:val="003232A2"/>
    <w:rsid w:val="00325C14"/>
    <w:rsid w:val="003710F6"/>
    <w:rsid w:val="00386E88"/>
    <w:rsid w:val="00396585"/>
    <w:rsid w:val="003D74A0"/>
    <w:rsid w:val="004033D8"/>
    <w:rsid w:val="004073F0"/>
    <w:rsid w:val="00412A7D"/>
    <w:rsid w:val="00416B4D"/>
    <w:rsid w:val="00417CFC"/>
    <w:rsid w:val="004B24ED"/>
    <w:rsid w:val="004D2D82"/>
    <w:rsid w:val="004D3876"/>
    <w:rsid w:val="004E4552"/>
    <w:rsid w:val="00506D5D"/>
    <w:rsid w:val="00553C9D"/>
    <w:rsid w:val="00562A66"/>
    <w:rsid w:val="005B064E"/>
    <w:rsid w:val="005D51AE"/>
    <w:rsid w:val="0062674B"/>
    <w:rsid w:val="006363B2"/>
    <w:rsid w:val="00644940"/>
    <w:rsid w:val="006818A9"/>
    <w:rsid w:val="006867B7"/>
    <w:rsid w:val="006A2D81"/>
    <w:rsid w:val="006B0A95"/>
    <w:rsid w:val="006C1D0D"/>
    <w:rsid w:val="0070601E"/>
    <w:rsid w:val="00712C72"/>
    <w:rsid w:val="00735FE9"/>
    <w:rsid w:val="00763CAA"/>
    <w:rsid w:val="00765F66"/>
    <w:rsid w:val="007C3FA6"/>
    <w:rsid w:val="007D585A"/>
    <w:rsid w:val="007D5A12"/>
    <w:rsid w:val="007E59F9"/>
    <w:rsid w:val="00810BCD"/>
    <w:rsid w:val="00812C98"/>
    <w:rsid w:val="00814D92"/>
    <w:rsid w:val="0083181D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2C35"/>
    <w:rsid w:val="008F6665"/>
    <w:rsid w:val="0091204F"/>
    <w:rsid w:val="009203DB"/>
    <w:rsid w:val="00923CD4"/>
    <w:rsid w:val="00943386"/>
    <w:rsid w:val="009456B6"/>
    <w:rsid w:val="00957589"/>
    <w:rsid w:val="00966D06"/>
    <w:rsid w:val="00982412"/>
    <w:rsid w:val="00983A8D"/>
    <w:rsid w:val="009A7257"/>
    <w:rsid w:val="009D6E0A"/>
    <w:rsid w:val="00A14672"/>
    <w:rsid w:val="00A26BD6"/>
    <w:rsid w:val="00A443CF"/>
    <w:rsid w:val="00A6611D"/>
    <w:rsid w:val="00A82CB7"/>
    <w:rsid w:val="00AA2F03"/>
    <w:rsid w:val="00AC36F7"/>
    <w:rsid w:val="00AC63A4"/>
    <w:rsid w:val="00AD239E"/>
    <w:rsid w:val="00B10265"/>
    <w:rsid w:val="00B21211"/>
    <w:rsid w:val="00B35784"/>
    <w:rsid w:val="00B71347"/>
    <w:rsid w:val="00B733A7"/>
    <w:rsid w:val="00B975AD"/>
    <w:rsid w:val="00BC45FB"/>
    <w:rsid w:val="00BF148D"/>
    <w:rsid w:val="00C23B1A"/>
    <w:rsid w:val="00C310EB"/>
    <w:rsid w:val="00C9176A"/>
    <w:rsid w:val="00CF1AA2"/>
    <w:rsid w:val="00D63620"/>
    <w:rsid w:val="00D8410D"/>
    <w:rsid w:val="00D867D7"/>
    <w:rsid w:val="00DB7060"/>
    <w:rsid w:val="00DE3153"/>
    <w:rsid w:val="00E06736"/>
    <w:rsid w:val="00E13C27"/>
    <w:rsid w:val="00E33BBD"/>
    <w:rsid w:val="00E45103"/>
    <w:rsid w:val="00E665B9"/>
    <w:rsid w:val="00EA01E6"/>
    <w:rsid w:val="00EA3DE8"/>
    <w:rsid w:val="00EA758F"/>
    <w:rsid w:val="00ED4A6F"/>
    <w:rsid w:val="00EF3A3A"/>
    <w:rsid w:val="00F36CDF"/>
    <w:rsid w:val="00F628D6"/>
    <w:rsid w:val="00F67051"/>
    <w:rsid w:val="00FA0DC7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FA0DC7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FA0DC7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6EB2C-EAFE-4E03-A8FE-7FE58B92F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3C745-FEE6-4EA1-BF2E-48399DCB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7</cp:revision>
  <cp:lastPrinted>2015-05-12T15:54:00Z</cp:lastPrinted>
  <dcterms:created xsi:type="dcterms:W3CDTF">2015-03-26T08:06:00Z</dcterms:created>
  <dcterms:modified xsi:type="dcterms:W3CDTF">2015-05-12T15:54:00Z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0354fdee-f711-4d2a-9cf2-2d1c4d9ac92a</vt:lpwstr>
  </property>
  <property fmtid="{D5CDD505-2E9C-101B-9397-08002B2CF9AE}" pid="4" name="SanhedrinDocumentType">
    <vt:r8>10</vt:r8>
  </property>
  <property fmtid="{D5CDD505-2E9C-101B-9397-08002B2CF9AE}" pid="5" name="SanhedrinItemID">
    <vt:r8>563710</vt:r8>
  </property>
</Properties>
</file>