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DF7317">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פ/822/20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FD5331">
      <w:pPr>
        <w:spacing w:before="0" w:line="240" w:lineRule="auto"/>
        <w:ind w:left="2880" w:firstLine="720"/>
        <w:rPr>
          <w:rFonts w:cs="David"/>
          <w:sz w:val="26"/>
          <w:szCs w:val="26"/>
          <w:rtl/>
        </w:rPr>
      </w:pPr>
    </w:p>
    <w:p w14:paraId="7F6961AE" w14:textId="32EE63A9" w:rsidR="00E13C27" w:rsidRDefault="00A443CF" w:rsidP="00FD5331">
      <w:pPr>
        <w:pStyle w:val="HeadHatzaotHok"/>
        <w:rPr>
          <w:rtl/>
        </w:rPr>
      </w:pPr>
      <w:bookmarkStart w:id="7" w:name="LGS_Subject"/>
      <w:r>
        <w:rPr>
          <w:rFonts w:hint="cs"/>
          <w:rtl/>
        </w:rPr>
        <w:t>הצעת חוק הגנת הצרכן (תיקון – איסור הצגת תמונה מטעה), התשע"ה–2015</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4695C" w14:paraId="035EEF3D" w14:textId="77777777" w:rsidTr="000D3975">
        <w:trPr>
          <w:cantSplit/>
          <w:trHeight w:val="60"/>
        </w:trPr>
        <w:tc>
          <w:tcPr>
            <w:tcW w:w="1871" w:type="dxa"/>
          </w:tcPr>
          <w:p w14:paraId="1CEE2044" w14:textId="77777777" w:rsidR="0024695C" w:rsidRDefault="0024695C">
            <w:pPr>
              <w:pStyle w:val="TableSideHeading"/>
              <w:keepLines w:val="0"/>
              <w:rPr>
                <w:rtl/>
              </w:rPr>
            </w:pPr>
            <w:r>
              <w:rPr>
                <w:rFonts w:hint="cs"/>
                <w:rtl/>
              </w:rPr>
              <w:t>תיקון סעיף 2</w:t>
            </w:r>
          </w:p>
          <w:p w14:paraId="3863FF98" w14:textId="77777777" w:rsidR="0024695C" w:rsidRDefault="0024695C" w:rsidP="000D3975">
            <w:pPr>
              <w:pStyle w:val="TableSideHeading"/>
              <w:keepLines w:val="0"/>
            </w:pPr>
          </w:p>
        </w:tc>
        <w:tc>
          <w:tcPr>
            <w:tcW w:w="624" w:type="dxa"/>
          </w:tcPr>
          <w:p w14:paraId="6F513EF6" w14:textId="7658A465" w:rsidR="0024695C" w:rsidRDefault="0024695C" w:rsidP="000D3975">
            <w:pPr>
              <w:pStyle w:val="TableText"/>
              <w:keepLines w:val="0"/>
            </w:pPr>
            <w:r>
              <w:rPr>
                <w:rFonts w:hint="cs"/>
                <w:rtl/>
              </w:rPr>
              <w:t>1.</w:t>
            </w:r>
          </w:p>
        </w:tc>
        <w:tc>
          <w:tcPr>
            <w:tcW w:w="7146" w:type="dxa"/>
          </w:tcPr>
          <w:p w14:paraId="1AE94DEB" w14:textId="00922F12" w:rsidR="0024695C" w:rsidRPr="00201111" w:rsidRDefault="0024695C" w:rsidP="00201111">
            <w:pPr>
              <w:pStyle w:val="TableBlock"/>
            </w:pPr>
            <w:r w:rsidRPr="00CD4908">
              <w:rPr>
                <w:rFonts w:hint="cs"/>
                <w:rtl/>
              </w:rPr>
              <w:t>בחוק הגנת הצרכן, התשמ"א–1981</w:t>
            </w:r>
            <w:r w:rsidRPr="0081723B">
              <w:rPr>
                <w:rStyle w:val="a6"/>
                <w:rtl/>
              </w:rPr>
              <w:footnoteReference w:id="2"/>
            </w:r>
            <w:r w:rsidRPr="00201111">
              <w:rPr>
                <w:rtl/>
              </w:rPr>
              <w:t xml:space="preserve">, </w:t>
            </w:r>
            <w:r w:rsidRPr="00201111">
              <w:rPr>
                <w:rFonts w:hint="eastAsia"/>
                <w:rtl/>
              </w:rPr>
              <w:t>בסעיף</w:t>
            </w:r>
            <w:r w:rsidRPr="00201111">
              <w:rPr>
                <w:rtl/>
              </w:rPr>
              <w:t xml:space="preserve"> 2(ג), </w:t>
            </w:r>
            <w:r w:rsidRPr="00201111">
              <w:rPr>
                <w:rFonts w:hint="eastAsia"/>
                <w:rtl/>
              </w:rPr>
              <w:t>בסופו</w:t>
            </w:r>
            <w:r w:rsidRPr="00201111">
              <w:rPr>
                <w:rtl/>
              </w:rPr>
              <w:t xml:space="preserve"> </w:t>
            </w:r>
            <w:r w:rsidRPr="00201111">
              <w:rPr>
                <w:rFonts w:hint="eastAsia"/>
                <w:rtl/>
              </w:rPr>
              <w:t>יבוא</w:t>
            </w:r>
            <w:r w:rsidRPr="00201111">
              <w:rPr>
                <w:rtl/>
              </w:rPr>
              <w:t xml:space="preserve"> "בלי </w:t>
            </w:r>
            <w:r w:rsidRPr="00201111">
              <w:rPr>
                <w:rFonts w:hint="eastAsia"/>
                <w:rtl/>
              </w:rPr>
              <w:t>לגרוע</w:t>
            </w:r>
            <w:r w:rsidRPr="00201111">
              <w:rPr>
                <w:rtl/>
              </w:rPr>
              <w:t xml:space="preserve"> </w:t>
            </w:r>
            <w:r w:rsidRPr="00201111">
              <w:rPr>
                <w:rFonts w:hint="eastAsia"/>
                <w:rtl/>
              </w:rPr>
              <w:t>מכלליות</w:t>
            </w:r>
            <w:r w:rsidRPr="00201111">
              <w:rPr>
                <w:rtl/>
              </w:rPr>
              <w:t xml:space="preserve"> </w:t>
            </w:r>
            <w:r w:rsidRPr="00201111">
              <w:rPr>
                <w:rFonts w:hint="eastAsia"/>
                <w:rtl/>
              </w:rPr>
              <w:t>הוראה</w:t>
            </w:r>
            <w:r w:rsidRPr="00201111">
              <w:rPr>
                <w:rtl/>
              </w:rPr>
              <w:t xml:space="preserve"> </w:t>
            </w:r>
            <w:r w:rsidRPr="00201111">
              <w:rPr>
                <w:rFonts w:hint="eastAsia"/>
                <w:rtl/>
              </w:rPr>
              <w:t>זו</w:t>
            </w:r>
            <w:r w:rsidRPr="00201111">
              <w:rPr>
                <w:rtl/>
              </w:rPr>
              <w:t xml:space="preserve">, </w:t>
            </w:r>
            <w:r w:rsidRPr="00201111">
              <w:rPr>
                <w:rFonts w:hint="eastAsia"/>
                <w:rtl/>
              </w:rPr>
              <w:t>יראו</w:t>
            </w:r>
            <w:r w:rsidRPr="00201111">
              <w:rPr>
                <w:rtl/>
              </w:rPr>
              <w:t xml:space="preserve"> </w:t>
            </w:r>
            <w:r w:rsidRPr="00201111">
              <w:rPr>
                <w:rFonts w:hint="eastAsia"/>
                <w:rtl/>
              </w:rPr>
              <w:t>תמונה</w:t>
            </w:r>
            <w:r w:rsidRPr="00201111">
              <w:rPr>
                <w:rtl/>
              </w:rPr>
              <w:t xml:space="preserve"> </w:t>
            </w:r>
            <w:r w:rsidRPr="00201111">
              <w:rPr>
                <w:rFonts w:hint="eastAsia"/>
                <w:rtl/>
              </w:rPr>
              <w:t>הכלולה</w:t>
            </w:r>
            <w:r w:rsidRPr="00201111">
              <w:rPr>
                <w:rtl/>
              </w:rPr>
              <w:t xml:space="preserve"> </w:t>
            </w:r>
            <w:r w:rsidRPr="00201111">
              <w:rPr>
                <w:rFonts w:hint="eastAsia"/>
                <w:rtl/>
              </w:rPr>
              <w:t>בפרסומת</w:t>
            </w:r>
            <w:r w:rsidRPr="00201111">
              <w:rPr>
                <w:rtl/>
              </w:rPr>
              <w:t xml:space="preserve">, </w:t>
            </w:r>
            <w:r w:rsidRPr="00201111">
              <w:rPr>
                <w:rFonts w:hint="eastAsia"/>
                <w:rtl/>
              </w:rPr>
              <w:t>העלולה</w:t>
            </w:r>
            <w:r w:rsidRPr="00201111">
              <w:rPr>
                <w:rtl/>
              </w:rPr>
              <w:t xml:space="preserve"> </w:t>
            </w:r>
            <w:r w:rsidRPr="00201111">
              <w:rPr>
                <w:rFonts w:hint="eastAsia"/>
                <w:rtl/>
              </w:rPr>
              <w:t>להטעות</w:t>
            </w:r>
            <w:r w:rsidRPr="00201111">
              <w:rPr>
                <w:rtl/>
              </w:rPr>
              <w:t xml:space="preserve"> </w:t>
            </w:r>
            <w:r w:rsidRPr="00201111">
              <w:rPr>
                <w:rFonts w:hint="eastAsia"/>
                <w:rtl/>
              </w:rPr>
              <w:t>צרכן</w:t>
            </w:r>
            <w:r w:rsidRPr="00201111">
              <w:rPr>
                <w:rtl/>
              </w:rPr>
              <w:t xml:space="preserve"> </w:t>
            </w:r>
            <w:r w:rsidRPr="00201111">
              <w:rPr>
                <w:rFonts w:hint="eastAsia"/>
                <w:rtl/>
              </w:rPr>
              <w:t>בכל</w:t>
            </w:r>
            <w:r w:rsidRPr="00201111">
              <w:rPr>
                <w:rtl/>
              </w:rPr>
              <w:t xml:space="preserve"> </w:t>
            </w:r>
            <w:r w:rsidRPr="00201111">
              <w:rPr>
                <w:rFonts w:hint="eastAsia"/>
                <w:rtl/>
              </w:rPr>
              <w:t>עניין</w:t>
            </w:r>
            <w:r w:rsidRPr="00201111">
              <w:rPr>
                <w:rtl/>
              </w:rPr>
              <w:t xml:space="preserve"> </w:t>
            </w:r>
            <w:r w:rsidRPr="00201111">
              <w:rPr>
                <w:rFonts w:hint="eastAsia"/>
                <w:rtl/>
              </w:rPr>
              <w:t>מהותי</w:t>
            </w:r>
            <w:r w:rsidRPr="00201111">
              <w:rPr>
                <w:rtl/>
              </w:rPr>
              <w:t xml:space="preserve"> </w:t>
            </w:r>
            <w:r w:rsidRPr="00201111">
              <w:rPr>
                <w:rFonts w:hint="eastAsia"/>
                <w:rtl/>
              </w:rPr>
              <w:t>בעסקה</w:t>
            </w:r>
            <w:r w:rsidRPr="00201111">
              <w:rPr>
                <w:rtl/>
              </w:rPr>
              <w:t xml:space="preserve">, </w:t>
            </w:r>
            <w:r w:rsidRPr="00201111">
              <w:rPr>
                <w:rFonts w:hint="eastAsia"/>
                <w:rtl/>
              </w:rPr>
              <w:t>כאסורה</w:t>
            </w:r>
            <w:r w:rsidRPr="00201111">
              <w:rPr>
                <w:rtl/>
              </w:rPr>
              <w:t xml:space="preserve"> </w:t>
            </w:r>
            <w:r w:rsidRPr="00201111">
              <w:rPr>
                <w:rFonts w:hint="eastAsia"/>
                <w:rtl/>
              </w:rPr>
              <w:t>על</w:t>
            </w:r>
            <w:r w:rsidRPr="00201111">
              <w:rPr>
                <w:rtl/>
              </w:rPr>
              <w:t xml:space="preserve"> </w:t>
            </w:r>
            <w:r w:rsidRPr="00201111">
              <w:rPr>
                <w:rFonts w:hint="eastAsia"/>
                <w:rtl/>
              </w:rPr>
              <w:t>פי</w:t>
            </w:r>
            <w:r w:rsidRPr="00201111">
              <w:rPr>
                <w:rtl/>
              </w:rPr>
              <w:t xml:space="preserve"> </w:t>
            </w:r>
            <w:r w:rsidRPr="00201111">
              <w:rPr>
                <w:rFonts w:hint="eastAsia"/>
                <w:rtl/>
              </w:rPr>
              <w:t>סעיף</w:t>
            </w:r>
            <w:r w:rsidRPr="00201111">
              <w:rPr>
                <w:rtl/>
              </w:rPr>
              <w:t xml:space="preserve"> </w:t>
            </w:r>
            <w:r w:rsidRPr="00201111">
              <w:rPr>
                <w:rFonts w:hint="eastAsia"/>
                <w:rtl/>
              </w:rPr>
              <w:t>זה</w:t>
            </w:r>
            <w:r w:rsidRPr="00201111">
              <w:rPr>
                <w:rtl/>
              </w:rPr>
              <w:t xml:space="preserve">, </w:t>
            </w:r>
            <w:r w:rsidRPr="00201111">
              <w:rPr>
                <w:rFonts w:hint="eastAsia"/>
                <w:rtl/>
              </w:rPr>
              <w:t>אף</w:t>
            </w:r>
            <w:r w:rsidRPr="00201111">
              <w:rPr>
                <w:rtl/>
              </w:rPr>
              <w:t xml:space="preserve"> </w:t>
            </w:r>
            <w:r w:rsidRPr="00201111">
              <w:rPr>
                <w:rFonts w:hint="eastAsia"/>
                <w:rtl/>
              </w:rPr>
              <w:t>אם</w:t>
            </w:r>
            <w:r w:rsidRPr="00201111">
              <w:rPr>
                <w:rtl/>
              </w:rPr>
              <w:t xml:space="preserve"> </w:t>
            </w:r>
            <w:r w:rsidRPr="00201111">
              <w:rPr>
                <w:rFonts w:hint="eastAsia"/>
                <w:rtl/>
              </w:rPr>
              <w:t>הודיע</w:t>
            </w:r>
            <w:r w:rsidRPr="00201111">
              <w:rPr>
                <w:rtl/>
              </w:rPr>
              <w:t xml:space="preserve"> </w:t>
            </w:r>
            <w:r w:rsidRPr="00201111">
              <w:rPr>
                <w:rFonts w:hint="eastAsia"/>
                <w:rtl/>
              </w:rPr>
              <w:t>העוסק</w:t>
            </w:r>
            <w:r w:rsidRPr="00201111">
              <w:rPr>
                <w:rtl/>
              </w:rPr>
              <w:t xml:space="preserve"> </w:t>
            </w:r>
            <w:r w:rsidRPr="00201111">
              <w:rPr>
                <w:rFonts w:hint="eastAsia"/>
                <w:rtl/>
              </w:rPr>
              <w:t>כי</w:t>
            </w:r>
            <w:r w:rsidRPr="00201111">
              <w:rPr>
                <w:rtl/>
              </w:rPr>
              <w:t xml:space="preserve"> </w:t>
            </w:r>
            <w:r w:rsidRPr="00201111">
              <w:rPr>
                <w:rFonts w:hint="eastAsia"/>
                <w:rtl/>
              </w:rPr>
              <w:t>מדובר</w:t>
            </w:r>
            <w:r w:rsidRPr="00201111">
              <w:rPr>
                <w:rtl/>
              </w:rPr>
              <w:t xml:space="preserve"> </w:t>
            </w:r>
            <w:r w:rsidRPr="00201111">
              <w:rPr>
                <w:rFonts w:hint="eastAsia"/>
                <w:rtl/>
              </w:rPr>
              <w:t>בתמונת</w:t>
            </w:r>
            <w:r w:rsidRPr="00201111">
              <w:rPr>
                <w:rtl/>
              </w:rPr>
              <w:t xml:space="preserve"> </w:t>
            </w:r>
            <w:r w:rsidRPr="00201111">
              <w:rPr>
                <w:rFonts w:hint="eastAsia"/>
                <w:rtl/>
              </w:rPr>
              <w:t>המחשה</w:t>
            </w:r>
            <w:r w:rsidRPr="00201111">
              <w:rPr>
                <w:rtl/>
              </w:rPr>
              <w:t xml:space="preserve"> </w:t>
            </w:r>
            <w:r w:rsidRPr="00201111">
              <w:rPr>
                <w:rFonts w:hint="eastAsia"/>
                <w:rtl/>
              </w:rPr>
              <w:t>בלבד</w:t>
            </w:r>
            <w:r w:rsidRPr="00201111">
              <w:rPr>
                <w:rtl/>
              </w:rPr>
              <w:t>."</w:t>
            </w:r>
          </w:p>
        </w:tc>
      </w:tr>
    </w:tbl>
    <w:p w14:paraId="7F6961CA" w14:textId="77777777" w:rsidR="002D1EE3" w:rsidRDefault="002D1EE3" w:rsidP="002D1EE3">
      <w:pPr>
        <w:pStyle w:val="HeadDivreiHesber"/>
        <w:rPr>
          <w:rtl/>
        </w:rPr>
      </w:pPr>
      <w:r w:rsidRPr="0027450A">
        <w:rPr>
          <w:rFonts w:hint="cs"/>
          <w:rtl/>
        </w:rPr>
        <w:t>דברי הסבר</w:t>
      </w:r>
    </w:p>
    <w:p w14:paraId="60ED552C" w14:textId="2D6CEA0A" w:rsidR="0024695C" w:rsidRDefault="0024695C" w:rsidP="00201111">
      <w:pPr>
        <w:pStyle w:val="Hesber"/>
      </w:pPr>
      <w:r>
        <w:rPr>
          <w:rFonts w:hint="cs"/>
          <w:rtl/>
        </w:rPr>
        <w:t xml:space="preserve">פעמים רבות מוצגות בפרסומות תמונות של מוצרים ושירותים שאין ביניהן לבין המוצע למכירה ולא כלום. לעיתים מדובר בתמונה שאינה מזיקה ואין בה כדי להטעות את הצרכן שמבקש לבצע עסקה, שכן ברור לכל קונה כי מדובר בתמונת אווירה בלבד, אולם לא פעם מוצגות בפרסומות תמונות המטעות את הצרכן ביחס לעניינים מהותיים בעסקה ומתיימרות </w:t>
      </w:r>
      <w:r w:rsidR="005C4839">
        <w:rPr>
          <w:rFonts w:hint="cs"/>
          <w:rtl/>
        </w:rPr>
        <w:t xml:space="preserve">להציג </w:t>
      </w:r>
      <w:r>
        <w:rPr>
          <w:rFonts w:hint="cs"/>
          <w:rtl/>
        </w:rPr>
        <w:t xml:space="preserve">לו את המוצר שאותו הוא קונה. </w:t>
      </w:r>
    </w:p>
    <w:p w14:paraId="35B30C7D" w14:textId="793E3C06" w:rsidR="0024695C" w:rsidRDefault="0024695C" w:rsidP="006F1E44">
      <w:pPr>
        <w:pStyle w:val="Hesber"/>
        <w:rPr>
          <w:rtl/>
        </w:rPr>
      </w:pPr>
      <w:r>
        <w:rPr>
          <w:rFonts w:hint="cs"/>
          <w:rtl/>
        </w:rPr>
        <w:t xml:space="preserve">אמנם לעיתים לצד התמונה המטעה מופיע כיתוב צד קטן המודיע כי מדובר בתמונה לצורך המחשה בלבד, אלא שבמקרים רבים ההטעיה שנוצרה מעצם צירופה של התמונה אינה ניתנת עוד לתיקון. הצרכן שהתרשם מהתמונה משתכנע שבין המוצר או השירות שהוא מבקש לרכוש לבין התמונה המוצגת לו, לא מתקיים יותר מאשר פער קטן בלבד ורק עם קבלת המוצר או השירות, אותו רכש, הוא מופתע לגלות שאין כל קשר בין מה שביקש לרכוש לבין מה שהוצג לו בפרסומת. </w:t>
      </w:r>
    </w:p>
    <w:p w14:paraId="705515FE" w14:textId="44FAC717" w:rsidR="0024695C" w:rsidRDefault="0081723B" w:rsidP="00201111">
      <w:pPr>
        <w:pStyle w:val="Hesber"/>
        <w:rPr>
          <w:rtl/>
        </w:rPr>
      </w:pPr>
      <w:r>
        <w:rPr>
          <w:rFonts w:hint="cs"/>
          <w:rtl/>
        </w:rPr>
        <w:t>מוצע</w:t>
      </w:r>
      <w:r w:rsidR="0024695C">
        <w:rPr>
          <w:rFonts w:hint="cs"/>
          <w:rtl/>
        </w:rPr>
        <w:t xml:space="preserve"> לקבוע כי </w:t>
      </w:r>
      <w:r>
        <w:rPr>
          <w:rFonts w:hint="cs"/>
          <w:rtl/>
        </w:rPr>
        <w:t xml:space="preserve">אסור לפרסם בפרסומת תמונה, </w:t>
      </w:r>
      <w:r w:rsidR="0024695C">
        <w:rPr>
          <w:rFonts w:hint="cs"/>
          <w:rtl/>
        </w:rPr>
        <w:t>אם הפער בין התמונה המוצגת בפרסומת לבין המוצר או השירות המוצע למכירה עלול להטעות צרכן ביחס לעניין מהותי בעסקה, וזאת לפי אמות מידה הקבועות כיום בחוק הגנת הצרכן</w:t>
      </w:r>
      <w:r>
        <w:rPr>
          <w:rFonts w:hint="cs"/>
          <w:rtl/>
        </w:rPr>
        <w:t xml:space="preserve">. </w:t>
      </w:r>
      <w:r w:rsidR="0024695C">
        <w:rPr>
          <w:rFonts w:hint="cs"/>
          <w:rtl/>
        </w:rPr>
        <w:t xml:space="preserve"> על פי ההצעה גם כיתוב המסייג לכאורה את המוצג בתמונה ומתיימר להוות תמרור אזהרה בפני הקונה, לא ייחשב להגנה מספיקה והפרסומת תחשב לפרסום מטעה. היות שאין כל ערך חברתי או עסקי בצירוף תמונות מטעות לפרסומות של מוצרים או שירותים, הרי שלפרסומאים שמורה הזכות לפרסם מוצרים בכל דרך שייבחרו, אך לא במחיר הטעיית הצרכן ביחס לעניינים מהותיים בעסקה. </w:t>
      </w:r>
    </w:p>
    <w:p w14:paraId="7F6961CB" w14:textId="617540B4" w:rsidR="00E13C27" w:rsidRDefault="0024695C" w:rsidP="008E32C6">
      <w:pPr>
        <w:pStyle w:val="Hesber"/>
        <w:rPr>
          <w:rtl/>
        </w:rPr>
      </w:pPr>
      <w:r>
        <w:rPr>
          <w:rFonts w:hint="cs"/>
          <w:rtl/>
        </w:rPr>
        <w:t>הצעת חוק זהה הונחה על שולחן הכנסת התשע-עשרה על ידי חברת הכנסת שולי מועלם</w:t>
      </w:r>
      <w:r w:rsidR="00F83C8D">
        <w:rPr>
          <w:rFonts w:hint="cs"/>
          <w:rtl/>
        </w:rPr>
        <w:t>-רפאלי וקבוצת חברי הכנסת</w:t>
      </w:r>
      <w:r w:rsidR="001F2727">
        <w:rPr>
          <w:rFonts w:hint="cs"/>
          <w:rtl/>
        </w:rPr>
        <w:t xml:space="preserve"> </w:t>
      </w:r>
      <w:r w:rsidR="008E32C6">
        <w:rPr>
          <w:rFonts w:hint="cs"/>
          <w:rtl/>
        </w:rPr>
        <w:t>(פ/1615/19)</w:t>
      </w:r>
      <w:r>
        <w:rPr>
          <w:rFonts w:hint="cs"/>
          <w:rtl/>
        </w:rPr>
        <w:t>.</w:t>
      </w:r>
    </w:p>
    <w:p w14:paraId="5A2EC5AD" w14:textId="77777777" w:rsidR="00DF7317" w:rsidRPr="0022704F" w:rsidRDefault="00DF7317" w:rsidP="00FD5331">
      <w:pPr>
        <w:spacing w:before="0" w:line="24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4F627548" w14:textId="77777777" w:rsidR="00DF7317" w:rsidRPr="0022704F" w:rsidRDefault="00DF7317" w:rsidP="00FD5331">
      <w:pPr>
        <w:spacing w:before="0" w:line="24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0F3A3987" w14:textId="77777777" w:rsidR="00DF7317" w:rsidRPr="0022704F" w:rsidRDefault="00DF7317" w:rsidP="00FD5331">
      <w:pPr>
        <w:spacing w:before="0" w:line="24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43E446F3" w14:textId="2E2C6CCA" w:rsidR="00DF7317" w:rsidRDefault="00DF7317" w:rsidP="00FD5331">
      <w:pPr>
        <w:spacing w:before="0" w:line="240" w:lineRule="auto"/>
        <w:ind w:left="340" w:firstLine="0"/>
        <w:rPr>
          <w:rtl/>
        </w:rPr>
      </w:pPr>
      <w:r>
        <w:rPr>
          <w:rFonts w:ascii="Arial" w:eastAsia="Arial Unicode MS" w:hAnsi="Arial" w:cs="David" w:hint="cs"/>
          <w:snapToGrid w:val="0"/>
          <w:spacing w:val="0"/>
          <w:sz w:val="20"/>
          <w:szCs w:val="26"/>
          <w:rtl/>
        </w:rPr>
        <w:t>כ"ט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18</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bookmarkStart w:id="8" w:name="_GoBack"/>
      <w:bookmarkEnd w:id="8"/>
    </w:p>
    <w:sectPr w:rsidR="00DF7317" w:rsidSect="00FD5331">
      <w:footerReference w:type="even" r:id="rId12"/>
      <w:footerReference w:type="default" r:id="rId13"/>
      <w:pgSz w:w="11907" w:h="16840" w:code="9"/>
      <w:pgMar w:top="851" w:right="1134" w:bottom="709"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D5331">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003A861D" w14:textId="77777777" w:rsidR="0024695C" w:rsidRDefault="0024695C" w:rsidP="00366091">
      <w:pPr>
        <w:pStyle w:val="a4"/>
      </w:pPr>
      <w:r>
        <w:rPr>
          <w:rStyle w:val="a6"/>
        </w:rPr>
        <w:footnoteRef/>
      </w:r>
      <w:r>
        <w:rPr>
          <w:rFonts w:hint="cs"/>
          <w:rtl/>
        </w:rPr>
        <w:t xml:space="preserve"> ס"ח התשמ"א, עמ' 248.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1F2727"/>
    <w:rsid w:val="00201111"/>
    <w:rsid w:val="00203A7F"/>
    <w:rsid w:val="002200A1"/>
    <w:rsid w:val="002362BF"/>
    <w:rsid w:val="00241B97"/>
    <w:rsid w:val="00246756"/>
    <w:rsid w:val="0024695C"/>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B24ED"/>
    <w:rsid w:val="004D2D82"/>
    <w:rsid w:val="004D3876"/>
    <w:rsid w:val="004E4552"/>
    <w:rsid w:val="00553C9D"/>
    <w:rsid w:val="00562A66"/>
    <w:rsid w:val="005B064E"/>
    <w:rsid w:val="005C4839"/>
    <w:rsid w:val="005D51AE"/>
    <w:rsid w:val="0062674B"/>
    <w:rsid w:val="006363B2"/>
    <w:rsid w:val="00644940"/>
    <w:rsid w:val="006818A9"/>
    <w:rsid w:val="006A2D81"/>
    <w:rsid w:val="006C1D0D"/>
    <w:rsid w:val="006F1E44"/>
    <w:rsid w:val="0070601E"/>
    <w:rsid w:val="00712C72"/>
    <w:rsid w:val="00735FE9"/>
    <w:rsid w:val="00763CAA"/>
    <w:rsid w:val="00765F66"/>
    <w:rsid w:val="007C3FA6"/>
    <w:rsid w:val="007D585A"/>
    <w:rsid w:val="007D5A12"/>
    <w:rsid w:val="007E59F9"/>
    <w:rsid w:val="00810BCD"/>
    <w:rsid w:val="00812C98"/>
    <w:rsid w:val="00814D92"/>
    <w:rsid w:val="0081723B"/>
    <w:rsid w:val="0083181D"/>
    <w:rsid w:val="00874BBC"/>
    <w:rsid w:val="00892135"/>
    <w:rsid w:val="00895449"/>
    <w:rsid w:val="00897879"/>
    <w:rsid w:val="008A6870"/>
    <w:rsid w:val="008C2DDC"/>
    <w:rsid w:val="008C7516"/>
    <w:rsid w:val="008E32C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23AB"/>
    <w:rsid w:val="00B35784"/>
    <w:rsid w:val="00B733A7"/>
    <w:rsid w:val="00B975AD"/>
    <w:rsid w:val="00BC45FB"/>
    <w:rsid w:val="00BF148D"/>
    <w:rsid w:val="00C23B1A"/>
    <w:rsid w:val="00C310EB"/>
    <w:rsid w:val="00C9176A"/>
    <w:rsid w:val="00CD4908"/>
    <w:rsid w:val="00CF1AA2"/>
    <w:rsid w:val="00D63620"/>
    <w:rsid w:val="00D8410D"/>
    <w:rsid w:val="00D867D7"/>
    <w:rsid w:val="00DB7060"/>
    <w:rsid w:val="00DE3153"/>
    <w:rsid w:val="00DF7317"/>
    <w:rsid w:val="00E06736"/>
    <w:rsid w:val="00E13C27"/>
    <w:rsid w:val="00E33BBD"/>
    <w:rsid w:val="00E45103"/>
    <w:rsid w:val="00E665B9"/>
    <w:rsid w:val="00EA01E6"/>
    <w:rsid w:val="00EA3DE8"/>
    <w:rsid w:val="00EA758F"/>
    <w:rsid w:val="00ED4A6F"/>
    <w:rsid w:val="00EF3A3A"/>
    <w:rsid w:val="00F628D6"/>
    <w:rsid w:val="00F67051"/>
    <w:rsid w:val="00F83C8D"/>
    <w:rsid w:val="00FA5E88"/>
    <w:rsid w:val="00FD53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24695C"/>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24695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4498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76B2974-7A1C-4E01-A813-DE94DD0DF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7D271-D2DA-4A11-A362-85AD8986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1581</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2015-05-13T10:05:00Z</cp:lastPrinted>
  <dcterms:created xsi:type="dcterms:W3CDTF">2015-03-26T08:06:00Z</dcterms:created>
  <dcterms:modified xsi:type="dcterms:W3CDTF">2015-05-13T10:05:00Z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563711</vt:r8>
  </property>
</Properties>
</file>