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563714</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CF1AA2">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ינון מגל</w:t>
      </w:r>
      <w:bookmarkEnd w:id="3"/>
    </w:p>
    <w:p w14:paraId="7F6961AA" w14:textId="77777777" w:rsidR="00E13C27" w:rsidRPr="00CF1AA2" w:rsidRDefault="007D585A" w:rsidP="00CF1AA2">
      <w:pPr>
        <w:pStyle w:val="David"/>
        <w:ind w:left="3544"/>
        <w:rPr>
          <w:b/>
          <w:bCs/>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7F6961AB" w14:textId="1A02760E" w:rsidR="00E13C27" w:rsidRPr="00E06736" w:rsidRDefault="0014195F" w:rsidP="00416B4D">
      <w:pPr>
        <w:pStyle w:val="David"/>
        <w:ind w:left="3544"/>
        <w:rPr>
          <w:rtl/>
        </w:rPr>
      </w:pPr>
      <w:r w:rsidRPr="00CF1AA2">
        <w:rPr>
          <w:b/>
          <w:bCs/>
          <w:noProof/>
          <w:rtl/>
          <w:lang w:eastAsia="en-US"/>
        </w:rPr>
        <mc:AlternateContent>
          <mc:Choice Requires="wps">
            <w:drawing>
              <wp:anchor distT="0" distB="0" distL="114300" distR="114300" simplePos="0" relativeHeight="251658752" behindDoc="0" locked="0" layoutInCell="1" allowOverlap="1" wp14:anchorId="7F6961CE" wp14:editId="7F6961CF">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14="http://schemas.microsoft.com/office/drawing/2010/main" xmlns:a="http://schemas.openxmlformats.org/drawingml/2006/main">
            <w:pict>
              <v:polyline id="Freeform 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09,27" o:spid="_x0000_s1026" filled="f" points=".1pt,5.1pt,305.55pt,3.75pt" w14:anchorId="21D28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v:path arrowok="t" o:connecttype="custom" o:connectlocs="0,17145;3879215,0" o:connectangles="0,0"/>
              </v:polyline>
            </w:pict>
          </mc:Fallback>
        </mc:AlternateContent>
      </w:r>
      <w:r w:rsidR="00E13C27" w:rsidRPr="00E06736">
        <w:rPr>
          <w:rFonts w:hint="cs"/>
          <w:rtl/>
        </w:rPr>
        <w:tab/>
      </w:r>
      <w:r w:rsidR="00416B4D">
        <w:tab/>
      </w:r>
      <w:r w:rsidR="00FA5E88">
        <w:tab/>
      </w:r>
      <w:r w:rsidR="00E13C27" w:rsidRPr="00E06736">
        <w:rPr>
          <w:rFonts w:hint="cs"/>
          <w:rtl/>
        </w:rPr>
        <w:tab/>
      </w:r>
      <w:r w:rsidR="00E06736" w:rsidRPr="00E06736">
        <w:tab/>
      </w:r>
      <w:bookmarkStart w:id="6" w:name="Private_Number"/>
      <w:r>
        <w:rPr>
          <w:rFonts w:hint="cs"/>
          <w:rtl/>
        </w:rPr>
        <w:t>פ/847/20</w:t>
      </w:r>
      <w:bookmarkEnd w:id="6"/>
      <w:r w:rsidR="00E13C27" w:rsidRPr="00E06736">
        <w:rPr>
          <w:rFonts w:hint="cs"/>
          <w:rtl/>
        </w:rPr>
        <w:tab/>
      </w:r>
      <w:r w:rsidR="00E13C27" w:rsidRPr="00E06736">
        <w:rPr>
          <w:rFonts w:hint="cs"/>
          <w:rtl/>
        </w:rPr>
        <w:tab/>
      </w:r>
      <w:r w:rsidR="00E13C27" w:rsidRPr="00E06736">
        <w:rPr>
          <w:rFonts w:hint="cs"/>
          <w:rtl/>
        </w:rPr>
        <w:tab/>
      </w:r>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A443CF">
      <w:pPr>
        <w:pStyle w:val="HeadHatzaotHok"/>
        <w:spacing w:line="240" w:lineRule="auto"/>
        <w:rPr>
          <w:rtl/>
        </w:rPr>
      </w:pPr>
      <w:bookmarkStart w:id="7" w:name="LGS_Subject"/>
      <w:r>
        <w:rPr>
          <w:rFonts w:hint="cs"/>
          <w:rtl/>
        </w:rPr>
        <w:t>הצעת חוק הגנת הצרכן (תיקון – פנייה מקדימה בעסקת מכר מרחוק), התשע"ה–2015</w:t>
      </w:r>
      <w:bookmarkEnd w:id="7"/>
    </w:p>
    <w:p w14:paraId="7F6961AE" w14:textId="77777777" w:rsidR="00E13C27" w:rsidRDefault="00E13C27" w:rsidP="0000131B">
      <w:pPr>
        <w:pStyle w:val="HeadDivreiHesber"/>
        <w:spacing w:before="0" w:after="0" w:line="240" w:lineRule="auto"/>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19"/>
      </w:tblGrid>
      <w:tr w:rsidR="007A2EB3" w:rsidRPr="00D110A2" w14:paraId="688500B7" w14:textId="77777777" w:rsidTr="00B65510">
        <w:trPr>
          <w:cantSplit/>
        </w:trPr>
        <w:tc>
          <w:tcPr>
            <w:tcW w:w="1871" w:type="dxa"/>
          </w:tcPr>
          <w:p w14:paraId="0CAE8CC4" w14:textId="77777777" w:rsidR="007A2EB3" w:rsidRPr="00795A29" w:rsidRDefault="007A2EB3" w:rsidP="00B65510">
            <w:pPr>
              <w:pStyle w:val="TableSideHeading"/>
              <w:ind w:right="0"/>
            </w:pPr>
            <w:r w:rsidRPr="00795A29">
              <w:rPr>
                <w:rFonts w:hint="eastAsia"/>
                <w:rtl/>
              </w:rPr>
              <w:t>תיקון</w:t>
            </w:r>
            <w:r w:rsidRPr="00795A29">
              <w:rPr>
                <w:rtl/>
              </w:rPr>
              <w:t xml:space="preserve"> </w:t>
            </w:r>
            <w:r w:rsidRPr="00795A29">
              <w:rPr>
                <w:rFonts w:hint="eastAsia"/>
                <w:rtl/>
              </w:rPr>
              <w:t>סעיף</w:t>
            </w:r>
            <w:r w:rsidRPr="00795A29">
              <w:rPr>
                <w:rtl/>
              </w:rPr>
              <w:t xml:space="preserve"> 14ג</w:t>
            </w:r>
          </w:p>
        </w:tc>
        <w:tc>
          <w:tcPr>
            <w:tcW w:w="624" w:type="dxa"/>
          </w:tcPr>
          <w:p w14:paraId="1F5AFCEB" w14:textId="77777777" w:rsidR="007A2EB3" w:rsidRPr="00D110A2" w:rsidRDefault="007A2EB3" w:rsidP="00B65510">
            <w:pPr>
              <w:pStyle w:val="TableText"/>
              <w:keepLines w:val="0"/>
              <w:rPr>
                <w:sz w:val="24"/>
                <w:szCs w:val="24"/>
              </w:rPr>
            </w:pPr>
            <w:r w:rsidRPr="00D110A2">
              <w:rPr>
                <w:rFonts w:hint="cs"/>
                <w:sz w:val="24"/>
                <w:szCs w:val="24"/>
                <w:rtl/>
              </w:rPr>
              <w:t>1.</w:t>
            </w:r>
          </w:p>
        </w:tc>
        <w:tc>
          <w:tcPr>
            <w:tcW w:w="7143" w:type="dxa"/>
            <w:gridSpan w:val="2"/>
          </w:tcPr>
          <w:p w14:paraId="00A58251" w14:textId="77777777" w:rsidR="007A2EB3" w:rsidRPr="00795A29" w:rsidRDefault="007A2EB3" w:rsidP="00B65510">
            <w:pPr>
              <w:pStyle w:val="TableBlock"/>
            </w:pPr>
            <w:r w:rsidRPr="00795A29">
              <w:rPr>
                <w:rFonts w:hint="eastAsia"/>
                <w:rtl/>
              </w:rPr>
              <w:t>בחוק</w:t>
            </w:r>
            <w:r w:rsidRPr="00795A29">
              <w:rPr>
                <w:rtl/>
              </w:rPr>
              <w:t xml:space="preserve"> </w:t>
            </w:r>
            <w:r w:rsidRPr="00795A29">
              <w:rPr>
                <w:rFonts w:hint="eastAsia"/>
                <w:rtl/>
              </w:rPr>
              <w:t>הגנת</w:t>
            </w:r>
            <w:r w:rsidRPr="00795A29">
              <w:rPr>
                <w:rtl/>
              </w:rPr>
              <w:t xml:space="preserve"> </w:t>
            </w:r>
            <w:r w:rsidRPr="00795A29">
              <w:rPr>
                <w:rFonts w:hint="eastAsia"/>
                <w:rtl/>
              </w:rPr>
              <w:t>הצרכן</w:t>
            </w:r>
            <w:r w:rsidRPr="00795A29">
              <w:rPr>
                <w:rtl/>
              </w:rPr>
              <w:t xml:space="preserve">, </w:t>
            </w:r>
            <w:r w:rsidRPr="00795A29">
              <w:rPr>
                <w:rFonts w:hint="eastAsia"/>
                <w:rtl/>
              </w:rPr>
              <w:t>התשמ</w:t>
            </w:r>
            <w:r w:rsidRPr="00795A29">
              <w:rPr>
                <w:rtl/>
              </w:rPr>
              <w:t>"א–1981</w:t>
            </w:r>
            <w:r w:rsidRPr="00B3495E">
              <w:rPr>
                <w:rtl/>
              </w:rPr>
              <w:footnoteReference w:id="2"/>
            </w:r>
            <w:r w:rsidRPr="00795A29">
              <w:rPr>
                <w:rtl/>
              </w:rPr>
              <w:t xml:space="preserve"> (להלן – החוק העיקרי), בסעיף 14ג, אחרי סעיף קטן (ב) יבוא:</w:t>
            </w:r>
          </w:p>
        </w:tc>
      </w:tr>
      <w:tr w:rsidR="007A2EB3" w:rsidRPr="00D110A2" w14:paraId="07839DDC" w14:textId="77777777" w:rsidTr="00B65510">
        <w:trPr>
          <w:cantSplit/>
        </w:trPr>
        <w:tc>
          <w:tcPr>
            <w:tcW w:w="1871" w:type="dxa"/>
          </w:tcPr>
          <w:p w14:paraId="51795B86" w14:textId="77777777" w:rsidR="007A2EB3" w:rsidRPr="00D110A2" w:rsidRDefault="007A2EB3" w:rsidP="00B65510">
            <w:pPr>
              <w:pStyle w:val="TableSideHeading"/>
              <w:keepLines w:val="0"/>
              <w:rPr>
                <w:sz w:val="24"/>
                <w:szCs w:val="24"/>
                <w:rtl/>
              </w:rPr>
            </w:pPr>
          </w:p>
        </w:tc>
        <w:tc>
          <w:tcPr>
            <w:tcW w:w="624" w:type="dxa"/>
          </w:tcPr>
          <w:p w14:paraId="37B91054" w14:textId="77777777" w:rsidR="007A2EB3" w:rsidRPr="00B3495E" w:rsidRDefault="007A2EB3" w:rsidP="00B65510">
            <w:pPr>
              <w:pStyle w:val="TableBlock"/>
              <w:rPr>
                <w:rtl/>
              </w:rPr>
            </w:pPr>
          </w:p>
        </w:tc>
        <w:tc>
          <w:tcPr>
            <w:tcW w:w="7143" w:type="dxa"/>
            <w:gridSpan w:val="2"/>
          </w:tcPr>
          <w:p w14:paraId="51B42887" w14:textId="77777777" w:rsidR="007A2EB3" w:rsidRPr="00B3495E" w:rsidRDefault="007A2EB3" w:rsidP="00B65510">
            <w:pPr>
              <w:pStyle w:val="TableBlock"/>
              <w:rPr>
                <w:rtl/>
              </w:rPr>
            </w:pPr>
            <w:r w:rsidRPr="00B3495E">
              <w:rPr>
                <w:rtl/>
              </w:rPr>
              <w:t>"(ב1)</w:t>
            </w:r>
            <w:r w:rsidRPr="00B3495E">
              <w:rPr>
                <w:rtl/>
              </w:rPr>
              <w:tab/>
            </w:r>
            <w:r w:rsidRPr="00B3495E">
              <w:rPr>
                <w:rFonts w:hint="eastAsia"/>
                <w:rtl/>
              </w:rPr>
              <w:t>בשיווק</w:t>
            </w:r>
            <w:r w:rsidRPr="00B3495E">
              <w:rPr>
                <w:rtl/>
              </w:rPr>
              <w:t xml:space="preserve"> מרחוק הנעשה באמצעות הטלפון, תכלול הפנייה של העוסק, מיד בתחילת שיחת הטלפון, הודעה מוקלטת (בסעיף זה – פתיח), והצרכן יוכל להתנתק מהשיחה במהלך הפתיח או מיד בסיומו; פתיח יכלול, לפחות, פרטים אלה:</w:t>
            </w:r>
          </w:p>
        </w:tc>
      </w:tr>
      <w:tr w:rsidR="007A2EB3" w:rsidRPr="00D110A2" w14:paraId="2A3A6FE3" w14:textId="77777777" w:rsidTr="00B65510">
        <w:trPr>
          <w:cantSplit/>
        </w:trPr>
        <w:tc>
          <w:tcPr>
            <w:tcW w:w="1871" w:type="dxa"/>
          </w:tcPr>
          <w:p w14:paraId="5F4BBA17" w14:textId="77777777" w:rsidR="007A2EB3" w:rsidRPr="00B3495E" w:rsidRDefault="007A2EB3" w:rsidP="00B65510">
            <w:pPr>
              <w:pStyle w:val="TableBlock"/>
            </w:pPr>
          </w:p>
        </w:tc>
        <w:tc>
          <w:tcPr>
            <w:tcW w:w="624" w:type="dxa"/>
          </w:tcPr>
          <w:p w14:paraId="772EF4E5" w14:textId="77777777" w:rsidR="007A2EB3" w:rsidRPr="00B3495E" w:rsidRDefault="007A2EB3" w:rsidP="00B65510">
            <w:pPr>
              <w:pStyle w:val="TableBlock"/>
            </w:pPr>
          </w:p>
        </w:tc>
        <w:tc>
          <w:tcPr>
            <w:tcW w:w="624" w:type="dxa"/>
          </w:tcPr>
          <w:p w14:paraId="5F75EEA6" w14:textId="77777777" w:rsidR="007A2EB3" w:rsidRPr="00B3495E" w:rsidRDefault="007A2EB3" w:rsidP="00B65510">
            <w:pPr>
              <w:pStyle w:val="TableBlock"/>
            </w:pPr>
          </w:p>
        </w:tc>
        <w:tc>
          <w:tcPr>
            <w:tcW w:w="6519" w:type="dxa"/>
          </w:tcPr>
          <w:p w14:paraId="4A514114" w14:textId="77777777" w:rsidR="007A2EB3" w:rsidRPr="00B3495E" w:rsidRDefault="007A2EB3" w:rsidP="00B65510">
            <w:pPr>
              <w:pStyle w:val="TableBlock"/>
            </w:pPr>
            <w:r w:rsidRPr="00B3495E">
              <w:rPr>
                <w:rtl/>
              </w:rPr>
              <w:t>(1)</w:t>
            </w:r>
            <w:r w:rsidRPr="00B3495E">
              <w:rPr>
                <w:rtl/>
              </w:rPr>
              <w:tab/>
            </w:r>
            <w:r w:rsidRPr="00B3495E">
              <w:rPr>
                <w:rFonts w:hint="eastAsia"/>
                <w:rtl/>
              </w:rPr>
              <w:t>שם</w:t>
            </w:r>
            <w:r w:rsidRPr="00B3495E">
              <w:rPr>
                <w:rtl/>
              </w:rPr>
              <w:t xml:space="preserve"> </w:t>
            </w:r>
            <w:r w:rsidRPr="00B3495E">
              <w:rPr>
                <w:rFonts w:hint="eastAsia"/>
                <w:rtl/>
              </w:rPr>
              <w:t>העוסק</w:t>
            </w:r>
            <w:r w:rsidRPr="00B3495E">
              <w:rPr>
                <w:rtl/>
              </w:rPr>
              <w:t>;</w:t>
            </w:r>
          </w:p>
        </w:tc>
      </w:tr>
      <w:tr w:rsidR="007A2EB3" w:rsidRPr="00D110A2" w14:paraId="0C696EC5" w14:textId="77777777" w:rsidTr="00B65510">
        <w:trPr>
          <w:cantSplit/>
        </w:trPr>
        <w:tc>
          <w:tcPr>
            <w:tcW w:w="1871" w:type="dxa"/>
          </w:tcPr>
          <w:p w14:paraId="1EE32638" w14:textId="77777777" w:rsidR="007A2EB3" w:rsidRPr="00B3495E" w:rsidRDefault="007A2EB3" w:rsidP="00B65510">
            <w:pPr>
              <w:pStyle w:val="TableBlock"/>
            </w:pPr>
          </w:p>
        </w:tc>
        <w:tc>
          <w:tcPr>
            <w:tcW w:w="624" w:type="dxa"/>
          </w:tcPr>
          <w:p w14:paraId="0B3DE227" w14:textId="77777777" w:rsidR="007A2EB3" w:rsidRPr="00B3495E" w:rsidRDefault="007A2EB3" w:rsidP="00B65510">
            <w:pPr>
              <w:pStyle w:val="TableBlock"/>
            </w:pPr>
          </w:p>
        </w:tc>
        <w:tc>
          <w:tcPr>
            <w:tcW w:w="624" w:type="dxa"/>
          </w:tcPr>
          <w:p w14:paraId="6019A14C" w14:textId="77777777" w:rsidR="007A2EB3" w:rsidRPr="00B3495E" w:rsidRDefault="007A2EB3" w:rsidP="00B65510">
            <w:pPr>
              <w:pStyle w:val="TableBlock"/>
            </w:pPr>
          </w:p>
        </w:tc>
        <w:tc>
          <w:tcPr>
            <w:tcW w:w="6519" w:type="dxa"/>
          </w:tcPr>
          <w:p w14:paraId="524DC41D" w14:textId="77777777" w:rsidR="007A2EB3" w:rsidRPr="00B3495E" w:rsidRDefault="007A2EB3" w:rsidP="00B65510">
            <w:pPr>
              <w:pStyle w:val="TableBlock"/>
              <w:rPr>
                <w:rtl/>
              </w:rPr>
            </w:pPr>
            <w:r w:rsidRPr="00B3495E">
              <w:rPr>
                <w:rtl/>
              </w:rPr>
              <w:t>(2)</w:t>
            </w:r>
            <w:r w:rsidRPr="00B3495E">
              <w:rPr>
                <w:rtl/>
              </w:rPr>
              <w:tab/>
            </w:r>
            <w:r w:rsidRPr="00B3495E">
              <w:rPr>
                <w:rFonts w:hint="eastAsia"/>
                <w:rtl/>
              </w:rPr>
              <w:t>הודעה</w:t>
            </w:r>
            <w:r w:rsidRPr="00B3495E">
              <w:rPr>
                <w:rtl/>
              </w:rPr>
              <w:t xml:space="preserve"> </w:t>
            </w:r>
            <w:r w:rsidRPr="00B3495E">
              <w:rPr>
                <w:rFonts w:hint="eastAsia"/>
                <w:rtl/>
              </w:rPr>
              <w:t>שמדובר</w:t>
            </w:r>
            <w:r w:rsidRPr="00B3495E">
              <w:rPr>
                <w:rtl/>
              </w:rPr>
              <w:t xml:space="preserve"> </w:t>
            </w:r>
            <w:r w:rsidRPr="00B3495E">
              <w:rPr>
                <w:rFonts w:hint="eastAsia"/>
                <w:rtl/>
              </w:rPr>
              <w:t>בפניית</w:t>
            </w:r>
            <w:r w:rsidRPr="00B3495E">
              <w:rPr>
                <w:rtl/>
              </w:rPr>
              <w:t xml:space="preserve"> </w:t>
            </w:r>
            <w:r w:rsidRPr="00B3495E">
              <w:rPr>
                <w:rFonts w:hint="eastAsia"/>
                <w:rtl/>
              </w:rPr>
              <w:t>שיווק</w:t>
            </w:r>
            <w:r w:rsidRPr="00B3495E">
              <w:rPr>
                <w:rtl/>
              </w:rPr>
              <w:t xml:space="preserve"> </w:t>
            </w:r>
            <w:r w:rsidRPr="00B3495E">
              <w:rPr>
                <w:rFonts w:hint="eastAsia"/>
                <w:rtl/>
              </w:rPr>
              <w:t>מרחוק</w:t>
            </w:r>
            <w:r w:rsidRPr="00B3495E">
              <w:rPr>
                <w:rtl/>
              </w:rPr>
              <w:t xml:space="preserve"> </w:t>
            </w:r>
            <w:r w:rsidRPr="00B3495E">
              <w:rPr>
                <w:rFonts w:hint="eastAsia"/>
                <w:rtl/>
              </w:rPr>
              <w:t>לצורך</w:t>
            </w:r>
            <w:r w:rsidRPr="00B3495E">
              <w:rPr>
                <w:rtl/>
              </w:rPr>
              <w:t xml:space="preserve"> </w:t>
            </w:r>
            <w:r w:rsidRPr="00B3495E">
              <w:rPr>
                <w:rFonts w:hint="eastAsia"/>
                <w:rtl/>
              </w:rPr>
              <w:t>התקשרות</w:t>
            </w:r>
            <w:r w:rsidRPr="00B3495E">
              <w:rPr>
                <w:rtl/>
              </w:rPr>
              <w:t xml:space="preserve"> </w:t>
            </w:r>
            <w:r w:rsidRPr="00B3495E">
              <w:rPr>
                <w:rFonts w:hint="eastAsia"/>
                <w:rtl/>
              </w:rPr>
              <w:t>בעסקה</w:t>
            </w:r>
            <w:r w:rsidRPr="00B3495E">
              <w:rPr>
                <w:rtl/>
              </w:rPr>
              <w:t xml:space="preserve"> </w:t>
            </w:r>
            <w:r w:rsidRPr="00B3495E">
              <w:rPr>
                <w:rFonts w:hint="eastAsia"/>
                <w:rtl/>
              </w:rPr>
              <w:t>של</w:t>
            </w:r>
            <w:r w:rsidRPr="00B3495E">
              <w:rPr>
                <w:rtl/>
              </w:rPr>
              <w:t xml:space="preserve"> </w:t>
            </w:r>
            <w:r w:rsidRPr="00B3495E">
              <w:rPr>
                <w:rFonts w:hint="eastAsia"/>
                <w:rtl/>
              </w:rPr>
              <w:t>מכר</w:t>
            </w:r>
            <w:r w:rsidRPr="00B3495E">
              <w:rPr>
                <w:rtl/>
              </w:rPr>
              <w:t xml:space="preserve"> </w:t>
            </w:r>
            <w:r w:rsidRPr="00B3495E">
              <w:rPr>
                <w:rFonts w:hint="eastAsia"/>
                <w:rtl/>
              </w:rPr>
              <w:t>נכס</w:t>
            </w:r>
            <w:r w:rsidRPr="00B3495E">
              <w:rPr>
                <w:rtl/>
              </w:rPr>
              <w:t xml:space="preserve"> </w:t>
            </w:r>
            <w:r w:rsidRPr="00B3495E">
              <w:rPr>
                <w:rFonts w:hint="eastAsia"/>
                <w:rtl/>
              </w:rPr>
              <w:t>או</w:t>
            </w:r>
            <w:r w:rsidRPr="00B3495E">
              <w:rPr>
                <w:rtl/>
              </w:rPr>
              <w:t xml:space="preserve"> </w:t>
            </w:r>
            <w:r w:rsidRPr="00B3495E">
              <w:rPr>
                <w:rFonts w:hint="eastAsia"/>
                <w:rtl/>
              </w:rPr>
              <w:t>מתן</w:t>
            </w:r>
            <w:r w:rsidRPr="00B3495E">
              <w:rPr>
                <w:rtl/>
              </w:rPr>
              <w:t xml:space="preserve"> </w:t>
            </w:r>
            <w:r w:rsidRPr="00B3495E">
              <w:rPr>
                <w:rFonts w:hint="eastAsia"/>
                <w:rtl/>
              </w:rPr>
              <w:t>שירות</w:t>
            </w:r>
            <w:r w:rsidRPr="00B3495E">
              <w:rPr>
                <w:rtl/>
              </w:rPr>
              <w:t xml:space="preserve">, </w:t>
            </w:r>
            <w:r w:rsidRPr="00B3495E">
              <w:rPr>
                <w:rFonts w:hint="eastAsia"/>
                <w:rtl/>
              </w:rPr>
              <w:t>אולם</w:t>
            </w:r>
            <w:r w:rsidRPr="00B3495E">
              <w:rPr>
                <w:rtl/>
              </w:rPr>
              <w:t xml:space="preserve"> </w:t>
            </w:r>
            <w:r w:rsidRPr="00B3495E">
              <w:rPr>
                <w:rFonts w:hint="eastAsia"/>
                <w:rtl/>
              </w:rPr>
              <w:t>ההודעה</w:t>
            </w:r>
            <w:r w:rsidRPr="00B3495E">
              <w:rPr>
                <w:rtl/>
              </w:rPr>
              <w:t xml:space="preserve"> </w:t>
            </w:r>
            <w:r w:rsidRPr="00B3495E">
              <w:rPr>
                <w:rFonts w:hint="eastAsia"/>
                <w:rtl/>
              </w:rPr>
              <w:t>לא</w:t>
            </w:r>
            <w:r w:rsidRPr="00B3495E">
              <w:rPr>
                <w:rtl/>
              </w:rPr>
              <w:t xml:space="preserve"> </w:t>
            </w:r>
            <w:r w:rsidRPr="00B3495E">
              <w:rPr>
                <w:rFonts w:hint="eastAsia"/>
                <w:rtl/>
              </w:rPr>
              <w:t>תכלול</w:t>
            </w:r>
            <w:r w:rsidRPr="00B3495E">
              <w:rPr>
                <w:rtl/>
              </w:rPr>
              <w:t xml:space="preserve"> </w:t>
            </w:r>
            <w:r w:rsidRPr="00B3495E">
              <w:rPr>
                <w:rFonts w:hint="eastAsia"/>
                <w:rtl/>
              </w:rPr>
              <w:t>פרטים</w:t>
            </w:r>
            <w:r w:rsidRPr="00B3495E">
              <w:rPr>
                <w:rtl/>
              </w:rPr>
              <w:t xml:space="preserve"> </w:t>
            </w:r>
            <w:r w:rsidRPr="00B3495E">
              <w:rPr>
                <w:rFonts w:hint="eastAsia"/>
                <w:rtl/>
              </w:rPr>
              <w:t>על</w:t>
            </w:r>
            <w:r w:rsidRPr="00B3495E">
              <w:rPr>
                <w:rtl/>
              </w:rPr>
              <w:t xml:space="preserve"> </w:t>
            </w:r>
            <w:r w:rsidRPr="00B3495E">
              <w:rPr>
                <w:rFonts w:hint="eastAsia"/>
                <w:rtl/>
              </w:rPr>
              <w:t>הנכס</w:t>
            </w:r>
            <w:r w:rsidRPr="00B3495E">
              <w:rPr>
                <w:rtl/>
              </w:rPr>
              <w:t xml:space="preserve"> </w:t>
            </w:r>
            <w:r w:rsidRPr="00B3495E">
              <w:rPr>
                <w:rFonts w:hint="eastAsia"/>
                <w:rtl/>
              </w:rPr>
              <w:t>או</w:t>
            </w:r>
            <w:r w:rsidRPr="00B3495E">
              <w:rPr>
                <w:rtl/>
              </w:rPr>
              <w:t xml:space="preserve"> </w:t>
            </w:r>
            <w:r w:rsidRPr="00B3495E">
              <w:rPr>
                <w:rFonts w:hint="eastAsia"/>
                <w:rtl/>
              </w:rPr>
              <w:t>על</w:t>
            </w:r>
            <w:r w:rsidRPr="00B3495E">
              <w:rPr>
                <w:rtl/>
              </w:rPr>
              <w:t xml:space="preserve"> </w:t>
            </w:r>
            <w:r w:rsidRPr="00B3495E">
              <w:rPr>
                <w:rFonts w:hint="eastAsia"/>
                <w:rtl/>
              </w:rPr>
              <w:t>השירות</w:t>
            </w:r>
            <w:r w:rsidRPr="00B3495E">
              <w:rPr>
                <w:rtl/>
              </w:rPr>
              <w:t xml:space="preserve"> </w:t>
            </w:r>
            <w:r w:rsidRPr="00B3495E">
              <w:rPr>
                <w:rFonts w:hint="eastAsia"/>
                <w:rtl/>
              </w:rPr>
              <w:t>שהעוסק</w:t>
            </w:r>
            <w:r w:rsidRPr="00B3495E">
              <w:rPr>
                <w:rtl/>
              </w:rPr>
              <w:t xml:space="preserve"> </w:t>
            </w:r>
            <w:r w:rsidRPr="00B3495E">
              <w:rPr>
                <w:rFonts w:hint="eastAsia"/>
                <w:rtl/>
              </w:rPr>
              <w:t>מעוניין</w:t>
            </w:r>
            <w:r w:rsidRPr="00B3495E">
              <w:rPr>
                <w:rtl/>
              </w:rPr>
              <w:t xml:space="preserve"> </w:t>
            </w:r>
            <w:r w:rsidRPr="00B3495E">
              <w:rPr>
                <w:rFonts w:hint="eastAsia"/>
                <w:rtl/>
              </w:rPr>
              <w:t>לשווק</w:t>
            </w:r>
            <w:r w:rsidRPr="00B3495E">
              <w:rPr>
                <w:rtl/>
              </w:rPr>
              <w:t xml:space="preserve"> </w:t>
            </w:r>
            <w:r w:rsidRPr="00B3495E">
              <w:rPr>
                <w:rFonts w:hint="eastAsia"/>
                <w:rtl/>
              </w:rPr>
              <w:t>לצרכן</w:t>
            </w:r>
            <w:r w:rsidRPr="00B3495E">
              <w:rPr>
                <w:rtl/>
              </w:rPr>
              <w:t>."</w:t>
            </w:r>
          </w:p>
        </w:tc>
      </w:tr>
      <w:tr w:rsidR="007A2EB3" w:rsidRPr="00D110A2" w14:paraId="0CEFBC67" w14:textId="77777777" w:rsidTr="00B65510">
        <w:trPr>
          <w:cantSplit/>
        </w:trPr>
        <w:tc>
          <w:tcPr>
            <w:tcW w:w="1871" w:type="dxa"/>
          </w:tcPr>
          <w:p w14:paraId="43CB3410" w14:textId="77777777" w:rsidR="007A2EB3" w:rsidRPr="00B3495E" w:rsidRDefault="007A2EB3" w:rsidP="00B65510">
            <w:pPr>
              <w:pStyle w:val="TableBlock"/>
            </w:pPr>
            <w:r w:rsidRPr="00B3495E">
              <w:rPr>
                <w:rFonts w:hint="eastAsia"/>
                <w:rtl/>
              </w:rPr>
              <w:t>תיקון</w:t>
            </w:r>
            <w:r w:rsidRPr="00B3495E">
              <w:rPr>
                <w:rtl/>
              </w:rPr>
              <w:t xml:space="preserve"> </w:t>
            </w:r>
            <w:r w:rsidRPr="00B3495E">
              <w:rPr>
                <w:rFonts w:hint="eastAsia"/>
                <w:rtl/>
              </w:rPr>
              <w:t>סעיף</w:t>
            </w:r>
            <w:r w:rsidRPr="00B3495E">
              <w:rPr>
                <w:rtl/>
              </w:rPr>
              <w:t xml:space="preserve"> 23</w:t>
            </w:r>
          </w:p>
        </w:tc>
        <w:tc>
          <w:tcPr>
            <w:tcW w:w="624" w:type="dxa"/>
          </w:tcPr>
          <w:p w14:paraId="65992200" w14:textId="77777777" w:rsidR="007A2EB3" w:rsidRPr="00B3495E" w:rsidRDefault="007A2EB3" w:rsidP="00B65510">
            <w:pPr>
              <w:pStyle w:val="TableBlock"/>
            </w:pPr>
            <w:r w:rsidRPr="00B3495E">
              <w:rPr>
                <w:rtl/>
              </w:rPr>
              <w:t>2.</w:t>
            </w:r>
          </w:p>
        </w:tc>
        <w:tc>
          <w:tcPr>
            <w:tcW w:w="7143" w:type="dxa"/>
            <w:gridSpan w:val="2"/>
          </w:tcPr>
          <w:p w14:paraId="3EBA522F" w14:textId="77777777" w:rsidR="007A2EB3" w:rsidRPr="00B3495E" w:rsidRDefault="007A2EB3" w:rsidP="00B65510">
            <w:pPr>
              <w:pStyle w:val="TableBlock"/>
              <w:rPr>
                <w:rtl/>
              </w:rPr>
            </w:pPr>
            <w:r w:rsidRPr="00B3495E">
              <w:rPr>
                <w:rFonts w:hint="eastAsia"/>
                <w:rtl/>
              </w:rPr>
              <w:t>בסעיף</w:t>
            </w:r>
            <w:r w:rsidRPr="00B3495E">
              <w:rPr>
                <w:rtl/>
              </w:rPr>
              <w:t xml:space="preserve"> 23(ב)(6) </w:t>
            </w:r>
            <w:r w:rsidRPr="00B3495E">
              <w:rPr>
                <w:rFonts w:hint="eastAsia"/>
                <w:rtl/>
              </w:rPr>
              <w:t>לחוק</w:t>
            </w:r>
            <w:r w:rsidRPr="00B3495E">
              <w:rPr>
                <w:rtl/>
              </w:rPr>
              <w:t xml:space="preserve"> </w:t>
            </w:r>
            <w:r w:rsidRPr="00B3495E">
              <w:rPr>
                <w:rFonts w:hint="eastAsia"/>
                <w:rtl/>
              </w:rPr>
              <w:t>העיקרי</w:t>
            </w:r>
            <w:r w:rsidRPr="00B3495E">
              <w:rPr>
                <w:rtl/>
              </w:rPr>
              <w:t xml:space="preserve">, </w:t>
            </w:r>
            <w:r w:rsidRPr="00B3495E">
              <w:rPr>
                <w:rFonts w:hint="eastAsia"/>
                <w:rtl/>
              </w:rPr>
              <w:t>אחרי</w:t>
            </w:r>
            <w:r w:rsidRPr="00B3495E">
              <w:rPr>
                <w:rtl/>
              </w:rPr>
              <w:t xml:space="preserve"> "לא </w:t>
            </w:r>
            <w:r w:rsidRPr="00B3495E">
              <w:rPr>
                <w:rFonts w:hint="eastAsia"/>
                <w:rtl/>
              </w:rPr>
              <w:t>גילה</w:t>
            </w:r>
            <w:r w:rsidRPr="00B3495E">
              <w:rPr>
                <w:rtl/>
              </w:rPr>
              <w:t xml:space="preserve"> </w:t>
            </w:r>
            <w:r w:rsidRPr="00B3495E">
              <w:rPr>
                <w:rFonts w:hint="eastAsia"/>
                <w:rtl/>
              </w:rPr>
              <w:t>לצרכן</w:t>
            </w:r>
            <w:r w:rsidRPr="00B3495E">
              <w:rPr>
                <w:rtl/>
              </w:rPr>
              <w:t xml:space="preserve"> </w:t>
            </w:r>
            <w:r w:rsidRPr="00B3495E">
              <w:rPr>
                <w:rFonts w:hint="eastAsia"/>
                <w:rtl/>
              </w:rPr>
              <w:t>פרטים</w:t>
            </w:r>
            <w:r w:rsidRPr="00B3495E">
              <w:rPr>
                <w:rtl/>
              </w:rPr>
              <w:t xml:space="preserve">" </w:t>
            </w:r>
            <w:r w:rsidRPr="00B3495E">
              <w:rPr>
                <w:rFonts w:hint="eastAsia"/>
                <w:rtl/>
              </w:rPr>
              <w:t>יבוא</w:t>
            </w:r>
            <w:r w:rsidRPr="00B3495E">
              <w:rPr>
                <w:rtl/>
              </w:rPr>
              <w:t xml:space="preserve"> "לא </w:t>
            </w:r>
            <w:r w:rsidRPr="00B3495E">
              <w:rPr>
                <w:rFonts w:hint="eastAsia"/>
                <w:rtl/>
              </w:rPr>
              <w:t>כלל</w:t>
            </w:r>
            <w:r w:rsidRPr="00B3495E">
              <w:rPr>
                <w:rtl/>
              </w:rPr>
              <w:t xml:space="preserve"> </w:t>
            </w:r>
            <w:r w:rsidRPr="00B3495E">
              <w:rPr>
                <w:rFonts w:hint="eastAsia"/>
                <w:rtl/>
              </w:rPr>
              <w:t>בשיחת</w:t>
            </w:r>
            <w:r w:rsidRPr="00B3495E">
              <w:rPr>
                <w:rtl/>
              </w:rPr>
              <w:t xml:space="preserve"> </w:t>
            </w:r>
            <w:r w:rsidRPr="00B3495E">
              <w:rPr>
                <w:rFonts w:hint="eastAsia"/>
                <w:rtl/>
              </w:rPr>
              <w:t>הטלפון</w:t>
            </w:r>
            <w:r w:rsidRPr="00B3495E">
              <w:rPr>
                <w:rtl/>
              </w:rPr>
              <w:t xml:space="preserve"> </w:t>
            </w:r>
            <w:r w:rsidRPr="00B3495E">
              <w:rPr>
                <w:rFonts w:hint="eastAsia"/>
                <w:rtl/>
              </w:rPr>
              <w:t>פתיח</w:t>
            </w:r>
            <w:r w:rsidRPr="00B3495E">
              <w:rPr>
                <w:rtl/>
              </w:rPr>
              <w:t>".</w:t>
            </w:r>
          </w:p>
        </w:tc>
      </w:tr>
    </w:tbl>
    <w:p w14:paraId="641B8166" w14:textId="77777777" w:rsidR="007A2EB3" w:rsidRDefault="007A2EB3" w:rsidP="007A2EB3">
      <w:pPr>
        <w:pStyle w:val="HeadDivreiHesber"/>
        <w:rPr>
          <w:rtl/>
        </w:rPr>
      </w:pPr>
      <w:r w:rsidRPr="0027450A">
        <w:rPr>
          <w:rFonts w:hint="cs"/>
          <w:rtl/>
        </w:rPr>
        <w:t>דברי הסבר</w:t>
      </w:r>
    </w:p>
    <w:p w14:paraId="0E4018EC" w14:textId="77777777" w:rsidR="007A2EB3" w:rsidRPr="00795A29" w:rsidRDefault="007A2EB3" w:rsidP="007A2EB3">
      <w:pPr>
        <w:pStyle w:val="Hesber"/>
        <w:rPr>
          <w:rtl/>
        </w:rPr>
      </w:pPr>
      <w:r>
        <w:rPr>
          <w:rFonts w:hint="cs"/>
          <w:rtl/>
        </w:rPr>
        <w:t xml:space="preserve">מטרת </w:t>
      </w:r>
      <w:r w:rsidRPr="00795A29">
        <w:rPr>
          <w:rFonts w:hint="eastAsia"/>
          <w:rtl/>
        </w:rPr>
        <w:t>הצעת</w:t>
      </w:r>
      <w:r w:rsidRPr="00795A29">
        <w:rPr>
          <w:rtl/>
        </w:rPr>
        <w:t xml:space="preserve"> החוק </w:t>
      </w:r>
      <w:r w:rsidRPr="00795A29">
        <w:rPr>
          <w:rFonts w:hint="eastAsia"/>
          <w:rtl/>
        </w:rPr>
        <w:t>למנוע</w:t>
      </w:r>
      <w:r w:rsidRPr="00795A29">
        <w:rPr>
          <w:rtl/>
        </w:rPr>
        <w:t xml:space="preserve"> שימוש לרעה באמצעי השיווק הטלפוניים שבאמצעותם מוצעות עסקאות מכר מרחוק ללקוחות פוטנציאליים. עסקאות אלה, העושות שימוש בטכניקה של שיווק מרחוק, מנצלות לא פעם את אלמנט ההפתעה מצד העסק המציע נכס או שירות, עניין המשפיע על שיקול דעתו של הצרכן ופוגם לא פעם ביכולת הבחירה שלו לסרב להצעה. כאשר מדובר באוכלוסייה של אנשים מבוגרים, עולים חדשים או בעלי קשיים מיוחדים, עניין זה הופך לחמור עוד יותר. </w:t>
      </w:r>
    </w:p>
    <w:p w14:paraId="4C08DAAB" w14:textId="77777777" w:rsidR="007A2EB3" w:rsidRPr="00795A29" w:rsidRDefault="007A2EB3" w:rsidP="007A2EB3">
      <w:pPr>
        <w:pStyle w:val="Hesber"/>
        <w:rPr>
          <w:rtl/>
        </w:rPr>
      </w:pPr>
      <w:r w:rsidRPr="00795A29">
        <w:rPr>
          <w:rFonts w:hint="eastAsia"/>
          <w:rtl/>
        </w:rPr>
        <w:t>מוצע</w:t>
      </w:r>
      <w:r w:rsidRPr="00795A29">
        <w:rPr>
          <w:rtl/>
        </w:rPr>
        <w:t xml:space="preserve"> כי בעסקאות מכר מרחוק יתקיים מנגנון סינון ראשוני, הדומה למנגנון המוכר של שיחות גוביינא, שבו השיחה תכלול, בתחילתה, פתיח מוקלט, ובו שמו של העוסק וכוונתו למכור נכס או שירות לצרכן, בלי להזכיר פרטים נוספים בעניין מהות הנכס או השירות המשווקים. אם הצרכן יהיה מעוניין לשוחח עם נציג העוסק או לשמוע את כל ההודעה, הנציג יוכל להתקשר אליו ולספר לו על פרטי העסקה. </w:t>
      </w:r>
      <w:r w:rsidRPr="00795A29">
        <w:rPr>
          <w:rtl/>
        </w:rPr>
        <w:lastRenderedPageBreak/>
        <w:t xml:space="preserve">מנגנון זה יקל על הצרכנים לערוך </w:t>
      </w:r>
      <w:r w:rsidRPr="00795A29">
        <w:rPr>
          <w:rFonts w:hint="eastAsia"/>
          <w:rtl/>
        </w:rPr>
        <w:t>קנייה</w:t>
      </w:r>
      <w:r w:rsidRPr="00795A29">
        <w:rPr>
          <w:rtl/>
        </w:rPr>
        <w:t xml:space="preserve"> </w:t>
      </w:r>
      <w:r w:rsidRPr="00795A29">
        <w:rPr>
          <w:rFonts w:hint="eastAsia"/>
          <w:rtl/>
        </w:rPr>
        <w:t>בדרך</w:t>
      </w:r>
      <w:r w:rsidRPr="00795A29">
        <w:rPr>
          <w:rtl/>
        </w:rPr>
        <w:t xml:space="preserve"> </w:t>
      </w:r>
      <w:r w:rsidRPr="00795A29">
        <w:rPr>
          <w:rFonts w:hint="eastAsia"/>
          <w:rtl/>
        </w:rPr>
        <w:t>נבונה</w:t>
      </w:r>
      <w:r w:rsidRPr="00795A29">
        <w:rPr>
          <w:rtl/>
        </w:rPr>
        <w:t xml:space="preserve"> </w:t>
      </w:r>
      <w:r w:rsidRPr="00795A29">
        <w:rPr>
          <w:rFonts w:hint="eastAsia"/>
          <w:rtl/>
        </w:rPr>
        <w:t>ומושכלת</w:t>
      </w:r>
      <w:r w:rsidRPr="00795A29">
        <w:rPr>
          <w:rtl/>
        </w:rPr>
        <w:t xml:space="preserve">, </w:t>
      </w:r>
      <w:r w:rsidRPr="00795A29">
        <w:rPr>
          <w:rFonts w:hint="eastAsia"/>
          <w:rtl/>
        </w:rPr>
        <w:t>תוך</w:t>
      </w:r>
      <w:r w:rsidRPr="00795A29">
        <w:rPr>
          <w:rtl/>
        </w:rPr>
        <w:t xml:space="preserve"> </w:t>
      </w:r>
      <w:r w:rsidRPr="00795A29">
        <w:rPr>
          <w:rFonts w:hint="eastAsia"/>
          <w:rtl/>
        </w:rPr>
        <w:t>הבנה</w:t>
      </w:r>
      <w:r w:rsidRPr="00795A29">
        <w:rPr>
          <w:rtl/>
        </w:rPr>
        <w:t xml:space="preserve"> </w:t>
      </w:r>
      <w:r w:rsidRPr="00795A29">
        <w:rPr>
          <w:rFonts w:hint="eastAsia"/>
          <w:rtl/>
        </w:rPr>
        <w:t>מלאה</w:t>
      </w:r>
      <w:r w:rsidRPr="00795A29">
        <w:rPr>
          <w:rtl/>
        </w:rPr>
        <w:t xml:space="preserve"> </w:t>
      </w:r>
      <w:r w:rsidRPr="00795A29">
        <w:rPr>
          <w:rFonts w:hint="eastAsia"/>
          <w:rtl/>
        </w:rPr>
        <w:t>של</w:t>
      </w:r>
      <w:r w:rsidRPr="00795A29">
        <w:rPr>
          <w:rtl/>
        </w:rPr>
        <w:t xml:space="preserve"> </w:t>
      </w:r>
      <w:r w:rsidRPr="00795A29">
        <w:rPr>
          <w:rFonts w:hint="eastAsia"/>
          <w:rtl/>
        </w:rPr>
        <w:t>מהות</w:t>
      </w:r>
      <w:r w:rsidRPr="00795A29">
        <w:rPr>
          <w:rtl/>
        </w:rPr>
        <w:t xml:space="preserve"> </w:t>
      </w:r>
      <w:r w:rsidRPr="00795A29">
        <w:rPr>
          <w:rFonts w:hint="eastAsia"/>
          <w:rtl/>
        </w:rPr>
        <w:t>השיחה</w:t>
      </w:r>
      <w:r w:rsidRPr="00795A29">
        <w:rPr>
          <w:rtl/>
        </w:rPr>
        <w:t xml:space="preserve">, </w:t>
      </w:r>
      <w:r w:rsidRPr="00795A29">
        <w:rPr>
          <w:rFonts w:hint="eastAsia"/>
          <w:rtl/>
        </w:rPr>
        <w:t>ויחזק</w:t>
      </w:r>
      <w:r w:rsidRPr="00795A29">
        <w:rPr>
          <w:rtl/>
        </w:rPr>
        <w:t xml:space="preserve"> </w:t>
      </w:r>
      <w:r w:rsidRPr="00795A29">
        <w:rPr>
          <w:rFonts w:hint="eastAsia"/>
          <w:rtl/>
        </w:rPr>
        <w:t>את</w:t>
      </w:r>
      <w:r w:rsidRPr="00795A29">
        <w:rPr>
          <w:rtl/>
        </w:rPr>
        <w:t xml:space="preserve"> </w:t>
      </w:r>
      <w:r w:rsidRPr="00795A29">
        <w:rPr>
          <w:rFonts w:hint="eastAsia"/>
          <w:rtl/>
        </w:rPr>
        <w:t>יכולת</w:t>
      </w:r>
      <w:r w:rsidRPr="00795A29">
        <w:rPr>
          <w:rtl/>
        </w:rPr>
        <w:t xml:space="preserve"> </w:t>
      </w:r>
      <w:r w:rsidRPr="00795A29">
        <w:rPr>
          <w:rFonts w:hint="eastAsia"/>
          <w:rtl/>
        </w:rPr>
        <w:t>הבחירה</w:t>
      </w:r>
      <w:r w:rsidRPr="00795A29">
        <w:rPr>
          <w:rtl/>
        </w:rPr>
        <w:t xml:space="preserve"> </w:t>
      </w:r>
      <w:r w:rsidRPr="00795A29">
        <w:rPr>
          <w:rFonts w:hint="eastAsia"/>
          <w:rtl/>
        </w:rPr>
        <w:t>שלהם</w:t>
      </w:r>
      <w:r w:rsidRPr="00795A29">
        <w:rPr>
          <w:rtl/>
        </w:rPr>
        <w:t xml:space="preserve"> </w:t>
      </w:r>
      <w:r w:rsidRPr="00795A29">
        <w:rPr>
          <w:rFonts w:hint="eastAsia"/>
          <w:rtl/>
        </w:rPr>
        <w:t>להתקשר</w:t>
      </w:r>
      <w:r w:rsidRPr="00795A29">
        <w:rPr>
          <w:rtl/>
        </w:rPr>
        <w:t xml:space="preserve">, </w:t>
      </w:r>
      <w:r w:rsidRPr="00795A29">
        <w:rPr>
          <w:rFonts w:hint="eastAsia"/>
          <w:rtl/>
        </w:rPr>
        <w:t>או</w:t>
      </w:r>
      <w:r w:rsidRPr="00795A29">
        <w:rPr>
          <w:rtl/>
        </w:rPr>
        <w:t xml:space="preserve"> </w:t>
      </w:r>
      <w:r w:rsidRPr="00795A29">
        <w:rPr>
          <w:rFonts w:hint="eastAsia"/>
          <w:rtl/>
        </w:rPr>
        <w:t>לא</w:t>
      </w:r>
      <w:r w:rsidRPr="00795A29">
        <w:rPr>
          <w:rtl/>
        </w:rPr>
        <w:t xml:space="preserve"> </w:t>
      </w:r>
      <w:r w:rsidRPr="00795A29">
        <w:rPr>
          <w:rFonts w:hint="eastAsia"/>
          <w:rtl/>
        </w:rPr>
        <w:t>להתקשר</w:t>
      </w:r>
      <w:r w:rsidRPr="00795A29">
        <w:rPr>
          <w:rtl/>
        </w:rPr>
        <w:t xml:space="preserve">, </w:t>
      </w:r>
      <w:r w:rsidRPr="00795A29">
        <w:rPr>
          <w:rFonts w:hint="eastAsia"/>
          <w:rtl/>
        </w:rPr>
        <w:t>עם</w:t>
      </w:r>
      <w:r w:rsidRPr="00795A29">
        <w:rPr>
          <w:rtl/>
        </w:rPr>
        <w:t xml:space="preserve"> </w:t>
      </w:r>
      <w:r w:rsidRPr="00795A29">
        <w:rPr>
          <w:rFonts w:hint="eastAsia"/>
          <w:rtl/>
        </w:rPr>
        <w:t>בעל</w:t>
      </w:r>
      <w:r w:rsidRPr="00795A29">
        <w:rPr>
          <w:rtl/>
        </w:rPr>
        <w:t xml:space="preserve"> </w:t>
      </w:r>
      <w:r w:rsidRPr="00795A29">
        <w:rPr>
          <w:rFonts w:hint="eastAsia"/>
          <w:rtl/>
        </w:rPr>
        <w:t>עסק</w:t>
      </w:r>
      <w:r w:rsidRPr="00795A29">
        <w:rPr>
          <w:rtl/>
        </w:rPr>
        <w:t xml:space="preserve"> </w:t>
      </w:r>
      <w:r w:rsidRPr="00795A29">
        <w:rPr>
          <w:rFonts w:hint="eastAsia"/>
          <w:rtl/>
        </w:rPr>
        <w:t>בעסקת</w:t>
      </w:r>
      <w:r w:rsidRPr="00795A29">
        <w:rPr>
          <w:rtl/>
        </w:rPr>
        <w:t xml:space="preserve"> </w:t>
      </w:r>
      <w:r w:rsidRPr="00795A29">
        <w:rPr>
          <w:rFonts w:hint="eastAsia"/>
          <w:rtl/>
        </w:rPr>
        <w:t>מכר</w:t>
      </w:r>
      <w:r w:rsidRPr="00795A29">
        <w:rPr>
          <w:rtl/>
        </w:rPr>
        <w:t xml:space="preserve"> </w:t>
      </w:r>
      <w:r w:rsidRPr="00795A29">
        <w:rPr>
          <w:rFonts w:hint="eastAsia"/>
          <w:rtl/>
        </w:rPr>
        <w:t>מרחוק</w:t>
      </w:r>
      <w:r w:rsidRPr="00795A29">
        <w:rPr>
          <w:rtl/>
        </w:rPr>
        <w:t xml:space="preserve"> </w:t>
      </w:r>
      <w:r w:rsidRPr="00795A29">
        <w:rPr>
          <w:rFonts w:hint="eastAsia"/>
          <w:rtl/>
        </w:rPr>
        <w:t>באמצעות</w:t>
      </w:r>
      <w:r w:rsidRPr="00795A29">
        <w:rPr>
          <w:rtl/>
        </w:rPr>
        <w:t xml:space="preserve"> </w:t>
      </w:r>
      <w:r w:rsidRPr="00795A29">
        <w:rPr>
          <w:rFonts w:hint="eastAsia"/>
          <w:rtl/>
        </w:rPr>
        <w:t>הטלפון</w:t>
      </w:r>
      <w:r w:rsidRPr="00795A29">
        <w:rPr>
          <w:rtl/>
        </w:rPr>
        <w:t>.</w:t>
      </w:r>
    </w:p>
    <w:p w14:paraId="7F6961CB" w14:textId="7DCE68E9" w:rsidR="00E13C27" w:rsidRPr="003D2368" w:rsidRDefault="007A2EB3" w:rsidP="003D2368">
      <w:pPr>
        <w:pStyle w:val="Hesber"/>
        <w:rPr>
          <w:rFonts w:hint="cs"/>
          <w:rtl/>
        </w:rPr>
      </w:pPr>
      <w:bookmarkStart w:id="8" w:name="_GoBack"/>
      <w:bookmarkEnd w:id="8"/>
      <w:r w:rsidRPr="003D2368">
        <w:rPr>
          <w:rFonts w:hint="eastAsia"/>
          <w:rtl/>
        </w:rPr>
        <w:t>הצע</w:t>
      </w:r>
      <w:r w:rsidR="000353A9" w:rsidRPr="003D2368">
        <w:rPr>
          <w:rFonts w:hint="cs"/>
          <w:rtl/>
        </w:rPr>
        <w:t>ו</w:t>
      </w:r>
      <w:r w:rsidRPr="003D2368">
        <w:rPr>
          <w:rFonts w:hint="eastAsia"/>
          <w:rtl/>
        </w:rPr>
        <w:t>ת</w:t>
      </w:r>
      <w:r w:rsidRPr="003D2368">
        <w:rPr>
          <w:rtl/>
        </w:rPr>
        <w:t xml:space="preserve"> </w:t>
      </w:r>
      <w:r w:rsidRPr="003D2368">
        <w:rPr>
          <w:rFonts w:hint="eastAsia"/>
          <w:rtl/>
        </w:rPr>
        <w:t>חוק</w:t>
      </w:r>
      <w:r w:rsidRPr="003D2368">
        <w:rPr>
          <w:rtl/>
        </w:rPr>
        <w:t xml:space="preserve"> </w:t>
      </w:r>
      <w:r w:rsidRPr="003D2368">
        <w:rPr>
          <w:rFonts w:hint="eastAsia"/>
          <w:rtl/>
        </w:rPr>
        <w:t>זה</w:t>
      </w:r>
      <w:r w:rsidR="000353A9" w:rsidRPr="003D2368">
        <w:rPr>
          <w:rFonts w:hint="cs"/>
          <w:rtl/>
        </w:rPr>
        <w:t>ות</w:t>
      </w:r>
      <w:r w:rsidRPr="003D2368">
        <w:rPr>
          <w:rtl/>
        </w:rPr>
        <w:t xml:space="preserve"> </w:t>
      </w:r>
      <w:r w:rsidR="000353A9" w:rsidRPr="003D2368">
        <w:rPr>
          <w:rFonts w:hint="cs"/>
          <w:rtl/>
        </w:rPr>
        <w:t>הונחו של שולחן ה</w:t>
      </w:r>
      <w:r w:rsidRPr="003D2368">
        <w:rPr>
          <w:rFonts w:hint="eastAsia"/>
          <w:rtl/>
        </w:rPr>
        <w:t>כנסת</w:t>
      </w:r>
      <w:r w:rsidRPr="003D2368">
        <w:rPr>
          <w:rtl/>
        </w:rPr>
        <w:t xml:space="preserve"> </w:t>
      </w:r>
      <w:r w:rsidRPr="003D2368">
        <w:rPr>
          <w:rFonts w:hint="eastAsia"/>
          <w:rtl/>
        </w:rPr>
        <w:t>התשע</w:t>
      </w:r>
      <w:r w:rsidRPr="003D2368">
        <w:rPr>
          <w:rtl/>
        </w:rPr>
        <w:t xml:space="preserve">-עשרה </w:t>
      </w:r>
      <w:r w:rsidRPr="003D2368">
        <w:rPr>
          <w:rFonts w:hint="eastAsia"/>
          <w:rtl/>
        </w:rPr>
        <w:t>על</w:t>
      </w:r>
      <w:r w:rsidRPr="003D2368">
        <w:rPr>
          <w:rtl/>
        </w:rPr>
        <w:t xml:space="preserve"> </w:t>
      </w:r>
      <w:r w:rsidRPr="003D2368">
        <w:rPr>
          <w:rFonts w:hint="eastAsia"/>
          <w:rtl/>
        </w:rPr>
        <w:t>ידי</w:t>
      </w:r>
      <w:r w:rsidRPr="003D2368">
        <w:rPr>
          <w:rtl/>
        </w:rPr>
        <w:t xml:space="preserve"> </w:t>
      </w:r>
      <w:r w:rsidRPr="003D2368">
        <w:rPr>
          <w:rFonts w:hint="eastAsia"/>
          <w:rtl/>
        </w:rPr>
        <w:t>חברת</w:t>
      </w:r>
      <w:r w:rsidRPr="003D2368">
        <w:rPr>
          <w:rtl/>
        </w:rPr>
        <w:t xml:space="preserve"> </w:t>
      </w:r>
      <w:r w:rsidRPr="003D2368">
        <w:rPr>
          <w:rFonts w:hint="eastAsia"/>
          <w:rtl/>
        </w:rPr>
        <w:t>הכנסת</w:t>
      </w:r>
      <w:r w:rsidRPr="003D2368">
        <w:rPr>
          <w:rtl/>
        </w:rPr>
        <w:t xml:space="preserve"> </w:t>
      </w:r>
      <w:r w:rsidRPr="003D2368">
        <w:rPr>
          <w:rFonts w:hint="eastAsia"/>
          <w:rtl/>
        </w:rPr>
        <w:t>שולי</w:t>
      </w:r>
      <w:r w:rsidRPr="003D2368">
        <w:rPr>
          <w:rFonts w:hint="cs"/>
          <w:rtl/>
        </w:rPr>
        <w:t xml:space="preserve"> </w:t>
      </w:r>
      <w:r w:rsidRPr="003D2368">
        <w:rPr>
          <w:rtl/>
        </w:rPr>
        <w:t>מועלם</w:t>
      </w:r>
      <w:r w:rsidRPr="003D2368">
        <w:rPr>
          <w:rFonts w:hint="cs"/>
          <w:rtl/>
        </w:rPr>
        <w:t>-</w:t>
      </w:r>
      <w:r w:rsidRPr="003D2368">
        <w:rPr>
          <w:rFonts w:hint="eastAsia"/>
          <w:rtl/>
        </w:rPr>
        <w:t>רפאלי</w:t>
      </w:r>
      <w:r w:rsidRPr="003D2368">
        <w:rPr>
          <w:rtl/>
        </w:rPr>
        <w:t xml:space="preserve"> </w:t>
      </w:r>
      <w:r w:rsidRPr="003D2368">
        <w:rPr>
          <w:rFonts w:hint="eastAsia"/>
          <w:rtl/>
        </w:rPr>
        <w:t>וקבוצת</w:t>
      </w:r>
      <w:r w:rsidRPr="003D2368">
        <w:rPr>
          <w:rtl/>
        </w:rPr>
        <w:t xml:space="preserve"> </w:t>
      </w:r>
      <w:r w:rsidRPr="003D2368">
        <w:rPr>
          <w:rFonts w:hint="eastAsia"/>
          <w:rtl/>
        </w:rPr>
        <w:t>חברי</w:t>
      </w:r>
      <w:r w:rsidRPr="003D2368">
        <w:rPr>
          <w:rtl/>
        </w:rPr>
        <w:t xml:space="preserve"> </w:t>
      </w:r>
      <w:r w:rsidRPr="003D2368">
        <w:rPr>
          <w:rFonts w:hint="cs"/>
          <w:rtl/>
        </w:rPr>
        <w:t>ה</w:t>
      </w:r>
      <w:r w:rsidRPr="003D2368">
        <w:rPr>
          <w:rFonts w:hint="eastAsia"/>
          <w:rtl/>
        </w:rPr>
        <w:t>כנסת</w:t>
      </w:r>
      <w:r w:rsidRPr="003D2368">
        <w:rPr>
          <w:rtl/>
        </w:rPr>
        <w:t xml:space="preserve"> (פ/2463/19)</w:t>
      </w:r>
      <w:r w:rsidR="000353A9" w:rsidRPr="003D2368">
        <w:rPr>
          <w:rFonts w:hint="cs"/>
          <w:rtl/>
        </w:rPr>
        <w:t>, ועל שולחן הכנסת העשרים על ידי חברי הכנסת אורי מקלב ומשה גפני (פ/</w:t>
      </w:r>
      <w:r w:rsidR="003D2368" w:rsidRPr="003D2368">
        <w:rPr>
          <w:rFonts w:hint="cs"/>
          <w:rtl/>
        </w:rPr>
        <w:t>846/20</w:t>
      </w:r>
      <w:r w:rsidR="000353A9" w:rsidRPr="003D2368">
        <w:rPr>
          <w:rFonts w:hint="cs"/>
          <w:rtl/>
        </w:rPr>
        <w:t>)</w:t>
      </w:r>
      <w:r w:rsidRPr="003D2368">
        <w:rPr>
          <w:rFonts w:hint="cs"/>
          <w:rtl/>
        </w:rPr>
        <w:t>.</w:t>
      </w:r>
    </w:p>
    <w:p w14:paraId="47E380BB" w14:textId="77777777" w:rsidR="003D2368" w:rsidRDefault="003D2368" w:rsidP="003D2368">
      <w:pPr>
        <w:pStyle w:val="Hesber"/>
        <w:rPr>
          <w:rFonts w:hint="cs"/>
          <w:highlight w:val="green"/>
          <w:rtl/>
        </w:rPr>
      </w:pPr>
    </w:p>
    <w:p w14:paraId="72C2AC3B" w14:textId="77777777" w:rsidR="003D2368" w:rsidRDefault="003D2368" w:rsidP="003D2368">
      <w:pPr>
        <w:pStyle w:val="Hesber"/>
        <w:rPr>
          <w:rFonts w:hint="cs"/>
          <w:highlight w:val="green"/>
          <w:rtl/>
        </w:rPr>
      </w:pPr>
    </w:p>
    <w:p w14:paraId="41E32AB7" w14:textId="77777777" w:rsidR="003D2368" w:rsidRDefault="003D2368" w:rsidP="003D2368">
      <w:pPr>
        <w:pStyle w:val="Hesber"/>
        <w:rPr>
          <w:rFonts w:hint="cs"/>
          <w:highlight w:val="green"/>
          <w:rtl/>
        </w:rPr>
      </w:pPr>
    </w:p>
    <w:p w14:paraId="4CA38BF8" w14:textId="77777777" w:rsidR="003D2368" w:rsidRPr="00557D2C" w:rsidRDefault="003D2368" w:rsidP="007D273A">
      <w:pPr>
        <w:pStyle w:val="Hesber"/>
        <w:rPr>
          <w:rtl/>
        </w:rPr>
      </w:pPr>
      <w:r w:rsidRPr="00557D2C">
        <w:rPr>
          <w:rtl/>
        </w:rPr>
        <w:t>---------------------------------</w:t>
      </w:r>
    </w:p>
    <w:p w14:paraId="393D87E1" w14:textId="77777777" w:rsidR="003D2368" w:rsidRPr="00557D2C" w:rsidRDefault="003D2368" w:rsidP="007D273A">
      <w:pPr>
        <w:pStyle w:val="Hesber"/>
        <w:rPr>
          <w:rtl/>
        </w:rPr>
      </w:pPr>
      <w:r w:rsidRPr="00557D2C">
        <w:rPr>
          <w:rtl/>
        </w:rPr>
        <w:t>הוגשה ליו"ר הכנסת והסגנים</w:t>
      </w:r>
    </w:p>
    <w:p w14:paraId="089293F7" w14:textId="77777777" w:rsidR="003D2368" w:rsidRPr="00557D2C" w:rsidRDefault="003D2368" w:rsidP="007D273A">
      <w:pPr>
        <w:pStyle w:val="Hesber"/>
        <w:rPr>
          <w:rtl/>
        </w:rPr>
      </w:pPr>
      <w:r w:rsidRPr="00557D2C">
        <w:rPr>
          <w:rtl/>
        </w:rPr>
        <w:t>והונחה על שולחן הכנסת ביום</w:t>
      </w:r>
    </w:p>
    <w:p w14:paraId="04437205" w14:textId="7B552FA6" w:rsidR="003D2368" w:rsidRDefault="003D2368" w:rsidP="003D2368">
      <w:pPr>
        <w:pStyle w:val="Hesber"/>
        <w:rPr>
          <w:rtl/>
        </w:rPr>
      </w:pPr>
      <w:r>
        <w:rPr>
          <w:rFonts w:hint="cs"/>
          <w:rtl/>
        </w:rPr>
        <w:t>כ"ט</w:t>
      </w:r>
      <w:r w:rsidRPr="00557D2C">
        <w:rPr>
          <w:rFonts w:hint="cs"/>
          <w:rtl/>
        </w:rPr>
        <w:t xml:space="preserve"> באייר התשע"ה </w:t>
      </w:r>
      <w:r w:rsidRPr="00557D2C">
        <w:rPr>
          <w:rtl/>
        </w:rPr>
        <w:t>–</w:t>
      </w:r>
      <w:r>
        <w:rPr>
          <w:rFonts w:hint="cs"/>
          <w:rtl/>
        </w:rPr>
        <w:t xml:space="preserve"> 18.5.15</w:t>
      </w:r>
    </w:p>
    <w:sectPr w:rsidR="003D2368" w:rsidSect="001207F8">
      <w:footerReference w:type="even" r:id="rId12"/>
      <w:footerReference w:type="default" r:id="rId13"/>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961D3" w14:textId="77777777" w:rsidR="00C23B1A" w:rsidRDefault="00C23B1A">
      <w:r>
        <w:separator/>
      </w:r>
    </w:p>
  </w:endnote>
  <w:endnote w:type="continuationSeparator" w:id="0">
    <w:p w14:paraId="7F6961D4" w14:textId="77777777" w:rsidR="00C23B1A" w:rsidRDefault="00C2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5"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1A0623" w:rsidRDefault="001A06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7"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3D2368">
      <w:rPr>
        <w:rStyle w:val="ab"/>
        <w:noProof/>
        <w:rtl/>
      </w:rPr>
      <w:t>2</w:t>
    </w:r>
    <w:r>
      <w:rPr>
        <w:rStyle w:val="ab"/>
        <w:rtl/>
      </w:rPr>
      <w:fldChar w:fldCharType="end"/>
    </w:r>
  </w:p>
  <w:p w14:paraId="7F6961D8" w14:textId="77777777" w:rsidR="001A0623" w:rsidRDefault="001A06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961D0" w14:textId="77777777" w:rsidR="00C23B1A" w:rsidRDefault="00C23B1A">
      <w:r>
        <w:separator/>
      </w:r>
    </w:p>
  </w:footnote>
  <w:footnote w:type="continuationSeparator" w:id="0">
    <w:p w14:paraId="7F6961D1" w14:textId="77777777" w:rsidR="00C23B1A" w:rsidRDefault="00C23B1A">
      <w:r>
        <w:continuationSeparator/>
      </w:r>
    </w:p>
  </w:footnote>
  <w:footnote w:type="continuationNotice" w:id="1">
    <w:p w14:paraId="7F6961D2" w14:textId="77777777" w:rsidR="00C23B1A" w:rsidRDefault="00C23B1A"/>
  </w:footnote>
  <w:footnote w:id="2">
    <w:p w14:paraId="10A7C6CD" w14:textId="77777777" w:rsidR="007A2EB3" w:rsidRDefault="007A2EB3" w:rsidP="007A2EB3">
      <w:pPr>
        <w:pStyle w:val="a4"/>
        <w:rPr>
          <w:rtl/>
        </w:rPr>
      </w:pPr>
      <w:r>
        <w:rPr>
          <w:rStyle w:val="a6"/>
        </w:rPr>
        <w:footnoteRef/>
      </w:r>
      <w:r>
        <w:rPr>
          <w:rtl/>
        </w:rPr>
        <w:t xml:space="preserve"> </w:t>
      </w:r>
      <w:r>
        <w:rPr>
          <w:rFonts w:hint="cs"/>
          <w:rtl/>
        </w:rPr>
        <w:t>ס"ח התשמ"א, עמ' 248.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353A9"/>
    <w:rsid w:val="0007681A"/>
    <w:rsid w:val="000A542E"/>
    <w:rsid w:val="00102B6B"/>
    <w:rsid w:val="001052D4"/>
    <w:rsid w:val="0010644B"/>
    <w:rsid w:val="001207F8"/>
    <w:rsid w:val="00121924"/>
    <w:rsid w:val="001279A8"/>
    <w:rsid w:val="0014195F"/>
    <w:rsid w:val="00152609"/>
    <w:rsid w:val="00153E1B"/>
    <w:rsid w:val="001A0623"/>
    <w:rsid w:val="001C23B0"/>
    <w:rsid w:val="00203A7F"/>
    <w:rsid w:val="002200A1"/>
    <w:rsid w:val="002362BF"/>
    <w:rsid w:val="00241B97"/>
    <w:rsid w:val="00246756"/>
    <w:rsid w:val="00251E58"/>
    <w:rsid w:val="00254605"/>
    <w:rsid w:val="002728B4"/>
    <w:rsid w:val="0027600C"/>
    <w:rsid w:val="00292712"/>
    <w:rsid w:val="002A487D"/>
    <w:rsid w:val="002C2E29"/>
    <w:rsid w:val="002D1EE3"/>
    <w:rsid w:val="002E46DC"/>
    <w:rsid w:val="002F1D80"/>
    <w:rsid w:val="003232A2"/>
    <w:rsid w:val="00325C14"/>
    <w:rsid w:val="003710F6"/>
    <w:rsid w:val="00386E88"/>
    <w:rsid w:val="00396585"/>
    <w:rsid w:val="003D2368"/>
    <w:rsid w:val="003D74A0"/>
    <w:rsid w:val="004033D8"/>
    <w:rsid w:val="004073F0"/>
    <w:rsid w:val="00412A7D"/>
    <w:rsid w:val="00416B4D"/>
    <w:rsid w:val="00417CFC"/>
    <w:rsid w:val="004B24ED"/>
    <w:rsid w:val="004D2D82"/>
    <w:rsid w:val="004D3876"/>
    <w:rsid w:val="004E4552"/>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A2EB3"/>
    <w:rsid w:val="007C3FA6"/>
    <w:rsid w:val="007D585A"/>
    <w:rsid w:val="007D5A12"/>
    <w:rsid w:val="007E59F9"/>
    <w:rsid w:val="00810BCD"/>
    <w:rsid w:val="00812C98"/>
    <w:rsid w:val="00814D92"/>
    <w:rsid w:val="0083181D"/>
    <w:rsid w:val="00874BBC"/>
    <w:rsid w:val="00892135"/>
    <w:rsid w:val="00895449"/>
    <w:rsid w:val="00897879"/>
    <w:rsid w:val="008A6870"/>
    <w:rsid w:val="008C2DDC"/>
    <w:rsid w:val="008C7516"/>
    <w:rsid w:val="008E6EC7"/>
    <w:rsid w:val="008F0D63"/>
    <w:rsid w:val="008F2C35"/>
    <w:rsid w:val="008F6665"/>
    <w:rsid w:val="0091204F"/>
    <w:rsid w:val="009203DB"/>
    <w:rsid w:val="00923CD4"/>
    <w:rsid w:val="00943386"/>
    <w:rsid w:val="009456B6"/>
    <w:rsid w:val="00957589"/>
    <w:rsid w:val="00966D06"/>
    <w:rsid w:val="00982412"/>
    <w:rsid w:val="00983A8D"/>
    <w:rsid w:val="009A7257"/>
    <w:rsid w:val="009D6E0A"/>
    <w:rsid w:val="00A14672"/>
    <w:rsid w:val="00A26BD6"/>
    <w:rsid w:val="00A443CF"/>
    <w:rsid w:val="00A6611D"/>
    <w:rsid w:val="00A82CB7"/>
    <w:rsid w:val="00AA2F03"/>
    <w:rsid w:val="00AC36F7"/>
    <w:rsid w:val="00AC63A4"/>
    <w:rsid w:val="00AD239E"/>
    <w:rsid w:val="00B10265"/>
    <w:rsid w:val="00B21211"/>
    <w:rsid w:val="00B35784"/>
    <w:rsid w:val="00B733A7"/>
    <w:rsid w:val="00B975AD"/>
    <w:rsid w:val="00BC45FB"/>
    <w:rsid w:val="00BF148D"/>
    <w:rsid w:val="00C23B1A"/>
    <w:rsid w:val="00C310EB"/>
    <w:rsid w:val="00C9176A"/>
    <w:rsid w:val="00CF1AA2"/>
    <w:rsid w:val="00D63620"/>
    <w:rsid w:val="00D8410D"/>
    <w:rsid w:val="00D867D7"/>
    <w:rsid w:val="00DB7060"/>
    <w:rsid w:val="00DE3153"/>
    <w:rsid w:val="00E06736"/>
    <w:rsid w:val="00E07188"/>
    <w:rsid w:val="00E13C27"/>
    <w:rsid w:val="00E33BBD"/>
    <w:rsid w:val="00E45103"/>
    <w:rsid w:val="00E665B9"/>
    <w:rsid w:val="00EA01E6"/>
    <w:rsid w:val="00EA3DE8"/>
    <w:rsid w:val="00EA758F"/>
    <w:rsid w:val="00ED4A6F"/>
    <w:rsid w:val="00EF3A3A"/>
    <w:rsid w:val="00F628D6"/>
    <w:rsid w:val="00F67051"/>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2E46DC"/>
    <w:rPr>
      <w:rFonts w:ascii="Arial" w:eastAsia="Arial Unicode MS" w:hAnsi="Arial" w:cs="David"/>
      <w:snapToGrid w:val="0"/>
      <w:color w:val="000000"/>
      <w:sz w:val="1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2E46DC"/>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25972">
      <w:bodyDiv w:val="1"/>
      <w:marLeft w:val="0"/>
      <w:marRight w:val="0"/>
      <w:marTop w:val="0"/>
      <w:marBottom w:val="0"/>
      <w:divBdr>
        <w:top w:val="none" w:sz="0" w:space="0" w:color="auto"/>
        <w:left w:val="none" w:sz="0" w:space="0" w:color="auto"/>
        <w:bottom w:val="none" w:sz="0" w:space="0" w:color="auto"/>
        <w:right w:val="none" w:sz="0" w:space="0" w:color="auto"/>
      </w:divBdr>
    </w:div>
    <w:div w:id="1989169872">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C257F141-3032-44BA-B2B0-8B3B63445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F528AB7-D0FF-4B6F-97BB-ABB42681A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334</Words>
  <Characters>1672</Characters>
  <Application>Microsoft Office Word</Application>
  <DocSecurity>0</DocSecurity>
  <Lines>13</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6</cp:revision>
  <cp:lastPrinted>2013-07-04T08:25:00Z</cp:lastPrinted>
  <dcterms:created xsi:type="dcterms:W3CDTF">2015-03-26T08:06:00Z</dcterms:created>
  <dcterms:modified xsi:type="dcterms:W3CDTF">2015-05-13T11:06:00Z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0354fdee-f711-4d2a-9cf2-2d1c4d9ac92a</vt:lpwstr>
  </property>
  <property fmtid="{D5CDD505-2E9C-101B-9397-08002B2CF9AE}" pid="4" name="SanhedrinDocumentType">
    <vt:r8>10</vt:r8>
  </property>
  <property fmtid="{D5CDD505-2E9C-101B-9397-08002B2CF9AE}" pid="5" name="SanhedrinItemID">
    <vt:r8>563714</vt:r8>
  </property>
</Properties>
</file>