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פ/897/20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E" w14:textId="53A8A7FF" w:rsidR="00E13C27" w:rsidRDefault="00A443CF" w:rsidP="00312810">
      <w:pPr>
        <w:pStyle w:val="HeadHatzaotHok"/>
        <w:rPr>
          <w:rtl/>
        </w:rPr>
      </w:pPr>
      <w:bookmarkStart w:id="7" w:name="LGS_Subject"/>
      <w:r>
        <w:rPr>
          <w:rFonts w:hint="cs"/>
          <w:rtl/>
        </w:rPr>
        <w:t xml:space="preserve">הצעת חוק איסור הפליה במוצרים, בשירותים ובכניסה למקומות בידור ולמקומות ציבוריים </w:t>
      </w:r>
      <w:r w:rsidR="00312810">
        <w:rPr>
          <w:rtl/>
        </w:rPr>
        <w:br/>
      </w:r>
      <w:r>
        <w:rPr>
          <w:rFonts w:hint="cs"/>
          <w:rtl/>
        </w:rPr>
        <w:t xml:space="preserve">(תיקון – איסור הפליה מחמת מקום מגורים), </w:t>
      </w:r>
      <w:r w:rsidR="002D0F56">
        <w:rPr>
          <w:rFonts w:hint="cs"/>
          <w:rtl/>
        </w:rPr>
        <w:t>ה</w:t>
      </w:r>
      <w:r>
        <w:rPr>
          <w:rFonts w:hint="cs"/>
          <w:rtl/>
        </w:rPr>
        <w:t>תשע"ה</w:t>
      </w:r>
      <w:r w:rsidR="007D3ECF">
        <w:rPr>
          <w:rFonts w:hint="eastAsia"/>
          <w:rtl/>
        </w:rPr>
        <w:t>–</w:t>
      </w:r>
      <w:r>
        <w:rPr>
          <w:rFonts w:hint="cs"/>
          <w:rtl/>
        </w:rPr>
        <w:t>2015</w:t>
      </w:r>
      <w:bookmarkEnd w:id="7"/>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24"/>
        <w:gridCol w:w="5895"/>
      </w:tblGrid>
      <w:tr w:rsidR="00317DE3" w14:paraId="5D675EFD" w14:textId="77777777" w:rsidTr="00312810">
        <w:trPr>
          <w:cantSplit/>
        </w:trPr>
        <w:tc>
          <w:tcPr>
            <w:tcW w:w="1871" w:type="dxa"/>
            <w:tcMar>
              <w:top w:w="91" w:type="dxa"/>
              <w:left w:w="0" w:type="dxa"/>
              <w:bottom w:w="91" w:type="dxa"/>
              <w:right w:w="0" w:type="dxa"/>
            </w:tcMar>
            <w:hideMark/>
          </w:tcPr>
          <w:p w14:paraId="59131551" w14:textId="77777777" w:rsidR="00317DE3" w:rsidRDefault="00317DE3">
            <w:pPr>
              <w:pStyle w:val="TableSideHeading"/>
            </w:pPr>
            <w:r>
              <w:rPr>
                <w:rFonts w:hint="cs"/>
                <w:rtl/>
              </w:rPr>
              <w:t>תיקון סעיף 3</w:t>
            </w:r>
          </w:p>
        </w:tc>
        <w:tc>
          <w:tcPr>
            <w:tcW w:w="624" w:type="dxa"/>
            <w:tcMar>
              <w:top w:w="91" w:type="dxa"/>
              <w:left w:w="0" w:type="dxa"/>
              <w:bottom w:w="91" w:type="dxa"/>
              <w:right w:w="0" w:type="dxa"/>
            </w:tcMar>
            <w:hideMark/>
          </w:tcPr>
          <w:p w14:paraId="4C25AA1A" w14:textId="77777777" w:rsidR="00317DE3" w:rsidRDefault="00317DE3">
            <w:pPr>
              <w:pStyle w:val="TableText"/>
            </w:pPr>
            <w:r>
              <w:rPr>
                <w:rFonts w:hint="cs"/>
                <w:rtl/>
              </w:rPr>
              <w:t>1.</w:t>
            </w:r>
          </w:p>
        </w:tc>
        <w:tc>
          <w:tcPr>
            <w:tcW w:w="7143" w:type="dxa"/>
            <w:gridSpan w:val="3"/>
            <w:tcMar>
              <w:top w:w="91" w:type="dxa"/>
              <w:left w:w="0" w:type="dxa"/>
              <w:bottom w:w="91" w:type="dxa"/>
              <w:right w:w="0" w:type="dxa"/>
            </w:tcMar>
            <w:hideMark/>
          </w:tcPr>
          <w:p w14:paraId="5BFB93F1" w14:textId="77777777" w:rsidR="00317DE3" w:rsidRDefault="00317DE3" w:rsidP="00312810">
            <w:pPr>
              <w:pStyle w:val="TableBlock"/>
            </w:pPr>
            <w:r>
              <w:rPr>
                <w:rFonts w:hint="cs"/>
                <w:rtl/>
              </w:rPr>
              <w:t>בחוק איסור הפליה במוצרים, בשירותים ובכניסה למקומות בידור ולמקומות ציבוריים, התשס"א–2000</w:t>
            </w:r>
            <w:r>
              <w:rPr>
                <w:rFonts w:ascii="Times New Roman" w:hAnsi="Times New Roman" w:cs="Times New Roman"/>
                <w:rtl/>
              </w:rPr>
              <w:t>‏</w:t>
            </w:r>
            <w:r>
              <w:rPr>
                <w:rStyle w:val="a6"/>
                <w:rtl/>
              </w:rPr>
              <w:footnoteReference w:id="2"/>
            </w:r>
            <w:r>
              <w:rPr>
                <w:rFonts w:hint="cs"/>
                <w:rtl/>
              </w:rPr>
              <w:t>, בסעיף 3, אחרי סעיף קטן (א) יבוא:</w:t>
            </w:r>
          </w:p>
        </w:tc>
      </w:tr>
      <w:tr w:rsidR="00317DE3" w14:paraId="0E89DED7" w14:textId="77777777" w:rsidTr="00312810">
        <w:trPr>
          <w:cantSplit/>
        </w:trPr>
        <w:tc>
          <w:tcPr>
            <w:tcW w:w="1871" w:type="dxa"/>
            <w:tcMar>
              <w:top w:w="91" w:type="dxa"/>
              <w:left w:w="0" w:type="dxa"/>
              <w:bottom w:w="91" w:type="dxa"/>
              <w:right w:w="0" w:type="dxa"/>
            </w:tcMar>
          </w:tcPr>
          <w:p w14:paraId="61B3F2F7" w14:textId="77777777" w:rsidR="00317DE3" w:rsidRDefault="00317DE3">
            <w:pPr>
              <w:pStyle w:val="TableSideHeading"/>
            </w:pPr>
          </w:p>
        </w:tc>
        <w:tc>
          <w:tcPr>
            <w:tcW w:w="624" w:type="dxa"/>
            <w:tcMar>
              <w:top w:w="91" w:type="dxa"/>
              <w:left w:w="0" w:type="dxa"/>
              <w:bottom w:w="91" w:type="dxa"/>
              <w:right w:w="0" w:type="dxa"/>
            </w:tcMar>
          </w:tcPr>
          <w:p w14:paraId="4F7CCC84" w14:textId="77777777" w:rsidR="00317DE3" w:rsidRDefault="00317DE3">
            <w:pPr>
              <w:pStyle w:val="TableText"/>
            </w:pPr>
          </w:p>
        </w:tc>
        <w:tc>
          <w:tcPr>
            <w:tcW w:w="624" w:type="dxa"/>
            <w:tcMar>
              <w:top w:w="91" w:type="dxa"/>
              <w:left w:w="0" w:type="dxa"/>
              <w:bottom w:w="91" w:type="dxa"/>
              <w:right w:w="0" w:type="dxa"/>
            </w:tcMar>
            <w:hideMark/>
          </w:tcPr>
          <w:p w14:paraId="01BEB52E" w14:textId="77777777" w:rsidR="00317DE3" w:rsidRDefault="00317DE3">
            <w:pPr>
              <w:pStyle w:val="TableText"/>
              <w:ind w:right="0"/>
              <w:jc w:val="both"/>
            </w:pPr>
            <w:r>
              <w:rPr>
                <w:rFonts w:hint="cs"/>
                <w:rtl/>
              </w:rPr>
              <w:t>"(א1)</w:t>
            </w:r>
          </w:p>
        </w:tc>
        <w:tc>
          <w:tcPr>
            <w:tcW w:w="6519" w:type="dxa"/>
            <w:gridSpan w:val="2"/>
            <w:tcMar>
              <w:top w:w="91" w:type="dxa"/>
              <w:left w:w="0" w:type="dxa"/>
              <w:bottom w:w="91" w:type="dxa"/>
              <w:right w:w="0" w:type="dxa"/>
            </w:tcMar>
            <w:hideMark/>
          </w:tcPr>
          <w:p w14:paraId="0C39554B" w14:textId="77777777" w:rsidR="00317DE3" w:rsidRDefault="00317DE3" w:rsidP="00312810">
            <w:pPr>
              <w:pStyle w:val="TableBlock"/>
            </w:pPr>
            <w:r>
              <w:rPr>
                <w:rFonts w:hint="cs"/>
                <w:rtl/>
              </w:rPr>
              <w:t>(1)</w:t>
            </w:r>
            <w:r>
              <w:rPr>
                <w:rFonts w:hint="cs"/>
                <w:rtl/>
              </w:rPr>
              <w:tab/>
              <w:t xml:space="preserve">מי שעיסוקו בהספקת מוצר או שירות ציבורי או בהפעלת מקום ציבורי, לא יפלה בהספקת המוצר או השירות הציבורי במקום העסק או במתן הכניסה למקום הציבורי או במתן שירות במקום הציבורי, מחמת מקום מגורים. </w:t>
            </w:r>
          </w:p>
        </w:tc>
      </w:tr>
      <w:tr w:rsidR="00317DE3" w14:paraId="50514F2B" w14:textId="77777777" w:rsidTr="00312810">
        <w:trPr>
          <w:cantSplit/>
        </w:trPr>
        <w:tc>
          <w:tcPr>
            <w:tcW w:w="1871" w:type="dxa"/>
            <w:tcMar>
              <w:top w:w="91" w:type="dxa"/>
              <w:left w:w="0" w:type="dxa"/>
              <w:bottom w:w="91" w:type="dxa"/>
              <w:right w:w="0" w:type="dxa"/>
            </w:tcMar>
          </w:tcPr>
          <w:p w14:paraId="5A36983D" w14:textId="77777777" w:rsidR="00317DE3" w:rsidRDefault="00317DE3">
            <w:pPr>
              <w:pStyle w:val="TableSideHeading"/>
            </w:pPr>
          </w:p>
        </w:tc>
        <w:tc>
          <w:tcPr>
            <w:tcW w:w="624" w:type="dxa"/>
            <w:tcMar>
              <w:top w:w="91" w:type="dxa"/>
              <w:left w:w="0" w:type="dxa"/>
              <w:bottom w:w="91" w:type="dxa"/>
              <w:right w:w="0" w:type="dxa"/>
            </w:tcMar>
          </w:tcPr>
          <w:p w14:paraId="7B7B4B50" w14:textId="77777777" w:rsidR="00317DE3" w:rsidRDefault="00317DE3">
            <w:pPr>
              <w:pStyle w:val="TableText"/>
            </w:pPr>
          </w:p>
        </w:tc>
        <w:tc>
          <w:tcPr>
            <w:tcW w:w="624" w:type="dxa"/>
            <w:tcMar>
              <w:top w:w="91" w:type="dxa"/>
              <w:left w:w="0" w:type="dxa"/>
              <w:bottom w:w="91" w:type="dxa"/>
              <w:right w:w="0" w:type="dxa"/>
            </w:tcMar>
          </w:tcPr>
          <w:p w14:paraId="44053AEB" w14:textId="77777777" w:rsidR="00317DE3" w:rsidRDefault="00317DE3">
            <w:pPr>
              <w:pStyle w:val="TableText"/>
            </w:pPr>
          </w:p>
        </w:tc>
        <w:tc>
          <w:tcPr>
            <w:tcW w:w="624" w:type="dxa"/>
            <w:tcMar>
              <w:top w:w="91" w:type="dxa"/>
              <w:left w:w="0" w:type="dxa"/>
              <w:bottom w:w="91" w:type="dxa"/>
              <w:right w:w="0" w:type="dxa"/>
            </w:tcMar>
            <w:hideMark/>
          </w:tcPr>
          <w:p w14:paraId="17B210C8" w14:textId="77777777" w:rsidR="00317DE3" w:rsidRDefault="00317DE3">
            <w:pPr>
              <w:pStyle w:val="TableText"/>
            </w:pPr>
            <w:r>
              <w:rPr>
                <w:rFonts w:hint="cs"/>
                <w:rtl/>
              </w:rPr>
              <w:t>(2)</w:t>
            </w:r>
          </w:p>
        </w:tc>
        <w:tc>
          <w:tcPr>
            <w:tcW w:w="5895" w:type="dxa"/>
            <w:tcMar>
              <w:top w:w="91" w:type="dxa"/>
              <w:left w:w="0" w:type="dxa"/>
              <w:bottom w:w="91" w:type="dxa"/>
              <w:right w:w="0" w:type="dxa"/>
            </w:tcMar>
            <w:hideMark/>
          </w:tcPr>
          <w:p w14:paraId="253A801B" w14:textId="48C359F3" w:rsidR="00EE5B36" w:rsidRDefault="00317DE3" w:rsidP="00312810">
            <w:pPr>
              <w:pStyle w:val="TableBlock"/>
            </w:pPr>
            <w:r>
              <w:rPr>
                <w:rFonts w:hint="cs"/>
                <w:rtl/>
              </w:rPr>
              <w:t>(א)</w:t>
            </w:r>
            <w:r>
              <w:rPr>
                <w:rFonts w:hint="cs"/>
                <w:rtl/>
              </w:rPr>
              <w:tab/>
              <w:t>בלי לגרוע מהוראות פסקה (1), מי שעיסוקו בהספקת מוצר או שירות ציבורי והוא מעסיק למעלה ממאה עובדים, לא יפלה בהספקת המוצר או השירות הציבורי מחוץ למקום העסק בין צרכנים הנמצאים במרחק דומה ממקום העסק; שר המשפטים, באישור ועדת הכלכלה של הכנסת, רשאי לקבוע סוגי מוצרים ושירותים שלגביהם לא יחולו הוראות פסקה זו.</w:t>
            </w:r>
          </w:p>
        </w:tc>
      </w:tr>
      <w:tr w:rsidR="00317DE3" w14:paraId="0149A720" w14:textId="77777777" w:rsidTr="00312810">
        <w:trPr>
          <w:cantSplit/>
        </w:trPr>
        <w:tc>
          <w:tcPr>
            <w:tcW w:w="1871" w:type="dxa"/>
            <w:tcMar>
              <w:top w:w="91" w:type="dxa"/>
              <w:left w:w="0" w:type="dxa"/>
              <w:bottom w:w="91" w:type="dxa"/>
              <w:right w:w="0" w:type="dxa"/>
            </w:tcMar>
          </w:tcPr>
          <w:p w14:paraId="5A5709C6" w14:textId="77777777" w:rsidR="00317DE3" w:rsidRDefault="00317DE3">
            <w:pPr>
              <w:pStyle w:val="TableSideHeading"/>
            </w:pPr>
          </w:p>
        </w:tc>
        <w:tc>
          <w:tcPr>
            <w:tcW w:w="624" w:type="dxa"/>
            <w:tcMar>
              <w:top w:w="91" w:type="dxa"/>
              <w:left w:w="0" w:type="dxa"/>
              <w:bottom w:w="91" w:type="dxa"/>
              <w:right w:w="0" w:type="dxa"/>
            </w:tcMar>
          </w:tcPr>
          <w:p w14:paraId="581ED302" w14:textId="77777777" w:rsidR="00317DE3" w:rsidRDefault="00317DE3">
            <w:pPr>
              <w:pStyle w:val="TableText"/>
            </w:pPr>
          </w:p>
        </w:tc>
        <w:tc>
          <w:tcPr>
            <w:tcW w:w="624" w:type="dxa"/>
            <w:tcMar>
              <w:top w:w="91" w:type="dxa"/>
              <w:left w:w="0" w:type="dxa"/>
              <w:bottom w:w="91" w:type="dxa"/>
              <w:right w:w="0" w:type="dxa"/>
            </w:tcMar>
          </w:tcPr>
          <w:p w14:paraId="3191EB03" w14:textId="77777777" w:rsidR="00317DE3" w:rsidRDefault="00317DE3">
            <w:pPr>
              <w:pStyle w:val="TableText"/>
            </w:pPr>
          </w:p>
        </w:tc>
        <w:tc>
          <w:tcPr>
            <w:tcW w:w="624" w:type="dxa"/>
            <w:tcMar>
              <w:top w:w="91" w:type="dxa"/>
              <w:left w:w="0" w:type="dxa"/>
              <w:bottom w:w="91" w:type="dxa"/>
              <w:right w:w="0" w:type="dxa"/>
            </w:tcMar>
          </w:tcPr>
          <w:p w14:paraId="45F1B286" w14:textId="77777777" w:rsidR="00317DE3" w:rsidRDefault="00317DE3">
            <w:pPr>
              <w:pStyle w:val="TableText"/>
            </w:pPr>
          </w:p>
        </w:tc>
        <w:tc>
          <w:tcPr>
            <w:tcW w:w="5895" w:type="dxa"/>
            <w:tcMar>
              <w:top w:w="91" w:type="dxa"/>
              <w:left w:w="0" w:type="dxa"/>
              <w:bottom w:w="91" w:type="dxa"/>
              <w:right w:w="0" w:type="dxa"/>
            </w:tcMar>
            <w:hideMark/>
          </w:tcPr>
          <w:p w14:paraId="645A8FC0" w14:textId="4E4BA7CC" w:rsidR="00317DE3" w:rsidRDefault="00317DE3" w:rsidP="00312810">
            <w:pPr>
              <w:pStyle w:val="TableBlock"/>
            </w:pPr>
            <w:r>
              <w:rPr>
                <w:rFonts w:hint="cs"/>
                <w:rtl/>
              </w:rPr>
              <w:t>(ב)</w:t>
            </w:r>
            <w:r>
              <w:rPr>
                <w:rFonts w:hint="cs"/>
                <w:rtl/>
              </w:rPr>
              <w:tab/>
              <w:t>בלי לגרוע מהוראות סעיף קטן (ד), אין רואים הפליה לפי פסקה זו כאשר אי</w:t>
            </w:r>
            <w:r w:rsidR="002D0F56">
              <w:rPr>
                <w:rFonts w:hint="cs"/>
                <w:rtl/>
              </w:rPr>
              <w:t xml:space="preserve"> </w:t>
            </w:r>
            <w:r>
              <w:rPr>
                <w:rFonts w:hint="cs"/>
                <w:rtl/>
              </w:rPr>
              <w:t>הספקת המוצר או השירות הציבורי נובעת ממניעה ביטחונית לספק את המוצר או השירות הציבורי או מהוצאות בלתי סבירות הכרוכות בהספקתם בנסיבות העניין."</w:t>
            </w:r>
          </w:p>
        </w:tc>
      </w:tr>
    </w:tbl>
    <w:p w14:paraId="7F6961CA" w14:textId="77777777" w:rsidR="002D1EE3" w:rsidRDefault="002D1EE3" w:rsidP="002D1EE3">
      <w:pPr>
        <w:pStyle w:val="HeadDivreiHesber"/>
        <w:rPr>
          <w:rtl/>
        </w:rPr>
      </w:pPr>
      <w:r w:rsidRPr="0027450A">
        <w:rPr>
          <w:rFonts w:hint="cs"/>
          <w:rtl/>
        </w:rPr>
        <w:t>דברי הסבר</w:t>
      </w:r>
    </w:p>
    <w:p w14:paraId="12D47476" w14:textId="77777777" w:rsidR="004B1972" w:rsidRPr="004B1972" w:rsidRDefault="004B1972" w:rsidP="004B1972">
      <w:pPr>
        <w:snapToGrid w:val="0"/>
        <w:spacing w:before="0" w:line="360" w:lineRule="auto"/>
        <w:textAlignment w:val="auto"/>
        <w:rPr>
          <w:rFonts w:ascii="Arial" w:eastAsia="Arial Unicode MS" w:hAnsi="Arial" w:cs="David"/>
          <w:spacing w:val="0"/>
          <w:sz w:val="20"/>
          <w:szCs w:val="26"/>
        </w:rPr>
      </w:pPr>
      <w:r w:rsidRPr="004B1972">
        <w:rPr>
          <w:rFonts w:ascii="Arial" w:eastAsia="Arial Unicode MS" w:hAnsi="Arial" w:cs="David" w:hint="cs"/>
          <w:spacing w:val="0"/>
          <w:sz w:val="20"/>
          <w:szCs w:val="26"/>
          <w:rtl/>
        </w:rPr>
        <w:t>סעיף 3 לחוק איסור הפליה במוצרים, בשירותים ובכניסה למקומות בידור ולמקומות ציבוריים, התשס"א–2000 (להלן – החוק), קובע בין היתר איסור הפליה בהספקת מוצרים או שירותים ציבוריים מחמת עילות שונות, ובהן גזע, דת, ארץ מוצא ומין.</w:t>
      </w:r>
    </w:p>
    <w:p w14:paraId="7B849793" w14:textId="2B5CACE2" w:rsidR="004B1972" w:rsidRPr="004B1972" w:rsidRDefault="004B1972" w:rsidP="00F26CFF">
      <w:pPr>
        <w:snapToGrid w:val="0"/>
        <w:spacing w:before="0" w:line="360" w:lineRule="auto"/>
        <w:textAlignment w:val="auto"/>
        <w:rPr>
          <w:rFonts w:ascii="Arial" w:eastAsia="Arial Unicode MS" w:hAnsi="Arial" w:cs="David"/>
          <w:spacing w:val="0"/>
          <w:sz w:val="20"/>
          <w:szCs w:val="26"/>
          <w:rtl/>
        </w:rPr>
      </w:pPr>
      <w:r w:rsidRPr="004B1972">
        <w:rPr>
          <w:rFonts w:ascii="Arial" w:eastAsia="Arial Unicode MS" w:hAnsi="Arial" w:cs="David" w:hint="cs"/>
          <w:spacing w:val="0"/>
          <w:sz w:val="20"/>
          <w:szCs w:val="26"/>
          <w:rtl/>
        </w:rPr>
        <w:t xml:space="preserve">מטרת הצעת החוק לנסות ולמנוע את הסירוב, לעתים, מצד מי שעיסוקם בהספקת מוצרים או </w:t>
      </w:r>
      <w:r w:rsidRPr="004B1972">
        <w:rPr>
          <w:rFonts w:ascii="Arial" w:eastAsia="Arial Unicode MS" w:hAnsi="Arial" w:cs="David" w:hint="cs"/>
          <w:spacing w:val="0"/>
          <w:sz w:val="20"/>
          <w:szCs w:val="26"/>
          <w:rtl/>
        </w:rPr>
        <w:lastRenderedPageBreak/>
        <w:t>שירותים ציבוריים כהגדרתם בסעיף 2 לחוק, לספק את אותם מוצרים או שירותים בשל מקום המגורים של הצרכן או המקום שבו הוא מעוניין לקבל את המוצר או השירות. לפיכך, מוצע להוסיף לעילות ההפליה הקבועות בסעיף 3 לחוק עילה שעניינה הפליה מחמת מקום מגורים, ולקבוע כי מי שעיסוקו בהספקת מוצר או שירות ציבורי לא יסרב לספק את אותו מוצר או שירות במקום עסקו (לרבות במחסניו ובכל מקום אחר שאליו צרכנים מגיעים כדי לרכוש או לאסוף את המוצר או לקבל את השירות), וכן לא ימנע כניסה למקום ציבורי או מתן שירות במקום הציבורי</w:t>
      </w:r>
      <w:r w:rsidR="00EE5B36">
        <w:rPr>
          <w:rFonts w:ascii="Arial" w:eastAsia="Arial Unicode MS" w:hAnsi="Arial" w:cs="David" w:hint="cs"/>
          <w:spacing w:val="0"/>
          <w:sz w:val="20"/>
          <w:szCs w:val="26"/>
          <w:rtl/>
        </w:rPr>
        <w:t>,</w:t>
      </w:r>
      <w:r w:rsidRPr="004B1972">
        <w:rPr>
          <w:rFonts w:ascii="Arial" w:eastAsia="Arial Unicode MS" w:hAnsi="Arial" w:cs="David" w:hint="cs"/>
          <w:spacing w:val="0"/>
          <w:sz w:val="20"/>
          <w:szCs w:val="26"/>
          <w:rtl/>
        </w:rPr>
        <w:t xml:space="preserve"> מחמת מקום מגורי</w:t>
      </w:r>
      <w:r w:rsidR="00EE5B36">
        <w:rPr>
          <w:rFonts w:ascii="Arial" w:eastAsia="Arial Unicode MS" w:hAnsi="Arial" w:cs="David" w:hint="cs"/>
          <w:spacing w:val="0"/>
          <w:sz w:val="20"/>
          <w:szCs w:val="26"/>
          <w:rtl/>
        </w:rPr>
        <w:t>ם</w:t>
      </w:r>
      <w:r w:rsidRPr="004B1972">
        <w:rPr>
          <w:rFonts w:ascii="Arial" w:eastAsia="Arial Unicode MS" w:hAnsi="Arial" w:cs="David" w:hint="cs"/>
          <w:spacing w:val="0"/>
          <w:sz w:val="20"/>
          <w:szCs w:val="26"/>
          <w:rtl/>
        </w:rPr>
        <w:t>.</w:t>
      </w:r>
    </w:p>
    <w:p w14:paraId="28B7D1E6" w14:textId="0E4D22A9" w:rsidR="004B1972" w:rsidRPr="004B1972" w:rsidRDefault="004B1972" w:rsidP="004B1972">
      <w:pPr>
        <w:snapToGrid w:val="0"/>
        <w:spacing w:before="0" w:line="360" w:lineRule="auto"/>
        <w:textAlignment w:val="auto"/>
        <w:rPr>
          <w:rFonts w:ascii="Arial" w:eastAsia="Arial Unicode MS" w:hAnsi="Arial" w:cs="David"/>
          <w:spacing w:val="0"/>
          <w:sz w:val="20"/>
          <w:szCs w:val="26"/>
          <w:rtl/>
        </w:rPr>
      </w:pPr>
      <w:r w:rsidRPr="004B1972">
        <w:rPr>
          <w:rFonts w:ascii="Arial" w:eastAsia="Arial Unicode MS" w:hAnsi="Arial" w:cs="David" w:hint="cs"/>
          <w:spacing w:val="0"/>
          <w:sz w:val="20"/>
          <w:szCs w:val="26"/>
          <w:rtl/>
        </w:rPr>
        <w:t xml:space="preserve">נוסף על כך, מוצע לאסור על עוסק להפלות בהספקת המוצר או השירות הציבורי מחוץ למקום העסק, בדרך כלל במעונו של צרכן, בין צרכנים המתגוררים במרחק דומה, ובלבד שלא קיימת מניעה ביטחונית להספקת המוצר או השירות או שאין בכך משום הטלת הוצאות בלתי </w:t>
      </w:r>
      <w:r w:rsidR="00312810">
        <w:rPr>
          <w:rFonts w:ascii="Arial" w:eastAsia="Arial Unicode MS" w:hAnsi="Arial" w:cs="David" w:hint="cs"/>
          <w:spacing w:val="0"/>
          <w:sz w:val="20"/>
          <w:szCs w:val="26"/>
          <w:rtl/>
        </w:rPr>
        <w:t xml:space="preserve">סבירות בנסיבות העניין. עם זאת, </w:t>
      </w:r>
      <w:r w:rsidRPr="004B1972">
        <w:rPr>
          <w:rFonts w:ascii="Arial" w:eastAsia="Arial Unicode MS" w:hAnsi="Arial" w:cs="David" w:hint="cs"/>
          <w:spacing w:val="0"/>
          <w:sz w:val="20"/>
          <w:szCs w:val="26"/>
          <w:rtl/>
        </w:rPr>
        <w:t>נוכח הקשיים החוקתיים העלולים להתעורר עקב הצעה זו, מוצע להגבילה לעוסק שמעסיק למעלה ממאה עובדים.</w:t>
      </w:r>
    </w:p>
    <w:p w14:paraId="2EFC22D2" w14:textId="77777777" w:rsidR="004B1972" w:rsidRPr="004B1972" w:rsidRDefault="004B1972" w:rsidP="004B1972">
      <w:pPr>
        <w:snapToGrid w:val="0"/>
        <w:spacing w:before="0" w:line="360" w:lineRule="auto"/>
        <w:textAlignment w:val="auto"/>
        <w:rPr>
          <w:rFonts w:ascii="Arial" w:eastAsia="Arial Unicode MS" w:hAnsi="Arial" w:cs="David"/>
          <w:spacing w:val="0"/>
          <w:sz w:val="20"/>
          <w:szCs w:val="26"/>
          <w:rtl/>
        </w:rPr>
      </w:pPr>
      <w:r w:rsidRPr="004B1972">
        <w:rPr>
          <w:rFonts w:ascii="Arial" w:eastAsia="Arial Unicode MS" w:hAnsi="Arial" w:cs="David" w:hint="cs"/>
          <w:spacing w:val="0"/>
          <w:sz w:val="20"/>
          <w:szCs w:val="26"/>
          <w:rtl/>
        </w:rPr>
        <w:t>לבסוף, מוצע להסמיך את שר המשפטים לקבוע, באישור ועדת הכלכלה של הכנסת, סוגי מוצרים ושירותים ציבוריים שלגביהם לא יחול איסור ההפליה מחמת מקום מגורים בהספקת מוצר או שירות ציבורי מחוץ למקום העסק או למקום ההספקה.</w:t>
      </w:r>
    </w:p>
    <w:p w14:paraId="19D0A9F5" w14:textId="11896C11" w:rsidR="004B1972" w:rsidRPr="004B1972" w:rsidRDefault="004B1972" w:rsidP="002A12A5">
      <w:pPr>
        <w:snapToGrid w:val="0"/>
        <w:spacing w:before="0" w:line="360" w:lineRule="auto"/>
        <w:textAlignment w:val="auto"/>
        <w:rPr>
          <w:rFonts w:ascii="Arial" w:eastAsia="Arial Unicode MS" w:hAnsi="Arial" w:cs="David"/>
          <w:spacing w:val="0"/>
          <w:sz w:val="20"/>
          <w:szCs w:val="26"/>
          <w:rtl/>
        </w:rPr>
      </w:pPr>
      <w:r w:rsidRPr="004B1972">
        <w:rPr>
          <w:rFonts w:ascii="Arial" w:eastAsia="Arial Unicode MS" w:hAnsi="Arial" w:cs="David" w:hint="cs"/>
          <w:spacing w:val="0"/>
          <w:sz w:val="20"/>
          <w:szCs w:val="26"/>
          <w:rtl/>
        </w:rPr>
        <w:t>הצעת חוק</w:t>
      </w:r>
      <w:r w:rsidR="00312810">
        <w:rPr>
          <w:rFonts w:ascii="Arial" w:eastAsia="Arial Unicode MS" w:hAnsi="Arial" w:cs="David" w:hint="cs"/>
          <w:spacing w:val="0"/>
          <w:sz w:val="20"/>
          <w:szCs w:val="26"/>
          <w:rtl/>
        </w:rPr>
        <w:t xml:space="preserve"> זו מבוססת על נוסח הצעת החוק שנ</w:t>
      </w:r>
      <w:r w:rsidRPr="004B1972">
        <w:rPr>
          <w:rFonts w:ascii="Arial" w:eastAsia="Arial Unicode MS" w:hAnsi="Arial" w:cs="David" w:hint="cs"/>
          <w:spacing w:val="0"/>
          <w:sz w:val="20"/>
          <w:szCs w:val="26"/>
          <w:rtl/>
        </w:rPr>
        <w:t xml:space="preserve">דונה בוועדת הכלכלה </w:t>
      </w:r>
      <w:r w:rsidR="002A12A5">
        <w:rPr>
          <w:rFonts w:ascii="Arial" w:eastAsia="Arial Unicode MS" w:hAnsi="Arial" w:cs="David" w:hint="cs"/>
          <w:spacing w:val="0"/>
          <w:sz w:val="20"/>
          <w:szCs w:val="26"/>
          <w:rtl/>
        </w:rPr>
        <w:t>ב</w:t>
      </w:r>
      <w:bookmarkStart w:id="8" w:name="_GoBack"/>
      <w:bookmarkEnd w:id="8"/>
      <w:r w:rsidRPr="004B1972">
        <w:rPr>
          <w:rFonts w:ascii="Arial" w:eastAsia="Arial Unicode MS" w:hAnsi="Arial" w:cs="David" w:hint="cs"/>
          <w:spacing w:val="0"/>
          <w:sz w:val="20"/>
          <w:szCs w:val="26"/>
          <w:rtl/>
        </w:rPr>
        <w:t>כנסת השמונה-עשרה ופורסמה לקריאה הראשונה</w:t>
      </w:r>
      <w:r w:rsidR="00312810">
        <w:rPr>
          <w:rFonts w:ascii="Arial" w:eastAsia="Arial Unicode MS" w:hAnsi="Arial" w:cs="David" w:hint="cs"/>
          <w:spacing w:val="0"/>
          <w:sz w:val="20"/>
          <w:szCs w:val="26"/>
          <w:rtl/>
        </w:rPr>
        <w:t xml:space="preserve"> (כ-499)</w:t>
      </w:r>
      <w:r w:rsidRPr="004B1972">
        <w:rPr>
          <w:rFonts w:ascii="Arial" w:eastAsia="Arial Unicode MS" w:hAnsi="Arial" w:cs="David" w:hint="cs"/>
          <w:spacing w:val="0"/>
          <w:sz w:val="20"/>
          <w:szCs w:val="26"/>
          <w:rtl/>
        </w:rPr>
        <w:t>.</w:t>
      </w:r>
    </w:p>
    <w:p w14:paraId="7F6961CB" w14:textId="7C80A0EB" w:rsidR="00E13C27" w:rsidRDefault="004B1972" w:rsidP="004B1972">
      <w:pPr>
        <w:pStyle w:val="Hesber"/>
        <w:rPr>
          <w:snapToGrid/>
          <w:rtl/>
        </w:rPr>
      </w:pPr>
      <w:r w:rsidRPr="004B1972">
        <w:rPr>
          <w:snapToGrid/>
          <w:rtl/>
        </w:rPr>
        <w:t>הצעת חוק דומה בעיקרה הונחה על שולחן הכנסת השמונה-עשרה על ידי חבר הכנסת אורי אורבך (פ/2848/18).</w:t>
      </w:r>
    </w:p>
    <w:p w14:paraId="60642231" w14:textId="1E3FFA01" w:rsidR="004B1972" w:rsidRDefault="004B1972" w:rsidP="004B1972">
      <w:pPr>
        <w:pStyle w:val="Hesber"/>
        <w:rPr>
          <w:rFonts w:hint="cs"/>
          <w:snapToGrid/>
          <w:rtl/>
        </w:rPr>
      </w:pPr>
      <w:r>
        <w:rPr>
          <w:rFonts w:hint="cs"/>
          <w:snapToGrid/>
          <w:rtl/>
        </w:rPr>
        <w:t>הצעת חוק זהה הונחה על שולחן הכנסת התשע-עשרה על ידי חבר</w:t>
      </w:r>
      <w:r w:rsidR="00312810">
        <w:rPr>
          <w:rFonts w:hint="cs"/>
          <w:snapToGrid/>
          <w:rtl/>
        </w:rPr>
        <w:t>ת</w:t>
      </w:r>
      <w:r>
        <w:rPr>
          <w:rFonts w:hint="cs"/>
          <w:snapToGrid/>
          <w:rtl/>
        </w:rPr>
        <w:t xml:space="preserve"> הכנסת שולי מועלם</w:t>
      </w:r>
      <w:r w:rsidR="00312810">
        <w:rPr>
          <w:rFonts w:hint="cs"/>
          <w:snapToGrid/>
          <w:rtl/>
        </w:rPr>
        <w:t xml:space="preserve"> רפאלי</w:t>
      </w:r>
      <w:r w:rsidR="00A72ABD">
        <w:rPr>
          <w:rFonts w:hint="cs"/>
          <w:snapToGrid/>
          <w:rtl/>
        </w:rPr>
        <w:t xml:space="preserve"> </w:t>
      </w:r>
      <w:r>
        <w:rPr>
          <w:rFonts w:hint="cs"/>
          <w:snapToGrid/>
          <w:rtl/>
        </w:rPr>
        <w:t>(פ/1076/19)</w:t>
      </w:r>
      <w:r w:rsidR="00A72ABD">
        <w:rPr>
          <w:rFonts w:hint="cs"/>
          <w:snapToGrid/>
          <w:rtl/>
        </w:rPr>
        <w:t>.</w:t>
      </w:r>
    </w:p>
    <w:p w14:paraId="442A1A4E" w14:textId="77777777" w:rsidR="00312810" w:rsidRDefault="00312810" w:rsidP="004B1972">
      <w:pPr>
        <w:pStyle w:val="Hesber"/>
        <w:rPr>
          <w:rFonts w:hint="cs"/>
          <w:snapToGrid/>
          <w:rtl/>
        </w:rPr>
      </w:pPr>
    </w:p>
    <w:p w14:paraId="24EEE4BD" w14:textId="77777777" w:rsidR="00312810" w:rsidRDefault="00312810" w:rsidP="004B1972">
      <w:pPr>
        <w:pStyle w:val="Hesber"/>
        <w:rPr>
          <w:rFonts w:hint="cs"/>
          <w:snapToGrid/>
          <w:rtl/>
        </w:rPr>
      </w:pPr>
    </w:p>
    <w:p w14:paraId="5DE004DC" w14:textId="77777777" w:rsidR="00312810" w:rsidRDefault="00312810" w:rsidP="004B1972">
      <w:pPr>
        <w:pStyle w:val="Hesber"/>
        <w:rPr>
          <w:rFonts w:hint="cs"/>
          <w:snapToGrid/>
          <w:rtl/>
        </w:rPr>
      </w:pPr>
    </w:p>
    <w:p w14:paraId="548BE0A3" w14:textId="77777777" w:rsidR="00312810" w:rsidRPr="00557D2C" w:rsidRDefault="00312810" w:rsidP="007D273A">
      <w:pPr>
        <w:pStyle w:val="Hesber"/>
        <w:rPr>
          <w:rtl/>
        </w:rPr>
      </w:pPr>
      <w:r w:rsidRPr="00557D2C">
        <w:rPr>
          <w:rtl/>
        </w:rPr>
        <w:t>---------------------------------</w:t>
      </w:r>
    </w:p>
    <w:p w14:paraId="1535C03C" w14:textId="77777777" w:rsidR="00312810" w:rsidRPr="00557D2C" w:rsidRDefault="00312810" w:rsidP="007D273A">
      <w:pPr>
        <w:pStyle w:val="Hesber"/>
        <w:rPr>
          <w:rtl/>
        </w:rPr>
      </w:pPr>
      <w:r w:rsidRPr="00557D2C">
        <w:rPr>
          <w:rtl/>
        </w:rPr>
        <w:t>הוגשה ליו"ר הכנסת והסגנים</w:t>
      </w:r>
    </w:p>
    <w:p w14:paraId="4A1C6A4E" w14:textId="77777777" w:rsidR="00312810" w:rsidRPr="00557D2C" w:rsidRDefault="00312810" w:rsidP="007D273A">
      <w:pPr>
        <w:pStyle w:val="Hesber"/>
        <w:rPr>
          <w:rtl/>
        </w:rPr>
      </w:pPr>
      <w:r w:rsidRPr="00557D2C">
        <w:rPr>
          <w:rtl/>
        </w:rPr>
        <w:t>והונחה על שולחן הכנסת ביום</w:t>
      </w:r>
    </w:p>
    <w:p w14:paraId="14ABE5F4" w14:textId="576FB301" w:rsidR="00312810" w:rsidRPr="00312810" w:rsidRDefault="00312810" w:rsidP="00312810">
      <w:pPr>
        <w:pStyle w:val="Hesber"/>
        <w:rPr>
          <w:rtl/>
        </w:rPr>
      </w:pPr>
      <w:r>
        <w:rPr>
          <w:rFonts w:hint="cs"/>
          <w:rtl/>
        </w:rPr>
        <w:t>כ"ט</w:t>
      </w:r>
      <w:r w:rsidRPr="00557D2C">
        <w:rPr>
          <w:rFonts w:hint="cs"/>
          <w:rtl/>
        </w:rPr>
        <w:t xml:space="preserve"> באייר התשע"ה </w:t>
      </w:r>
      <w:r w:rsidRPr="00557D2C">
        <w:rPr>
          <w:rtl/>
        </w:rPr>
        <w:t>–</w:t>
      </w:r>
      <w:r>
        <w:rPr>
          <w:rFonts w:hint="cs"/>
          <w:rtl/>
        </w:rPr>
        <w:t xml:space="preserve"> 18.5.15</w:t>
      </w:r>
    </w:p>
    <w:sectPr w:rsidR="00312810" w:rsidRPr="00312810"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A12A5">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019D1919" w14:textId="77777777" w:rsidR="00317DE3" w:rsidRDefault="00317DE3" w:rsidP="00317DE3">
      <w:pPr>
        <w:pStyle w:val="a4"/>
      </w:pPr>
      <w:r>
        <w:rPr>
          <w:rStyle w:val="a6"/>
        </w:rPr>
        <w:footnoteRef/>
      </w:r>
      <w:r>
        <w:rPr>
          <w:rFonts w:hint="cs"/>
          <w:rtl/>
        </w:rPr>
        <w:t xml:space="preserve"> ס"ח התשס"א, עמ'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12A5"/>
    <w:rsid w:val="002A487D"/>
    <w:rsid w:val="002C2E29"/>
    <w:rsid w:val="002D0F56"/>
    <w:rsid w:val="002D1EE3"/>
    <w:rsid w:val="002F1D80"/>
    <w:rsid w:val="00312810"/>
    <w:rsid w:val="00317DE3"/>
    <w:rsid w:val="003232A2"/>
    <w:rsid w:val="00325C14"/>
    <w:rsid w:val="003710F6"/>
    <w:rsid w:val="00386E88"/>
    <w:rsid w:val="00396585"/>
    <w:rsid w:val="003D74A0"/>
    <w:rsid w:val="004033D8"/>
    <w:rsid w:val="004073F0"/>
    <w:rsid w:val="00412A7D"/>
    <w:rsid w:val="00416B4D"/>
    <w:rsid w:val="00417CFC"/>
    <w:rsid w:val="004B1972"/>
    <w:rsid w:val="004B24ED"/>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C3FA6"/>
    <w:rsid w:val="007D3ECF"/>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72AB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9176A"/>
    <w:rsid w:val="00CF1AA2"/>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E5B36"/>
    <w:rsid w:val="00EF3A3A"/>
    <w:rsid w:val="00F26CFF"/>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1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31281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312810"/>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1281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312810"/>
    <w:rPr>
      <w:sz w:val="36"/>
      <w:szCs w:val="52"/>
    </w:rPr>
  </w:style>
  <w:style w:type="paragraph" w:customStyle="1" w:styleId="Cover3-Haknesset">
    <w:name w:val="Cover 3-Haknesset"/>
    <w:basedOn w:val="Cover1-Reshumot"/>
    <w:rsid w:val="00312810"/>
    <w:rPr>
      <w:b/>
      <w:bCs/>
      <w:spacing w:val="60"/>
    </w:rPr>
  </w:style>
  <w:style w:type="paragraph" w:customStyle="1" w:styleId="Cover4-Date">
    <w:name w:val="Cover 4-Date"/>
    <w:basedOn w:val="a"/>
    <w:rsid w:val="0031281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1281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31281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312810"/>
    <w:pPr>
      <w:spacing w:before="120" w:after="120"/>
    </w:pPr>
    <w:rPr>
      <w:color w:val="FF0000"/>
      <w:w w:val="80"/>
    </w:rPr>
  </w:style>
  <w:style w:type="paragraph" w:styleId="a3">
    <w:name w:val="endnote text"/>
    <w:basedOn w:val="a"/>
    <w:semiHidden/>
    <w:rsid w:val="00312810"/>
    <w:pPr>
      <w:ind w:left="227" w:hanging="227"/>
    </w:pPr>
    <w:rPr>
      <w:sz w:val="14"/>
      <w:szCs w:val="22"/>
    </w:rPr>
  </w:style>
  <w:style w:type="paragraph" w:customStyle="1" w:styleId="TableText">
    <w:name w:val="Table Text"/>
    <w:basedOn w:val="a"/>
    <w:rsid w:val="0031281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312810"/>
  </w:style>
  <w:style w:type="paragraph" w:customStyle="1" w:styleId="TableBlock">
    <w:name w:val="Table Block"/>
    <w:basedOn w:val="TableText"/>
    <w:rsid w:val="00312810"/>
    <w:pPr>
      <w:ind w:right="0"/>
      <w:jc w:val="both"/>
    </w:pPr>
  </w:style>
  <w:style w:type="paragraph" w:customStyle="1" w:styleId="TableHead">
    <w:name w:val="Table Head"/>
    <w:basedOn w:val="TableText"/>
    <w:rsid w:val="0031281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12810"/>
  </w:style>
  <w:style w:type="paragraph" w:customStyle="1" w:styleId="Hesber">
    <w:name w:val="Hesber"/>
    <w:basedOn w:val="a"/>
    <w:rsid w:val="0031281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31281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312810"/>
    <w:rPr>
      <w:vertAlign w:val="superscript"/>
    </w:rPr>
  </w:style>
  <w:style w:type="paragraph" w:customStyle="1" w:styleId="HesberHeading">
    <w:name w:val="Hesber Heading"/>
    <w:basedOn w:val="Hesber"/>
    <w:rsid w:val="00312810"/>
    <w:pPr>
      <w:tabs>
        <w:tab w:val="left" w:pos="624"/>
        <w:tab w:val="left" w:pos="1247"/>
      </w:tabs>
      <w:ind w:firstLine="0"/>
    </w:pPr>
    <w:rPr>
      <w:b/>
      <w:bCs/>
    </w:rPr>
  </w:style>
  <w:style w:type="paragraph" w:customStyle="1" w:styleId="HesberWriters">
    <w:name w:val="Hesber Writers"/>
    <w:basedOn w:val="Hesber"/>
    <w:rsid w:val="00312810"/>
    <w:pPr>
      <w:spacing w:before="120" w:after="6000"/>
      <w:ind w:left="1418" w:firstLine="0"/>
      <w:jc w:val="right"/>
    </w:pPr>
    <w:rPr>
      <w:b/>
      <w:bCs/>
    </w:rPr>
  </w:style>
  <w:style w:type="paragraph" w:customStyle="1" w:styleId="Hesber1st">
    <w:name w:val="Hesber 1st"/>
    <w:basedOn w:val="Hesber"/>
    <w:rsid w:val="00312810"/>
    <w:pPr>
      <w:tabs>
        <w:tab w:val="left" w:pos="680"/>
        <w:tab w:val="left" w:pos="1020"/>
      </w:tabs>
      <w:ind w:firstLine="0"/>
    </w:pPr>
  </w:style>
  <w:style w:type="character" w:styleId="a7">
    <w:name w:val="endnote reference"/>
    <w:basedOn w:val="a0"/>
    <w:semiHidden/>
    <w:rsid w:val="00312810"/>
    <w:rPr>
      <w:vertAlign w:val="superscript"/>
    </w:rPr>
  </w:style>
  <w:style w:type="paragraph" w:customStyle="1" w:styleId="TableBlockOutdent">
    <w:name w:val="Table BlockOutdent"/>
    <w:basedOn w:val="TableBlock"/>
    <w:rsid w:val="00312810"/>
    <w:pPr>
      <w:ind w:left="624" w:hanging="624"/>
    </w:pPr>
  </w:style>
  <w:style w:type="paragraph" w:styleId="a8">
    <w:name w:val="header"/>
    <w:basedOn w:val="a"/>
    <w:rsid w:val="00312810"/>
    <w:pPr>
      <w:tabs>
        <w:tab w:val="center" w:pos="4153"/>
        <w:tab w:val="right" w:pos="8306"/>
      </w:tabs>
    </w:pPr>
  </w:style>
  <w:style w:type="paragraph" w:styleId="a9">
    <w:name w:val="footer"/>
    <w:basedOn w:val="a"/>
    <w:rsid w:val="00312810"/>
    <w:pPr>
      <w:tabs>
        <w:tab w:val="center" w:pos="4153"/>
        <w:tab w:val="right" w:pos="8306"/>
      </w:tabs>
    </w:pPr>
  </w:style>
  <w:style w:type="paragraph" w:customStyle="1" w:styleId="HeadDivreiHesber">
    <w:name w:val="Head DivreiHesber"/>
    <w:basedOn w:val="a"/>
    <w:rsid w:val="0031281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312810"/>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31281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17DE3"/>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1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31281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312810"/>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1281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312810"/>
    <w:rPr>
      <w:sz w:val="36"/>
      <w:szCs w:val="52"/>
    </w:rPr>
  </w:style>
  <w:style w:type="paragraph" w:customStyle="1" w:styleId="Cover3-Haknesset">
    <w:name w:val="Cover 3-Haknesset"/>
    <w:basedOn w:val="Cover1-Reshumot"/>
    <w:rsid w:val="00312810"/>
    <w:rPr>
      <w:b/>
      <w:bCs/>
      <w:spacing w:val="60"/>
    </w:rPr>
  </w:style>
  <w:style w:type="paragraph" w:customStyle="1" w:styleId="Cover4-Date">
    <w:name w:val="Cover 4-Date"/>
    <w:basedOn w:val="a"/>
    <w:rsid w:val="0031281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1281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31281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312810"/>
    <w:pPr>
      <w:spacing w:before="120" w:after="120"/>
    </w:pPr>
    <w:rPr>
      <w:color w:val="FF0000"/>
      <w:w w:val="80"/>
    </w:rPr>
  </w:style>
  <w:style w:type="paragraph" w:styleId="a3">
    <w:name w:val="endnote text"/>
    <w:basedOn w:val="a"/>
    <w:semiHidden/>
    <w:rsid w:val="00312810"/>
    <w:pPr>
      <w:ind w:left="227" w:hanging="227"/>
    </w:pPr>
    <w:rPr>
      <w:sz w:val="14"/>
      <w:szCs w:val="22"/>
    </w:rPr>
  </w:style>
  <w:style w:type="paragraph" w:customStyle="1" w:styleId="TableText">
    <w:name w:val="Table Text"/>
    <w:basedOn w:val="a"/>
    <w:rsid w:val="0031281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312810"/>
  </w:style>
  <w:style w:type="paragraph" w:customStyle="1" w:styleId="TableBlock">
    <w:name w:val="Table Block"/>
    <w:basedOn w:val="TableText"/>
    <w:rsid w:val="00312810"/>
    <w:pPr>
      <w:ind w:right="0"/>
      <w:jc w:val="both"/>
    </w:pPr>
  </w:style>
  <w:style w:type="paragraph" w:customStyle="1" w:styleId="TableHead">
    <w:name w:val="Table Head"/>
    <w:basedOn w:val="TableText"/>
    <w:rsid w:val="0031281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12810"/>
  </w:style>
  <w:style w:type="paragraph" w:customStyle="1" w:styleId="Hesber">
    <w:name w:val="Hesber"/>
    <w:basedOn w:val="a"/>
    <w:rsid w:val="0031281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31281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312810"/>
    <w:rPr>
      <w:vertAlign w:val="superscript"/>
    </w:rPr>
  </w:style>
  <w:style w:type="paragraph" w:customStyle="1" w:styleId="HesberHeading">
    <w:name w:val="Hesber Heading"/>
    <w:basedOn w:val="Hesber"/>
    <w:rsid w:val="00312810"/>
    <w:pPr>
      <w:tabs>
        <w:tab w:val="left" w:pos="624"/>
        <w:tab w:val="left" w:pos="1247"/>
      </w:tabs>
      <w:ind w:firstLine="0"/>
    </w:pPr>
    <w:rPr>
      <w:b/>
      <w:bCs/>
    </w:rPr>
  </w:style>
  <w:style w:type="paragraph" w:customStyle="1" w:styleId="HesberWriters">
    <w:name w:val="Hesber Writers"/>
    <w:basedOn w:val="Hesber"/>
    <w:rsid w:val="00312810"/>
    <w:pPr>
      <w:spacing w:before="120" w:after="6000"/>
      <w:ind w:left="1418" w:firstLine="0"/>
      <w:jc w:val="right"/>
    </w:pPr>
    <w:rPr>
      <w:b/>
      <w:bCs/>
    </w:rPr>
  </w:style>
  <w:style w:type="paragraph" w:customStyle="1" w:styleId="Hesber1st">
    <w:name w:val="Hesber 1st"/>
    <w:basedOn w:val="Hesber"/>
    <w:rsid w:val="00312810"/>
    <w:pPr>
      <w:tabs>
        <w:tab w:val="left" w:pos="680"/>
        <w:tab w:val="left" w:pos="1020"/>
      </w:tabs>
      <w:ind w:firstLine="0"/>
    </w:pPr>
  </w:style>
  <w:style w:type="character" w:styleId="a7">
    <w:name w:val="endnote reference"/>
    <w:basedOn w:val="a0"/>
    <w:semiHidden/>
    <w:rsid w:val="00312810"/>
    <w:rPr>
      <w:vertAlign w:val="superscript"/>
    </w:rPr>
  </w:style>
  <w:style w:type="paragraph" w:customStyle="1" w:styleId="TableBlockOutdent">
    <w:name w:val="Table BlockOutdent"/>
    <w:basedOn w:val="TableBlock"/>
    <w:rsid w:val="00312810"/>
    <w:pPr>
      <w:ind w:left="624" w:hanging="624"/>
    </w:pPr>
  </w:style>
  <w:style w:type="paragraph" w:styleId="a8">
    <w:name w:val="header"/>
    <w:basedOn w:val="a"/>
    <w:rsid w:val="00312810"/>
    <w:pPr>
      <w:tabs>
        <w:tab w:val="center" w:pos="4153"/>
        <w:tab w:val="right" w:pos="8306"/>
      </w:tabs>
    </w:pPr>
  </w:style>
  <w:style w:type="paragraph" w:styleId="a9">
    <w:name w:val="footer"/>
    <w:basedOn w:val="a"/>
    <w:rsid w:val="00312810"/>
    <w:pPr>
      <w:tabs>
        <w:tab w:val="center" w:pos="4153"/>
        <w:tab w:val="right" w:pos="8306"/>
      </w:tabs>
    </w:pPr>
  </w:style>
  <w:style w:type="paragraph" w:customStyle="1" w:styleId="HeadDivreiHesber">
    <w:name w:val="Head DivreiHesber"/>
    <w:basedOn w:val="a"/>
    <w:rsid w:val="0031281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312810"/>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31281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17DE3"/>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067">
      <w:bodyDiv w:val="1"/>
      <w:marLeft w:val="0"/>
      <w:marRight w:val="0"/>
      <w:marTop w:val="0"/>
      <w:marBottom w:val="0"/>
      <w:divBdr>
        <w:top w:val="none" w:sz="0" w:space="0" w:color="auto"/>
        <w:left w:val="none" w:sz="0" w:space="0" w:color="auto"/>
        <w:bottom w:val="none" w:sz="0" w:space="0" w:color="auto"/>
        <w:right w:val="none" w:sz="0" w:space="0" w:color="auto"/>
      </w:divBdr>
    </w:div>
    <w:div w:id="171750461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6E9F-C2A0-4B9A-A37A-6563B21E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DDC6D71-B1C9-4A08-867C-0E59FB61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2399</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2015-05-13T13:40:00Z</cp:lastPrinted>
  <dcterms:created xsi:type="dcterms:W3CDTF">2015-03-26T08:06:00Z</dcterms:created>
  <dcterms:modified xsi:type="dcterms:W3CDTF">2015-05-13T13:40:00Z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563712</vt:r8>
  </property>
</Properties>
</file>