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563392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BA67D9">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איימן עודה</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דב חנין</w:t>
      </w:r>
      <w:r>
        <w:br/>
      </w:r>
      <w:r>
        <w:rPr>
          <w:rFonts w:hint="cs"/>
          <w:b/>
          <w:bCs/>
          <w:rtl/>
        </w:rPr>
        <w:t xml:space="preserve"> </w:t>
      </w:r>
      <w:r>
        <w:tab/>
      </w:r>
      <w:r>
        <w:tab/>
      </w:r>
      <w:r>
        <w:tab/>
      </w:r>
      <w:r>
        <w:tab/>
      </w:r>
      <w:r>
        <w:rPr>
          <w:rFonts w:hint="cs"/>
          <w:b/>
          <w:bCs/>
          <w:rtl/>
        </w:rPr>
        <w:t>יוסף ג'בארין</w:t>
      </w:r>
      <w:r>
        <w:br/>
      </w:r>
      <w:r>
        <w:rPr>
          <w:rFonts w:hint="cs"/>
          <w:b/>
          <w:bCs/>
          <w:rtl/>
        </w:rPr>
        <w:t xml:space="preserve"> </w:t>
      </w:r>
      <w:r>
        <w:tab/>
      </w:r>
      <w:r>
        <w:tab/>
      </w:r>
      <w:r>
        <w:tab/>
      </w:r>
      <w:r>
        <w:tab/>
      </w:r>
      <w:r>
        <w:rPr>
          <w:rFonts w:hint="cs"/>
          <w:b/>
          <w:bCs/>
          <w:rtl/>
        </w:rPr>
        <w:t>עבדאללה אבו מערוף</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פ/910/20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4B5B46AD" w:rsidR="00E13C27" w:rsidRDefault="00A443CF" w:rsidP="00BA67D9">
      <w:pPr>
        <w:pStyle w:val="HeadHatzaotHok"/>
        <w:rPr>
          <w:rtl/>
        </w:rPr>
      </w:pPr>
      <w:bookmarkStart w:id="7" w:name="LGS_Subject"/>
      <w:r>
        <w:rPr>
          <w:rFonts w:hint="cs"/>
          <w:rtl/>
        </w:rPr>
        <w:t xml:space="preserve">הצעת חוק הסדרים במשק המדינה (תיקוני חקיקה להשגת יעדי התקציב) (תיקון </w:t>
      </w:r>
      <w:r w:rsidR="007B671E">
        <w:rPr>
          <w:rFonts w:hint="eastAsia"/>
          <w:rtl/>
        </w:rPr>
        <w:t>–</w:t>
      </w:r>
      <w:r>
        <w:rPr>
          <w:rFonts w:hint="cs"/>
          <w:rtl/>
        </w:rPr>
        <w:t xml:space="preserve"> הנחה בארנונה לסטודנטים), התשע"ה</w:t>
      </w:r>
      <w:r w:rsidR="007B671E">
        <w:rPr>
          <w:rFonts w:hint="eastAsia"/>
          <w:rtl/>
        </w:rPr>
        <w:t>–</w:t>
      </w:r>
      <w:r>
        <w:rPr>
          <w:rFonts w:hint="cs"/>
          <w:rtl/>
        </w:rPr>
        <w:t>201</w:t>
      </w:r>
      <w:bookmarkEnd w:id="7"/>
      <w:r w:rsidR="007B671E">
        <w:rPr>
          <w:rFonts w:hint="eastAsia"/>
          <w:rtl/>
        </w:rPr>
        <w:t>5</w:t>
      </w:r>
    </w:p>
    <w:p w14:paraId="5634832F" w14:textId="08454F90" w:rsidR="00E0696A" w:rsidRDefault="00E0696A" w:rsidP="00A443CF">
      <w:pPr>
        <w:pStyle w:val="HeadHatzaotHok"/>
        <w:spacing w:line="240" w:lineRule="auto"/>
        <w:rPr>
          <w:rtl/>
        </w:rPr>
      </w:pPr>
    </w:p>
    <w:tbl>
      <w:tblPr>
        <w:bidiVisual/>
        <w:tblW w:w="9638" w:type="dxa"/>
        <w:tblInd w:w="-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7143"/>
      </w:tblGrid>
      <w:tr w:rsidR="00E0696A" w14:paraId="3ACD2070" w14:textId="77777777" w:rsidTr="000F19C2">
        <w:trPr>
          <w:cantSplit/>
        </w:trPr>
        <w:tc>
          <w:tcPr>
            <w:tcW w:w="1871" w:type="dxa"/>
            <w:tcBorders>
              <w:top w:val="nil"/>
              <w:left w:val="nil"/>
              <w:bottom w:val="nil"/>
              <w:right w:val="nil"/>
            </w:tcBorders>
          </w:tcPr>
          <w:p w14:paraId="4A05986A" w14:textId="77777777" w:rsidR="00E0696A" w:rsidRDefault="00E0696A" w:rsidP="000F19C2">
            <w:pPr>
              <w:pStyle w:val="TableSideHeading"/>
              <w:spacing w:line="240" w:lineRule="auto"/>
            </w:pPr>
            <w:r>
              <w:rPr>
                <w:sz w:val="26"/>
                <w:rtl/>
              </w:rPr>
              <w:t>תיקון סעיף 12</w:t>
            </w:r>
          </w:p>
        </w:tc>
        <w:tc>
          <w:tcPr>
            <w:tcW w:w="624" w:type="dxa"/>
            <w:tcBorders>
              <w:top w:val="nil"/>
              <w:left w:val="nil"/>
              <w:bottom w:val="nil"/>
              <w:right w:val="nil"/>
            </w:tcBorders>
          </w:tcPr>
          <w:p w14:paraId="53B4EBA7" w14:textId="77777777" w:rsidR="00E0696A" w:rsidRDefault="00E0696A" w:rsidP="000F19C2">
            <w:pPr>
              <w:pStyle w:val="TableText"/>
              <w:spacing w:line="240" w:lineRule="auto"/>
            </w:pPr>
            <w:r>
              <w:rPr>
                <w:sz w:val="26"/>
                <w:rtl/>
              </w:rPr>
              <w:t>1.</w:t>
            </w:r>
          </w:p>
        </w:tc>
        <w:tc>
          <w:tcPr>
            <w:tcW w:w="7143" w:type="dxa"/>
            <w:tcBorders>
              <w:top w:val="nil"/>
              <w:left w:val="nil"/>
              <w:bottom w:val="nil"/>
              <w:right w:val="nil"/>
            </w:tcBorders>
          </w:tcPr>
          <w:p w14:paraId="5EC15B01" w14:textId="0138FA5C" w:rsidR="00E0696A" w:rsidRDefault="00E0696A" w:rsidP="000F19C2">
            <w:pPr>
              <w:pStyle w:val="TableBlock"/>
            </w:pPr>
            <w:r>
              <w:rPr>
                <w:sz w:val="26"/>
                <w:rtl/>
              </w:rPr>
              <w:t>בחוק הסדרים במשק המדינה (תיקוני חקיקה להשגת יעדי התקציב), התשנ"ג–1992</w:t>
            </w:r>
            <w:r>
              <w:rPr>
                <w:rStyle w:val="a6"/>
                <w:sz w:val="26"/>
                <w:rtl/>
              </w:rPr>
              <w:footnoteReference w:id="2"/>
            </w:r>
            <w:r w:rsidR="00CF2EF9">
              <w:rPr>
                <w:sz w:val="26"/>
                <w:rtl/>
              </w:rPr>
              <w:t xml:space="preserve">, בסעיף 12, </w:t>
            </w:r>
            <w:r w:rsidR="00CF2EF9">
              <w:rPr>
                <w:rFonts w:hint="cs"/>
                <w:sz w:val="26"/>
                <w:rtl/>
              </w:rPr>
              <w:t>אחרי סעיף קטן (ו),</w:t>
            </w:r>
            <w:r>
              <w:rPr>
                <w:sz w:val="26"/>
                <w:rtl/>
              </w:rPr>
              <w:t xml:space="preserve"> יבוא:</w:t>
            </w:r>
          </w:p>
        </w:tc>
      </w:tr>
      <w:tr w:rsidR="00E0696A" w14:paraId="77DD2304" w14:textId="77777777" w:rsidTr="000F19C2">
        <w:trPr>
          <w:cantSplit/>
        </w:trPr>
        <w:tc>
          <w:tcPr>
            <w:tcW w:w="1871" w:type="dxa"/>
            <w:tcBorders>
              <w:top w:val="nil"/>
              <w:left w:val="nil"/>
              <w:bottom w:val="nil"/>
              <w:right w:val="nil"/>
            </w:tcBorders>
          </w:tcPr>
          <w:p w14:paraId="6A6231D1" w14:textId="77777777" w:rsidR="00E0696A" w:rsidRDefault="00E0696A" w:rsidP="000F19C2">
            <w:pPr>
              <w:pStyle w:val="TableSideHeading"/>
              <w:keepLines w:val="0"/>
            </w:pPr>
          </w:p>
        </w:tc>
        <w:tc>
          <w:tcPr>
            <w:tcW w:w="624" w:type="dxa"/>
            <w:tcBorders>
              <w:top w:val="nil"/>
              <w:left w:val="nil"/>
              <w:bottom w:val="nil"/>
              <w:right w:val="nil"/>
            </w:tcBorders>
          </w:tcPr>
          <w:p w14:paraId="541E038E" w14:textId="77777777" w:rsidR="00E0696A" w:rsidRDefault="00E0696A" w:rsidP="000F19C2">
            <w:pPr>
              <w:pStyle w:val="TableText"/>
              <w:keepLines w:val="0"/>
            </w:pPr>
          </w:p>
        </w:tc>
        <w:tc>
          <w:tcPr>
            <w:tcW w:w="7143" w:type="dxa"/>
            <w:tcBorders>
              <w:top w:val="nil"/>
              <w:left w:val="nil"/>
              <w:bottom w:val="nil"/>
              <w:right w:val="nil"/>
            </w:tcBorders>
          </w:tcPr>
          <w:p w14:paraId="1E7B3641" w14:textId="508F1437" w:rsidR="00E0696A" w:rsidRDefault="00E0696A" w:rsidP="00CF2EF9">
            <w:pPr>
              <w:pStyle w:val="TableBlock"/>
            </w:pPr>
            <w:r>
              <w:rPr>
                <w:sz w:val="26"/>
                <w:rtl/>
              </w:rPr>
              <w:t>"(ז)</w:t>
            </w:r>
            <w:r>
              <w:rPr>
                <w:sz w:val="26"/>
                <w:rtl/>
              </w:rPr>
              <w:tab/>
              <w:t>על אף האמור בכל דין, סטודנט יהיה זכאי להנחה בשיעור של 40% מסכום הא</w:t>
            </w:r>
            <w:r w:rsidR="00CF2EF9">
              <w:rPr>
                <w:sz w:val="26"/>
                <w:rtl/>
              </w:rPr>
              <w:t>רנונה הכללית שהוטלה עליו כמחזיק</w:t>
            </w:r>
            <w:r>
              <w:rPr>
                <w:sz w:val="26"/>
                <w:rtl/>
              </w:rPr>
              <w:t xml:space="preserve"> לגבי 70 מטרים רבועים משטח דירה המשמשת אותו למגוריו; זכאות להנחה כאמור ת</w:t>
            </w:r>
            <w:r w:rsidR="00CF2EF9">
              <w:rPr>
                <w:rFonts w:hint="cs"/>
                <w:sz w:val="26"/>
                <w:rtl/>
              </w:rPr>
              <w:t>היה</w:t>
            </w:r>
            <w:r>
              <w:rPr>
                <w:sz w:val="26"/>
                <w:rtl/>
              </w:rPr>
              <w:t xml:space="preserve"> לארבעים ושמונה חודשים בלבד; בסעיף קטן זה –</w:t>
            </w:r>
          </w:p>
        </w:tc>
      </w:tr>
      <w:tr w:rsidR="00E0696A" w14:paraId="66628992" w14:textId="77777777" w:rsidTr="000F19C2">
        <w:trPr>
          <w:cantSplit/>
        </w:trPr>
        <w:tc>
          <w:tcPr>
            <w:tcW w:w="1871" w:type="dxa"/>
            <w:tcBorders>
              <w:top w:val="nil"/>
              <w:left w:val="nil"/>
              <w:bottom w:val="nil"/>
              <w:right w:val="nil"/>
            </w:tcBorders>
          </w:tcPr>
          <w:p w14:paraId="799554A0" w14:textId="77777777" w:rsidR="00E0696A" w:rsidRDefault="00E0696A" w:rsidP="000F19C2">
            <w:pPr>
              <w:pStyle w:val="TableSideHeading"/>
              <w:keepLines w:val="0"/>
            </w:pPr>
          </w:p>
        </w:tc>
        <w:tc>
          <w:tcPr>
            <w:tcW w:w="624" w:type="dxa"/>
            <w:tcBorders>
              <w:top w:val="nil"/>
              <w:left w:val="nil"/>
              <w:bottom w:val="nil"/>
              <w:right w:val="nil"/>
            </w:tcBorders>
          </w:tcPr>
          <w:p w14:paraId="70DC67D9" w14:textId="77777777" w:rsidR="00E0696A" w:rsidRDefault="00E0696A" w:rsidP="000F19C2">
            <w:pPr>
              <w:pStyle w:val="TableText"/>
              <w:keepLines w:val="0"/>
            </w:pPr>
          </w:p>
        </w:tc>
        <w:tc>
          <w:tcPr>
            <w:tcW w:w="7143" w:type="dxa"/>
            <w:tcBorders>
              <w:top w:val="nil"/>
              <w:left w:val="nil"/>
              <w:bottom w:val="nil"/>
              <w:right w:val="nil"/>
            </w:tcBorders>
          </w:tcPr>
          <w:p w14:paraId="5288D50F" w14:textId="77777777" w:rsidR="00E0696A" w:rsidRDefault="00E0696A" w:rsidP="000F19C2">
            <w:pPr>
              <w:pStyle w:val="TableBlockOutdent"/>
            </w:pPr>
            <w:r>
              <w:rPr>
                <w:sz w:val="26"/>
                <w:rtl/>
              </w:rPr>
              <w:t>"מוסד להשכלה גבוהה" – כמשמעותו בחוק המועצה להשכלה גבוהה, התשי"ח–1958</w:t>
            </w:r>
            <w:r>
              <w:rPr>
                <w:rStyle w:val="a6"/>
                <w:sz w:val="26"/>
                <w:rtl/>
              </w:rPr>
              <w:footnoteReference w:id="3"/>
            </w:r>
            <w:r>
              <w:rPr>
                <w:sz w:val="26"/>
                <w:rtl/>
              </w:rPr>
              <w:t>;</w:t>
            </w:r>
          </w:p>
        </w:tc>
      </w:tr>
      <w:tr w:rsidR="00E0696A" w14:paraId="7C5C6A54" w14:textId="77777777" w:rsidTr="000F19C2">
        <w:trPr>
          <w:cantSplit/>
        </w:trPr>
        <w:tc>
          <w:tcPr>
            <w:tcW w:w="1871" w:type="dxa"/>
            <w:tcBorders>
              <w:top w:val="nil"/>
              <w:left w:val="nil"/>
              <w:bottom w:val="nil"/>
              <w:right w:val="nil"/>
            </w:tcBorders>
          </w:tcPr>
          <w:p w14:paraId="6D44A02B" w14:textId="77777777" w:rsidR="00E0696A" w:rsidRDefault="00E0696A" w:rsidP="000F19C2">
            <w:pPr>
              <w:pStyle w:val="TableSideHeading"/>
              <w:keepLines w:val="0"/>
            </w:pPr>
          </w:p>
        </w:tc>
        <w:tc>
          <w:tcPr>
            <w:tcW w:w="624" w:type="dxa"/>
            <w:tcBorders>
              <w:top w:val="nil"/>
              <w:left w:val="nil"/>
              <w:bottom w:val="nil"/>
              <w:right w:val="nil"/>
            </w:tcBorders>
          </w:tcPr>
          <w:p w14:paraId="7CC194AB" w14:textId="77777777" w:rsidR="00E0696A" w:rsidRDefault="00E0696A" w:rsidP="000F19C2">
            <w:pPr>
              <w:pStyle w:val="TableText"/>
              <w:keepLines w:val="0"/>
            </w:pPr>
          </w:p>
        </w:tc>
        <w:tc>
          <w:tcPr>
            <w:tcW w:w="7143" w:type="dxa"/>
            <w:tcBorders>
              <w:top w:val="nil"/>
              <w:left w:val="nil"/>
              <w:bottom w:val="nil"/>
              <w:right w:val="nil"/>
            </w:tcBorders>
          </w:tcPr>
          <w:p w14:paraId="2971587D" w14:textId="77777777" w:rsidR="00E0696A" w:rsidRDefault="00E0696A" w:rsidP="000F19C2">
            <w:pPr>
              <w:pStyle w:val="TableBlockOutdent"/>
            </w:pPr>
            <w:r>
              <w:rPr>
                <w:sz w:val="26"/>
                <w:rtl/>
              </w:rPr>
              <w:t>"מחזיק" – כהגדרתו בפקודת העיריות</w:t>
            </w:r>
            <w:r>
              <w:rPr>
                <w:rStyle w:val="a6"/>
              </w:rPr>
              <w:footnoteReference w:id="4"/>
            </w:r>
            <w:r>
              <w:rPr>
                <w:sz w:val="26"/>
                <w:rtl/>
              </w:rPr>
              <w:t>;</w:t>
            </w:r>
          </w:p>
        </w:tc>
      </w:tr>
      <w:tr w:rsidR="00E0696A" w14:paraId="1BF06462" w14:textId="77777777" w:rsidTr="000F19C2">
        <w:trPr>
          <w:cantSplit/>
        </w:trPr>
        <w:tc>
          <w:tcPr>
            <w:tcW w:w="1871" w:type="dxa"/>
            <w:tcBorders>
              <w:top w:val="nil"/>
              <w:left w:val="nil"/>
              <w:bottom w:val="nil"/>
              <w:right w:val="nil"/>
            </w:tcBorders>
          </w:tcPr>
          <w:p w14:paraId="00681E31" w14:textId="77777777" w:rsidR="00E0696A" w:rsidRDefault="00E0696A" w:rsidP="000F19C2">
            <w:pPr>
              <w:pStyle w:val="TableSideHeading"/>
              <w:keepLines w:val="0"/>
            </w:pPr>
          </w:p>
        </w:tc>
        <w:tc>
          <w:tcPr>
            <w:tcW w:w="624" w:type="dxa"/>
            <w:tcBorders>
              <w:top w:val="nil"/>
              <w:left w:val="nil"/>
              <w:bottom w:val="nil"/>
              <w:right w:val="nil"/>
            </w:tcBorders>
          </w:tcPr>
          <w:p w14:paraId="355AF313" w14:textId="77777777" w:rsidR="00E0696A" w:rsidRDefault="00E0696A" w:rsidP="000F19C2">
            <w:pPr>
              <w:pStyle w:val="TableText"/>
              <w:keepLines w:val="0"/>
            </w:pPr>
          </w:p>
        </w:tc>
        <w:tc>
          <w:tcPr>
            <w:tcW w:w="7143" w:type="dxa"/>
            <w:tcBorders>
              <w:top w:val="nil"/>
              <w:left w:val="nil"/>
              <w:bottom w:val="nil"/>
              <w:right w:val="nil"/>
            </w:tcBorders>
          </w:tcPr>
          <w:p w14:paraId="7D2BFF5C" w14:textId="77777777" w:rsidR="00E0696A" w:rsidRDefault="00E0696A" w:rsidP="000F19C2">
            <w:pPr>
              <w:pStyle w:val="TableBlockOutdent"/>
              <w:rPr>
                <w:sz w:val="26"/>
                <w:rtl/>
              </w:rPr>
            </w:pPr>
            <w:r>
              <w:rPr>
                <w:sz w:val="26"/>
                <w:rtl/>
              </w:rPr>
              <w:t>"סטודנט" – תלמיד לתואר אקדמי ראשון מוכר הנהוג בישראל במוסד להשכלה גבוהה;</w:t>
            </w:r>
          </w:p>
        </w:tc>
      </w:tr>
      <w:tr w:rsidR="00E0696A" w14:paraId="398122F0" w14:textId="77777777" w:rsidTr="000F19C2">
        <w:trPr>
          <w:cantSplit/>
        </w:trPr>
        <w:tc>
          <w:tcPr>
            <w:tcW w:w="1871" w:type="dxa"/>
            <w:tcBorders>
              <w:top w:val="nil"/>
              <w:left w:val="nil"/>
              <w:bottom w:val="nil"/>
              <w:right w:val="nil"/>
            </w:tcBorders>
          </w:tcPr>
          <w:p w14:paraId="7047D618" w14:textId="77777777" w:rsidR="00E0696A" w:rsidRDefault="00E0696A" w:rsidP="000F19C2">
            <w:pPr>
              <w:pStyle w:val="TableSideHeading"/>
              <w:spacing w:line="240" w:lineRule="auto"/>
            </w:pPr>
            <w:r>
              <w:rPr>
                <w:sz w:val="26"/>
                <w:rtl/>
              </w:rPr>
              <w:t>תחילה</w:t>
            </w:r>
          </w:p>
        </w:tc>
        <w:tc>
          <w:tcPr>
            <w:tcW w:w="624" w:type="dxa"/>
            <w:tcBorders>
              <w:top w:val="nil"/>
              <w:left w:val="nil"/>
              <w:bottom w:val="nil"/>
              <w:right w:val="nil"/>
            </w:tcBorders>
          </w:tcPr>
          <w:p w14:paraId="0EED5666" w14:textId="77777777" w:rsidR="00E0696A" w:rsidRDefault="00E0696A" w:rsidP="000F19C2">
            <w:pPr>
              <w:pStyle w:val="TableText"/>
              <w:spacing w:line="240" w:lineRule="auto"/>
            </w:pPr>
            <w:r>
              <w:rPr>
                <w:sz w:val="26"/>
                <w:rtl/>
              </w:rPr>
              <w:t>2.</w:t>
            </w:r>
          </w:p>
        </w:tc>
        <w:tc>
          <w:tcPr>
            <w:tcW w:w="7143" w:type="dxa"/>
            <w:tcBorders>
              <w:top w:val="nil"/>
              <w:left w:val="nil"/>
              <w:bottom w:val="nil"/>
              <w:right w:val="nil"/>
            </w:tcBorders>
          </w:tcPr>
          <w:p w14:paraId="42184E50" w14:textId="77777777" w:rsidR="00E0696A" w:rsidRDefault="00E0696A" w:rsidP="000F19C2">
            <w:pPr>
              <w:pStyle w:val="TableBlock"/>
            </w:pPr>
            <w:r>
              <w:rPr>
                <w:sz w:val="26"/>
                <w:rtl/>
              </w:rPr>
              <w:t xml:space="preserve">תחילתו של חוק זה ב-1 בחודש שלאחר יום פרסומו. </w:t>
            </w:r>
          </w:p>
        </w:tc>
      </w:tr>
    </w:tbl>
    <w:p w14:paraId="2A261CCB" w14:textId="77777777" w:rsidR="00E0696A" w:rsidRDefault="00E0696A" w:rsidP="00E0696A">
      <w:pPr>
        <w:pStyle w:val="HeadDivreiHesber"/>
        <w:spacing w:before="0" w:after="0"/>
        <w:rPr>
          <w:sz w:val="26"/>
          <w:rtl/>
        </w:rPr>
      </w:pPr>
    </w:p>
    <w:p w14:paraId="1D5669AE" w14:textId="77777777" w:rsidR="00386ECF" w:rsidRDefault="00386ECF" w:rsidP="00E0696A">
      <w:pPr>
        <w:pStyle w:val="HeadDivreiHesber"/>
        <w:spacing w:before="0" w:after="0"/>
        <w:rPr>
          <w:rFonts w:hint="cs"/>
          <w:sz w:val="26"/>
          <w:rtl/>
        </w:rPr>
      </w:pPr>
    </w:p>
    <w:p w14:paraId="24D13C1C" w14:textId="77777777" w:rsidR="00386ECF" w:rsidRDefault="00386ECF" w:rsidP="00E0696A">
      <w:pPr>
        <w:pStyle w:val="HeadDivreiHesber"/>
        <w:spacing w:before="0" w:after="0"/>
        <w:rPr>
          <w:rFonts w:hint="cs"/>
          <w:sz w:val="26"/>
          <w:rtl/>
        </w:rPr>
      </w:pPr>
    </w:p>
    <w:p w14:paraId="5EC3BB67" w14:textId="77777777" w:rsidR="00386ECF" w:rsidRDefault="00386ECF" w:rsidP="00E0696A">
      <w:pPr>
        <w:pStyle w:val="HeadDivreiHesber"/>
        <w:spacing w:before="0" w:after="0"/>
        <w:rPr>
          <w:rFonts w:hint="cs"/>
          <w:sz w:val="26"/>
          <w:rtl/>
        </w:rPr>
      </w:pPr>
    </w:p>
    <w:p w14:paraId="132B55CA" w14:textId="77777777" w:rsidR="00E0696A" w:rsidRDefault="00E0696A" w:rsidP="00E0696A">
      <w:pPr>
        <w:pStyle w:val="HeadDivreiHesber"/>
        <w:spacing w:before="0" w:after="0"/>
        <w:rPr>
          <w:sz w:val="26"/>
          <w:rtl/>
        </w:rPr>
      </w:pPr>
      <w:bookmarkStart w:id="8" w:name="_GoBack"/>
      <w:bookmarkEnd w:id="8"/>
      <w:r>
        <w:rPr>
          <w:sz w:val="26"/>
          <w:rtl/>
        </w:rPr>
        <w:lastRenderedPageBreak/>
        <w:t>דברי הסבר</w:t>
      </w:r>
    </w:p>
    <w:p w14:paraId="52AB0436" w14:textId="6541ABFC" w:rsidR="00E0696A" w:rsidRDefault="00E0696A" w:rsidP="000B2988">
      <w:pPr>
        <w:pStyle w:val="Hesber"/>
        <w:rPr>
          <w:sz w:val="26"/>
          <w:rtl/>
        </w:rPr>
      </w:pPr>
      <w:r>
        <w:rPr>
          <w:sz w:val="26"/>
          <w:rtl/>
        </w:rPr>
        <w:t>בחוק ההסדרים במשק המדינה (תיקוני חקיקה להשגת יעדי התקציב), התשנ"ג–1992, נקבעה הסמכה לשר הפנים לקבוע בתקנות תנאים וכללים למתן הנחות בתשלומי ארנונה. בתקנות ההסדרים במשק המדינה (הנחה מארנונה), התשנ"ג–1993, נקבעו סוגים של הנחות מארנונה.</w:t>
      </w:r>
    </w:p>
    <w:p w14:paraId="05CD684F" w14:textId="77777777" w:rsidR="00E0696A" w:rsidRDefault="00E0696A" w:rsidP="00E0696A">
      <w:pPr>
        <w:pStyle w:val="Hesber"/>
        <w:rPr>
          <w:sz w:val="26"/>
          <w:rtl/>
        </w:rPr>
      </w:pPr>
      <w:r>
        <w:rPr>
          <w:sz w:val="26"/>
          <w:rtl/>
        </w:rPr>
        <w:t>בתקנות לא נקבעה עד כה הנחה מארנונה לקבוצת הסטודנטים במדינת ישראל, אשר מצוקותיהם הכלכליות בתקופת לימודיהם ידועות לכל, וזאת למרות שתלמידי ישיבות זכאים להנחה מועדפת מארנונה.</w:t>
      </w:r>
    </w:p>
    <w:p w14:paraId="342751BA" w14:textId="77777777" w:rsidR="00E0696A" w:rsidRDefault="00E0696A" w:rsidP="00E0696A">
      <w:pPr>
        <w:pStyle w:val="Hesber"/>
        <w:rPr>
          <w:sz w:val="26"/>
          <w:rtl/>
        </w:rPr>
      </w:pPr>
      <w:r>
        <w:rPr>
          <w:sz w:val="26"/>
          <w:rtl/>
        </w:rPr>
        <w:t>לפיכך, מוצע לקבוע הנחה מארנונה לסטודנטים הלומדים ללימודי תואר ראשון, וכן להגביל את הזכות להנחה לארבע שנות לימודים.</w:t>
      </w:r>
    </w:p>
    <w:p w14:paraId="63771ACB" w14:textId="65D350F7" w:rsidR="00E0696A" w:rsidRDefault="00892327" w:rsidP="00892327">
      <w:pPr>
        <w:pStyle w:val="Hesber"/>
        <w:rPr>
          <w:sz w:val="26"/>
          <w:rtl/>
        </w:rPr>
      </w:pPr>
      <w:r>
        <w:rPr>
          <w:sz w:val="26"/>
          <w:rtl/>
        </w:rPr>
        <w:t>הצעת חוק דומ</w:t>
      </w:r>
      <w:r>
        <w:rPr>
          <w:rFonts w:hint="cs"/>
          <w:sz w:val="26"/>
          <w:rtl/>
        </w:rPr>
        <w:t>ה</w:t>
      </w:r>
      <w:r>
        <w:rPr>
          <w:sz w:val="26"/>
          <w:rtl/>
        </w:rPr>
        <w:t xml:space="preserve"> בעיקר</w:t>
      </w:r>
      <w:r>
        <w:rPr>
          <w:rFonts w:hint="cs"/>
          <w:sz w:val="26"/>
          <w:rtl/>
        </w:rPr>
        <w:t>ה</w:t>
      </w:r>
      <w:r>
        <w:rPr>
          <w:sz w:val="26"/>
          <w:rtl/>
        </w:rPr>
        <w:t xml:space="preserve"> הונח</w:t>
      </w:r>
      <w:r>
        <w:rPr>
          <w:rFonts w:hint="cs"/>
          <w:sz w:val="26"/>
          <w:rtl/>
        </w:rPr>
        <w:t xml:space="preserve">ה </w:t>
      </w:r>
      <w:r w:rsidR="00E0696A">
        <w:rPr>
          <w:sz w:val="26"/>
          <w:rtl/>
        </w:rPr>
        <w:t>על שולחן הכנסת השמונה-עשרה על ידי חבר הכנסת אחמד טיבי וקבוצת חברי הכנסת (פ/1109/18).</w:t>
      </w:r>
    </w:p>
    <w:p w14:paraId="6B4BCFDC" w14:textId="77777777" w:rsidR="00E0696A" w:rsidRDefault="00E0696A" w:rsidP="00E0696A">
      <w:pPr>
        <w:pStyle w:val="Hesber"/>
        <w:rPr>
          <w:sz w:val="26"/>
          <w:rtl/>
        </w:rPr>
      </w:pPr>
      <w:r>
        <w:rPr>
          <w:sz w:val="26"/>
          <w:rtl/>
        </w:rPr>
        <w:t>הצעת חוק זהה הונחה על שולחן הכנסת ה</w:t>
      </w:r>
      <w:r>
        <w:rPr>
          <w:rFonts w:hint="cs"/>
          <w:sz w:val="26"/>
          <w:rtl/>
        </w:rPr>
        <w:t>תשע</w:t>
      </w:r>
      <w:r>
        <w:rPr>
          <w:sz w:val="26"/>
          <w:rtl/>
        </w:rPr>
        <w:t>-עשרה על ידי חבר הכנסת דב חנין וקבוצת חברי הכנסת (פ/218/19).</w:t>
      </w:r>
    </w:p>
    <w:p w14:paraId="7F6961CA" w14:textId="3E76D500" w:rsidR="002D1EE3" w:rsidRDefault="002D1EE3" w:rsidP="00E0696A">
      <w:pPr>
        <w:pStyle w:val="HeadHatzaotHok"/>
        <w:spacing w:line="240" w:lineRule="auto"/>
        <w:jc w:val="both"/>
        <w:rPr>
          <w:rFonts w:hint="cs"/>
          <w:rtl/>
        </w:rPr>
      </w:pPr>
    </w:p>
    <w:p w14:paraId="701F021F" w14:textId="1B59A87A" w:rsidR="00386ECF" w:rsidRDefault="00386ECF" w:rsidP="00E0696A">
      <w:pPr>
        <w:pStyle w:val="HeadHatzaotHok"/>
        <w:spacing w:line="240" w:lineRule="auto"/>
        <w:jc w:val="both"/>
        <w:rPr>
          <w:rFonts w:hint="cs"/>
          <w:rtl/>
        </w:rPr>
      </w:pPr>
    </w:p>
    <w:p w14:paraId="2098A75F" w14:textId="77777777" w:rsidR="00386ECF" w:rsidRDefault="00386ECF" w:rsidP="00E0696A">
      <w:pPr>
        <w:pStyle w:val="HeadHatzaotHok"/>
        <w:spacing w:line="240" w:lineRule="auto"/>
        <w:jc w:val="both"/>
        <w:rPr>
          <w:rFonts w:hint="cs"/>
          <w:rtl/>
        </w:rPr>
      </w:pPr>
    </w:p>
    <w:p w14:paraId="410F10AB" w14:textId="77777777" w:rsidR="00386ECF" w:rsidRDefault="00386ECF" w:rsidP="00E0696A">
      <w:pPr>
        <w:pStyle w:val="HeadHatzaotHok"/>
        <w:spacing w:line="240" w:lineRule="auto"/>
        <w:jc w:val="both"/>
        <w:rPr>
          <w:rtl/>
        </w:rPr>
      </w:pPr>
    </w:p>
    <w:p w14:paraId="67AAF739" w14:textId="77777777" w:rsidR="00BA67D9" w:rsidRPr="0022704F" w:rsidRDefault="00BA67D9" w:rsidP="00827469">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24DB3162" w14:textId="77777777" w:rsidR="00BA67D9" w:rsidRPr="0022704F" w:rsidRDefault="00BA67D9" w:rsidP="00827469">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080230C1" w14:textId="77777777" w:rsidR="00BA67D9" w:rsidRPr="0022704F" w:rsidRDefault="00BA67D9" w:rsidP="00827469">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57151FC6" w14:textId="77777777" w:rsidR="00BA67D9" w:rsidRPr="00935520" w:rsidRDefault="00BA67D9" w:rsidP="004A4098">
      <w:pPr>
        <w:spacing w:before="0" w:line="360" w:lineRule="auto"/>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כ"ט באייר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18</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6070C997" w14:textId="77777777" w:rsidR="00BA67D9" w:rsidRPr="004A4098" w:rsidRDefault="00BA67D9" w:rsidP="00935520">
      <w:pPr>
        <w:ind w:left="340" w:firstLine="0"/>
        <w:rPr>
          <w:rFonts w:ascii="Arial" w:eastAsia="Arial Unicode MS" w:hAnsi="Arial" w:cs="David"/>
          <w:snapToGrid w:val="0"/>
          <w:spacing w:val="0"/>
          <w:sz w:val="20"/>
          <w:szCs w:val="26"/>
          <w:rtl/>
        </w:rPr>
      </w:pPr>
    </w:p>
    <w:p w14:paraId="7F6961CB" w14:textId="7F68257B" w:rsidR="00E13C27" w:rsidRDefault="00E13C27" w:rsidP="00BA67D9">
      <w:pPr>
        <w:spacing w:line="360" w:lineRule="auto"/>
        <w:rPr>
          <w:rtl/>
        </w:rPr>
      </w:pPr>
    </w:p>
    <w:sectPr w:rsidR="00E13C27"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386ECF">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56721D43" w14:textId="77777777" w:rsidR="00E0696A" w:rsidRDefault="00E0696A" w:rsidP="00E0696A">
      <w:pPr>
        <w:pStyle w:val="a4"/>
      </w:pPr>
      <w:r>
        <w:rPr>
          <w:rStyle w:val="a6"/>
        </w:rPr>
        <w:footnoteRef/>
      </w:r>
      <w:r>
        <w:rPr>
          <w:sz w:val="20"/>
          <w:rtl/>
        </w:rPr>
        <w:t xml:space="preserve"> ס"ח התשנ"ג, עמ' 10.</w:t>
      </w:r>
    </w:p>
  </w:footnote>
  <w:footnote w:id="3">
    <w:p w14:paraId="72D97438" w14:textId="77777777" w:rsidR="00E0696A" w:rsidRDefault="00E0696A" w:rsidP="00E0696A">
      <w:pPr>
        <w:pStyle w:val="a4"/>
      </w:pPr>
      <w:r>
        <w:rPr>
          <w:rStyle w:val="a6"/>
        </w:rPr>
        <w:footnoteRef/>
      </w:r>
      <w:r>
        <w:rPr>
          <w:sz w:val="20"/>
          <w:rtl/>
        </w:rPr>
        <w:t xml:space="preserve"> ס"ח התשי"ח, עמ' 191.</w:t>
      </w:r>
    </w:p>
  </w:footnote>
  <w:footnote w:id="4">
    <w:p w14:paraId="1B4C833B" w14:textId="77777777" w:rsidR="00E0696A" w:rsidRDefault="00E0696A" w:rsidP="00E0696A">
      <w:pPr>
        <w:pStyle w:val="a4"/>
      </w:pPr>
      <w:r>
        <w:rPr>
          <w:rStyle w:val="a6"/>
        </w:rPr>
        <w:footnoteRef/>
      </w:r>
      <w:r>
        <w:rPr>
          <w:sz w:val="20"/>
          <w:rtl/>
        </w:rPr>
        <w:t xml:space="preserve"> דיני מדינת ישראל, נוסח חדש 8, עמ' 197.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0B2988"/>
    <w:rsid w:val="00102B6B"/>
    <w:rsid w:val="001052D4"/>
    <w:rsid w:val="0010644B"/>
    <w:rsid w:val="001207F8"/>
    <w:rsid w:val="00121924"/>
    <w:rsid w:val="001279A8"/>
    <w:rsid w:val="0014195F"/>
    <w:rsid w:val="00152609"/>
    <w:rsid w:val="00153E1B"/>
    <w:rsid w:val="001A0623"/>
    <w:rsid w:val="001C23B0"/>
    <w:rsid w:val="00203A7F"/>
    <w:rsid w:val="002200A1"/>
    <w:rsid w:val="002362BF"/>
    <w:rsid w:val="00241B97"/>
    <w:rsid w:val="00246756"/>
    <w:rsid w:val="00251E58"/>
    <w:rsid w:val="00254605"/>
    <w:rsid w:val="002728B4"/>
    <w:rsid w:val="0027600C"/>
    <w:rsid w:val="00292712"/>
    <w:rsid w:val="002A487D"/>
    <w:rsid w:val="002C2E29"/>
    <w:rsid w:val="002D1EE3"/>
    <w:rsid w:val="002F1D80"/>
    <w:rsid w:val="003232A2"/>
    <w:rsid w:val="00325C14"/>
    <w:rsid w:val="003710F6"/>
    <w:rsid w:val="00386E88"/>
    <w:rsid w:val="00386ECF"/>
    <w:rsid w:val="00396585"/>
    <w:rsid w:val="003D74A0"/>
    <w:rsid w:val="004033D8"/>
    <w:rsid w:val="004073F0"/>
    <w:rsid w:val="00412A7D"/>
    <w:rsid w:val="00416B4D"/>
    <w:rsid w:val="00417CFC"/>
    <w:rsid w:val="004B24ED"/>
    <w:rsid w:val="004D2D82"/>
    <w:rsid w:val="004D3876"/>
    <w:rsid w:val="004E4552"/>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B671E"/>
    <w:rsid w:val="007C3FA6"/>
    <w:rsid w:val="007D585A"/>
    <w:rsid w:val="007D5A12"/>
    <w:rsid w:val="007E59F9"/>
    <w:rsid w:val="00810BCD"/>
    <w:rsid w:val="00812C98"/>
    <w:rsid w:val="00814D92"/>
    <w:rsid w:val="0083181D"/>
    <w:rsid w:val="00874BBC"/>
    <w:rsid w:val="00892135"/>
    <w:rsid w:val="00892327"/>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443CF"/>
    <w:rsid w:val="00A6611D"/>
    <w:rsid w:val="00A82CB7"/>
    <w:rsid w:val="00AA2F03"/>
    <w:rsid w:val="00AC36F7"/>
    <w:rsid w:val="00AC63A4"/>
    <w:rsid w:val="00AD239E"/>
    <w:rsid w:val="00B10265"/>
    <w:rsid w:val="00B21211"/>
    <w:rsid w:val="00B35784"/>
    <w:rsid w:val="00B733A7"/>
    <w:rsid w:val="00B975AD"/>
    <w:rsid w:val="00BA67D9"/>
    <w:rsid w:val="00BC45FB"/>
    <w:rsid w:val="00BF148D"/>
    <w:rsid w:val="00C23B1A"/>
    <w:rsid w:val="00C310EB"/>
    <w:rsid w:val="00C9176A"/>
    <w:rsid w:val="00CF1AA2"/>
    <w:rsid w:val="00CF2EF9"/>
    <w:rsid w:val="00D63620"/>
    <w:rsid w:val="00D8410D"/>
    <w:rsid w:val="00D867D7"/>
    <w:rsid w:val="00DB7060"/>
    <w:rsid w:val="00DE3153"/>
    <w:rsid w:val="00E06736"/>
    <w:rsid w:val="00E0696A"/>
    <w:rsid w:val="00E13C27"/>
    <w:rsid w:val="00E33BBD"/>
    <w:rsid w:val="00E45103"/>
    <w:rsid w:val="00E665B9"/>
    <w:rsid w:val="00EA01E6"/>
    <w:rsid w:val="00EA3DE8"/>
    <w:rsid w:val="00EA758F"/>
    <w:rsid w:val="00ED4A6F"/>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uiPriority w:val="99"/>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uiPriority w:val="99"/>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uiPriority w:val="99"/>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E0696A"/>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uiPriority w:val="99"/>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uiPriority w:val="99"/>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uiPriority w:val="99"/>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E0696A"/>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11DB79F3-7516-4D02-A3A0-56F585B6C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71366B-ECC1-49A8-BB70-D069FE4A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1445</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2015-05-14T07:02:00Z</cp:lastPrinted>
  <dcterms:created xsi:type="dcterms:W3CDTF">2015-03-26T08:06:00Z</dcterms:created>
  <dcterms:modified xsi:type="dcterms:W3CDTF">2015-05-14T07:02:00Z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563392</vt:r8>
  </property>
</Properties>
</file>