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563721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CF1AA2">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ינון מגל</w:t>
      </w:r>
      <w:bookmarkEnd w:id="3"/>
    </w:p>
    <w:p w14:paraId="7F6961AA" w14:textId="77777777" w:rsidR="00E13C27" w:rsidRPr="00CF1AA2" w:rsidRDefault="007D585A" w:rsidP="00CF1AA2">
      <w:pPr>
        <w:pStyle w:val="David"/>
        <w:ind w:left="3544"/>
        <w:rPr>
          <w:b/>
          <w:bCs/>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7F6961AB" w14:textId="1A02760E" w:rsidR="00E13C27" w:rsidRPr="00E06736" w:rsidRDefault="0014195F" w:rsidP="00416B4D">
      <w:pPr>
        <w:pStyle w:val="David"/>
        <w:ind w:left="3544"/>
        <w:rPr>
          <w:rtl/>
        </w:rPr>
      </w:pPr>
      <w:r w:rsidRPr="00CF1AA2">
        <w:rPr>
          <w:b/>
          <w:bCs/>
          <w:noProof/>
          <w:rtl/>
          <w:lang w:eastAsia="en-US"/>
        </w:rPr>
        <mc:AlternateContent>
          <mc:Choice Requires="wps">
            <w:drawing>
              <wp:anchor distT="0" distB="0" distL="114300" distR="114300" simplePos="0" relativeHeight="251658752" behindDoc="0" locked="0" layoutInCell="1" allowOverlap="1" wp14:anchorId="7F6961CE" wp14:editId="7F6961C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14="http://schemas.microsoft.com/office/drawing/2010/main" xmlns:a="http://schemas.openxmlformats.org/drawingml/2006/main">
            <w:pict>
              <v:polyline id="Freeform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09,27" o:spid="_x0000_s1026" filled="f" points=".1pt,5.1pt,305.55pt,3.75pt" w14:anchorId="21D28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v:path arrowok="t" o:connecttype="custom" o:connectlocs="0,17145;3879215,0" o:connectangles="0,0"/>
              </v:polyline>
            </w:pict>
          </mc:Fallback>
        </mc:AlternateContent>
      </w:r>
      <w:r w:rsidR="00E13C27" w:rsidRPr="00E06736">
        <w:rPr>
          <w:rFonts w:hint="cs"/>
          <w:rtl/>
        </w:rPr>
        <w:tab/>
      </w:r>
      <w:r w:rsidR="00416B4D">
        <w:tab/>
      </w:r>
      <w:r w:rsidR="00FA5E88">
        <w:tab/>
      </w:r>
      <w:r w:rsidR="00E13C27" w:rsidRPr="00E06736">
        <w:rPr>
          <w:rFonts w:hint="cs"/>
          <w:rtl/>
        </w:rPr>
        <w:tab/>
      </w:r>
      <w:r w:rsidR="00E06736" w:rsidRPr="00E06736">
        <w:tab/>
      </w:r>
      <w:bookmarkStart w:id="6" w:name="Private_Number"/>
      <w:r>
        <w:rPr>
          <w:rFonts w:hint="cs"/>
          <w:rtl/>
        </w:rPr>
        <w:t>פ/950/20</w:t>
      </w:r>
      <w:bookmarkEnd w:id="6"/>
      <w:r w:rsidR="00E13C27" w:rsidRPr="00E06736">
        <w:rPr>
          <w:rFonts w:hint="cs"/>
          <w:rtl/>
        </w:rPr>
        <w:tab/>
      </w:r>
      <w:r w:rsidR="00E13C27" w:rsidRPr="00E06736">
        <w:rPr>
          <w:rFonts w:hint="cs"/>
          <w:rtl/>
        </w:rPr>
        <w:tab/>
      </w:r>
      <w:r w:rsidR="00E13C27" w:rsidRPr="00E06736">
        <w:rPr>
          <w:rFonts w:hint="cs"/>
          <w:rtl/>
        </w:rPr>
        <w:tab/>
      </w:r>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A443CF">
      <w:pPr>
        <w:pStyle w:val="HeadHatzaotHok"/>
        <w:spacing w:line="240" w:lineRule="auto"/>
        <w:rPr>
          <w:rtl/>
        </w:rPr>
      </w:pPr>
      <w:bookmarkStart w:id="7" w:name="LGS_Subject"/>
      <w:r>
        <w:rPr>
          <w:rFonts w:hint="cs"/>
          <w:rtl/>
        </w:rPr>
        <w:t>הצעת חוק זכויות החולה (תיקון – מסירת מידע רפואי לאחר), התשע"ה–2015</w:t>
      </w:r>
      <w:bookmarkEnd w:id="7"/>
    </w:p>
    <w:p w14:paraId="7F6961AE" w14:textId="77777777" w:rsidR="00E13C27" w:rsidRDefault="00E13C27" w:rsidP="0000131B">
      <w:pPr>
        <w:pStyle w:val="HeadDivreiHesber"/>
        <w:spacing w:before="0" w:after="0" w:line="240" w:lineRule="auto"/>
        <w:rPr>
          <w:rtl/>
        </w:rPr>
      </w:pPr>
    </w:p>
    <w:tbl>
      <w:tblPr>
        <w:bidiVisual/>
        <w:tblW w:w="9645" w:type="dxa"/>
        <w:tblLayout w:type="fixed"/>
        <w:tblCellMar>
          <w:top w:w="57" w:type="dxa"/>
          <w:left w:w="0" w:type="dxa"/>
          <w:bottom w:w="57" w:type="dxa"/>
          <w:right w:w="0" w:type="dxa"/>
        </w:tblCellMar>
        <w:tblLook w:val="01E0" w:firstRow="1" w:lastRow="1" w:firstColumn="1" w:lastColumn="1" w:noHBand="0" w:noVBand="0"/>
      </w:tblPr>
      <w:tblGrid>
        <w:gridCol w:w="1873"/>
        <w:gridCol w:w="625"/>
        <w:gridCol w:w="624"/>
        <w:gridCol w:w="624"/>
        <w:gridCol w:w="5899"/>
      </w:tblGrid>
      <w:tr w:rsidR="00F475BD" w14:paraId="3DE52832" w14:textId="77777777" w:rsidTr="00F475BD">
        <w:trPr>
          <w:cantSplit/>
        </w:trPr>
        <w:tc>
          <w:tcPr>
            <w:tcW w:w="1873" w:type="dxa"/>
            <w:hideMark/>
          </w:tcPr>
          <w:p w14:paraId="6384C452" w14:textId="77777777" w:rsidR="00F475BD" w:rsidRDefault="00F475BD">
            <w:pPr>
              <w:pStyle w:val="TableSideHeading"/>
              <w:keepLines w:val="0"/>
            </w:pPr>
            <w:r>
              <w:rPr>
                <w:rFonts w:hint="cs"/>
                <w:rtl/>
              </w:rPr>
              <w:t>תיקון סעיף 20</w:t>
            </w:r>
          </w:p>
        </w:tc>
        <w:tc>
          <w:tcPr>
            <w:tcW w:w="625" w:type="dxa"/>
            <w:hideMark/>
          </w:tcPr>
          <w:p w14:paraId="776C6364" w14:textId="77777777" w:rsidR="00F475BD" w:rsidRDefault="00F475BD">
            <w:pPr>
              <w:pStyle w:val="TableText"/>
              <w:keepLines w:val="0"/>
            </w:pPr>
            <w:r>
              <w:rPr>
                <w:rFonts w:hint="cs"/>
                <w:rtl/>
              </w:rPr>
              <w:t>1.</w:t>
            </w:r>
          </w:p>
        </w:tc>
        <w:tc>
          <w:tcPr>
            <w:tcW w:w="7147" w:type="dxa"/>
            <w:gridSpan w:val="3"/>
            <w:hideMark/>
          </w:tcPr>
          <w:p w14:paraId="142DD8DC" w14:textId="77777777" w:rsidR="00F475BD" w:rsidRDefault="00F475BD">
            <w:pPr>
              <w:pStyle w:val="TableBlock"/>
            </w:pPr>
            <w:r>
              <w:rPr>
                <w:rFonts w:hint="cs"/>
                <w:rtl/>
              </w:rPr>
              <w:t>בחוק זכויות החולה, התשנ"ו–1996</w:t>
            </w:r>
            <w:r>
              <w:rPr>
                <w:rStyle w:val="a6"/>
                <w:rtl/>
              </w:rPr>
              <w:footnoteReference w:id="2"/>
            </w:r>
            <w:r>
              <w:rPr>
                <w:rFonts w:hint="cs"/>
                <w:rtl/>
              </w:rPr>
              <w:t>, בסעיף 20 –</w:t>
            </w:r>
          </w:p>
        </w:tc>
      </w:tr>
      <w:tr w:rsidR="00F475BD" w14:paraId="319A1697" w14:textId="77777777" w:rsidTr="00F475BD">
        <w:trPr>
          <w:cantSplit/>
        </w:trPr>
        <w:tc>
          <w:tcPr>
            <w:tcW w:w="1873" w:type="dxa"/>
          </w:tcPr>
          <w:p w14:paraId="1B43C974" w14:textId="77777777" w:rsidR="00F475BD" w:rsidRDefault="00F475BD">
            <w:pPr>
              <w:pStyle w:val="TableSideHeading"/>
              <w:keepLines w:val="0"/>
              <w:rPr>
                <w:highlight w:val="yellow"/>
              </w:rPr>
            </w:pPr>
          </w:p>
        </w:tc>
        <w:tc>
          <w:tcPr>
            <w:tcW w:w="625" w:type="dxa"/>
          </w:tcPr>
          <w:p w14:paraId="12941EF7" w14:textId="77777777" w:rsidR="00F475BD" w:rsidRDefault="00F475BD">
            <w:pPr>
              <w:pStyle w:val="TableText"/>
              <w:rPr>
                <w:highlight w:val="yellow"/>
              </w:rPr>
            </w:pPr>
          </w:p>
        </w:tc>
        <w:tc>
          <w:tcPr>
            <w:tcW w:w="7147" w:type="dxa"/>
            <w:gridSpan w:val="3"/>
            <w:hideMark/>
          </w:tcPr>
          <w:p w14:paraId="5774A991" w14:textId="0A6F69DE" w:rsidR="00F475BD" w:rsidRDefault="00F475BD" w:rsidP="007972EA">
            <w:pPr>
              <w:pStyle w:val="TableBlock"/>
              <w:rPr>
                <w:highlight w:val="yellow"/>
              </w:rPr>
            </w:pPr>
            <w:r>
              <w:rPr>
                <w:rFonts w:hint="cs"/>
                <w:rtl/>
              </w:rPr>
              <w:t>(1)</w:t>
            </w:r>
            <w:r>
              <w:rPr>
                <w:rFonts w:hint="cs"/>
                <w:rtl/>
              </w:rPr>
              <w:tab/>
              <w:t>בסעיף קטן (א)</w:t>
            </w:r>
            <w:r w:rsidR="00E14B0E">
              <w:rPr>
                <w:rFonts w:hint="cs"/>
                <w:rtl/>
              </w:rPr>
              <w:t xml:space="preserve">, בפסקה </w:t>
            </w:r>
            <w:r>
              <w:rPr>
                <w:rFonts w:hint="cs"/>
                <w:rtl/>
              </w:rPr>
              <w:t>(1), אחרי "הסכמתו" יבוא "בכתב"</w:t>
            </w:r>
            <w:r w:rsidR="00E14B0E">
              <w:rPr>
                <w:rFonts w:hint="cs"/>
                <w:rtl/>
              </w:rPr>
              <w:t xml:space="preserve"> ובסופה יבוא "בכתב ההסכמה למסירת מידע יצוין באופן בולט </w:t>
            </w:r>
            <w:r w:rsidR="007972EA">
              <w:rPr>
                <w:rFonts w:hint="cs"/>
                <w:rtl/>
              </w:rPr>
              <w:t>המועד</w:t>
            </w:r>
            <w:r w:rsidR="00E14B0E">
              <w:rPr>
                <w:rFonts w:hint="cs"/>
                <w:rtl/>
              </w:rPr>
              <w:t xml:space="preserve"> שבו יפ</w:t>
            </w:r>
            <w:r w:rsidR="007972EA">
              <w:rPr>
                <w:rFonts w:hint="cs"/>
                <w:rtl/>
              </w:rPr>
              <w:t>קע</w:t>
            </w:r>
            <w:r w:rsidR="00E14B0E">
              <w:rPr>
                <w:rFonts w:hint="cs"/>
                <w:rtl/>
              </w:rPr>
              <w:t xml:space="preserve"> תוקפה של ההסכמה האמורה, הצורך שלשמו היא ניתנת והגורם שלו ניתנת רשות לקבל את המידע הרפואי"</w:t>
            </w:r>
            <w:r>
              <w:rPr>
                <w:rFonts w:hint="cs"/>
                <w:rtl/>
              </w:rPr>
              <w:t>;</w:t>
            </w:r>
          </w:p>
        </w:tc>
      </w:tr>
      <w:tr w:rsidR="00F475BD" w14:paraId="70B66A80" w14:textId="77777777" w:rsidTr="00F475BD">
        <w:trPr>
          <w:cantSplit/>
        </w:trPr>
        <w:tc>
          <w:tcPr>
            <w:tcW w:w="1873" w:type="dxa"/>
          </w:tcPr>
          <w:p w14:paraId="7F615C71" w14:textId="77777777" w:rsidR="00F475BD" w:rsidRDefault="00F475BD">
            <w:pPr>
              <w:pStyle w:val="TableSideHeading"/>
              <w:keepLines w:val="0"/>
            </w:pPr>
          </w:p>
        </w:tc>
        <w:tc>
          <w:tcPr>
            <w:tcW w:w="625" w:type="dxa"/>
          </w:tcPr>
          <w:p w14:paraId="55246717" w14:textId="77777777" w:rsidR="00F475BD" w:rsidRDefault="00F475BD">
            <w:pPr>
              <w:pStyle w:val="TableText"/>
            </w:pPr>
          </w:p>
        </w:tc>
        <w:tc>
          <w:tcPr>
            <w:tcW w:w="7147" w:type="dxa"/>
            <w:gridSpan w:val="3"/>
            <w:hideMark/>
          </w:tcPr>
          <w:p w14:paraId="7093C9ED" w14:textId="77777777" w:rsidR="00F475BD" w:rsidRDefault="00F475BD">
            <w:pPr>
              <w:pStyle w:val="TableBlock"/>
            </w:pPr>
            <w:r>
              <w:rPr>
                <w:rFonts w:hint="cs"/>
                <w:rtl/>
              </w:rPr>
              <w:t>(2)</w:t>
            </w:r>
            <w:r>
              <w:rPr>
                <w:rFonts w:hint="cs"/>
                <w:rtl/>
              </w:rPr>
              <w:tab/>
              <w:t>בסעיף קטן (ב), אחרי "לצורך העניין" יבוא "בהתחשב במטרה שלשמה נמסר המידע ובגורם שאליו יימסר המידע";</w:t>
            </w:r>
          </w:p>
        </w:tc>
      </w:tr>
      <w:tr w:rsidR="00F475BD" w14:paraId="68C506CB" w14:textId="77777777" w:rsidTr="00F475BD">
        <w:trPr>
          <w:cantSplit/>
        </w:trPr>
        <w:tc>
          <w:tcPr>
            <w:tcW w:w="1873" w:type="dxa"/>
          </w:tcPr>
          <w:p w14:paraId="2120B5CD" w14:textId="77777777" w:rsidR="00F475BD" w:rsidRDefault="00F475BD">
            <w:pPr>
              <w:pStyle w:val="TableSideHeading"/>
              <w:keepLines w:val="0"/>
            </w:pPr>
          </w:p>
        </w:tc>
        <w:tc>
          <w:tcPr>
            <w:tcW w:w="625" w:type="dxa"/>
          </w:tcPr>
          <w:p w14:paraId="7EEB3257" w14:textId="77777777" w:rsidR="00F475BD" w:rsidRDefault="00F475BD">
            <w:pPr>
              <w:pStyle w:val="TableText"/>
            </w:pPr>
          </w:p>
        </w:tc>
        <w:tc>
          <w:tcPr>
            <w:tcW w:w="7147" w:type="dxa"/>
            <w:gridSpan w:val="3"/>
            <w:hideMark/>
          </w:tcPr>
          <w:p w14:paraId="1FF72EA4" w14:textId="77777777" w:rsidR="00F475BD" w:rsidRDefault="00F475BD">
            <w:pPr>
              <w:pStyle w:val="TableBlock"/>
            </w:pPr>
            <w:r>
              <w:rPr>
                <w:rFonts w:hint="cs"/>
                <w:rtl/>
              </w:rPr>
              <w:t>(3)</w:t>
            </w:r>
            <w:r>
              <w:rPr>
                <w:rFonts w:hint="cs"/>
                <w:rtl/>
              </w:rPr>
              <w:tab/>
              <w:t>אחרי סעיף קטן (ג) יבוא:</w:t>
            </w:r>
          </w:p>
        </w:tc>
      </w:tr>
      <w:tr w:rsidR="00F475BD" w14:paraId="57027CCD" w14:textId="77777777" w:rsidTr="00F475BD">
        <w:trPr>
          <w:cantSplit/>
        </w:trPr>
        <w:tc>
          <w:tcPr>
            <w:tcW w:w="1873" w:type="dxa"/>
          </w:tcPr>
          <w:p w14:paraId="69A282F1" w14:textId="77777777" w:rsidR="00F475BD" w:rsidRDefault="00F475BD">
            <w:pPr>
              <w:pStyle w:val="TableSideHeading"/>
            </w:pPr>
          </w:p>
        </w:tc>
        <w:tc>
          <w:tcPr>
            <w:tcW w:w="625" w:type="dxa"/>
          </w:tcPr>
          <w:p w14:paraId="1A8658A8" w14:textId="77777777" w:rsidR="00F475BD" w:rsidRDefault="00F475BD">
            <w:pPr>
              <w:pStyle w:val="TableText"/>
            </w:pPr>
          </w:p>
        </w:tc>
        <w:tc>
          <w:tcPr>
            <w:tcW w:w="624" w:type="dxa"/>
          </w:tcPr>
          <w:p w14:paraId="2F03D73C" w14:textId="77777777" w:rsidR="00F475BD" w:rsidRDefault="00F475BD">
            <w:pPr>
              <w:pStyle w:val="TableText"/>
            </w:pPr>
          </w:p>
        </w:tc>
        <w:tc>
          <w:tcPr>
            <w:tcW w:w="6523" w:type="dxa"/>
            <w:gridSpan w:val="2"/>
            <w:hideMark/>
          </w:tcPr>
          <w:p w14:paraId="4164E719" w14:textId="6BBB2E86" w:rsidR="00F475BD" w:rsidRDefault="00F475BD">
            <w:pPr>
              <w:pStyle w:val="TableBlock"/>
            </w:pPr>
            <w:r>
              <w:rPr>
                <w:rFonts w:hint="cs"/>
                <w:rtl/>
              </w:rPr>
              <w:t>"(ד)</w:t>
            </w:r>
            <w:r>
              <w:rPr>
                <w:rFonts w:hint="cs"/>
                <w:rtl/>
              </w:rPr>
              <w:tab/>
              <w:t xml:space="preserve">יראו הסכמה למסירת מידע רפואי לפי סעיף קטן (א)(1) (להלן –הסכמה למסירת מידע) כבטלה בשל </w:t>
            </w:r>
            <w:r w:rsidR="00E14B0E">
              <w:rPr>
                <w:rFonts w:hint="cs"/>
                <w:rtl/>
              </w:rPr>
              <w:t xml:space="preserve">כל </w:t>
            </w:r>
            <w:r>
              <w:rPr>
                <w:rFonts w:hint="cs"/>
                <w:rtl/>
              </w:rPr>
              <w:t>אחד מאלה:</w:t>
            </w:r>
          </w:p>
        </w:tc>
      </w:tr>
      <w:tr w:rsidR="00F475BD" w14:paraId="232A5B9F" w14:textId="77777777" w:rsidTr="00F475BD">
        <w:trPr>
          <w:cantSplit/>
        </w:trPr>
        <w:tc>
          <w:tcPr>
            <w:tcW w:w="1873" w:type="dxa"/>
          </w:tcPr>
          <w:p w14:paraId="157AB2B2" w14:textId="77777777" w:rsidR="00F475BD" w:rsidRDefault="00F475BD">
            <w:pPr>
              <w:pStyle w:val="TableSideHeading"/>
            </w:pPr>
          </w:p>
        </w:tc>
        <w:tc>
          <w:tcPr>
            <w:tcW w:w="625" w:type="dxa"/>
          </w:tcPr>
          <w:p w14:paraId="1F26118F" w14:textId="77777777" w:rsidR="00F475BD" w:rsidRDefault="00F475BD">
            <w:pPr>
              <w:pStyle w:val="TableText"/>
            </w:pPr>
          </w:p>
        </w:tc>
        <w:tc>
          <w:tcPr>
            <w:tcW w:w="624" w:type="dxa"/>
          </w:tcPr>
          <w:p w14:paraId="127C6BF3" w14:textId="77777777" w:rsidR="00F475BD" w:rsidRDefault="00F475BD">
            <w:pPr>
              <w:pStyle w:val="TableText"/>
            </w:pPr>
          </w:p>
        </w:tc>
        <w:tc>
          <w:tcPr>
            <w:tcW w:w="624" w:type="dxa"/>
          </w:tcPr>
          <w:p w14:paraId="4A460A51" w14:textId="77777777" w:rsidR="00F475BD" w:rsidRDefault="00F475BD">
            <w:pPr>
              <w:pStyle w:val="TableText"/>
            </w:pPr>
          </w:p>
        </w:tc>
        <w:tc>
          <w:tcPr>
            <w:tcW w:w="5899" w:type="dxa"/>
            <w:hideMark/>
          </w:tcPr>
          <w:p w14:paraId="7C069260" w14:textId="5CD6A11B" w:rsidR="00F475BD" w:rsidRDefault="00F475BD" w:rsidP="0063491C">
            <w:pPr>
              <w:pStyle w:val="TableBlock"/>
            </w:pPr>
            <w:r>
              <w:rPr>
                <w:rFonts w:hint="cs"/>
                <w:rtl/>
              </w:rPr>
              <w:t>(1)</w:t>
            </w:r>
            <w:r>
              <w:rPr>
                <w:rFonts w:hint="cs"/>
                <w:rtl/>
              </w:rPr>
              <w:tab/>
              <w:t xml:space="preserve">חלפה שנה מיום שניתנה ההסכמה למסירת מידע, אלא אם כן </w:t>
            </w:r>
            <w:r w:rsidR="00E14B0E">
              <w:rPr>
                <w:rFonts w:hint="cs"/>
                <w:rtl/>
              </w:rPr>
              <w:t xml:space="preserve">המטופל </w:t>
            </w:r>
            <w:r>
              <w:rPr>
                <w:rFonts w:hint="cs"/>
                <w:rtl/>
              </w:rPr>
              <w:t xml:space="preserve"> קבע </w:t>
            </w:r>
            <w:r w:rsidR="007972EA">
              <w:rPr>
                <w:rFonts w:hint="cs"/>
                <w:rtl/>
              </w:rPr>
              <w:t>ב</w:t>
            </w:r>
            <w:r>
              <w:rPr>
                <w:rFonts w:hint="cs"/>
                <w:rtl/>
              </w:rPr>
              <w:t>מפורש, בעת מסירת המידע, מועד שונה</w:t>
            </w:r>
            <w:r w:rsidR="007972EA">
              <w:rPr>
                <w:rFonts w:hint="cs"/>
                <w:rtl/>
              </w:rPr>
              <w:t xml:space="preserve"> לפקיעת תוקפה של ההסכמה</w:t>
            </w:r>
            <w:r>
              <w:rPr>
                <w:rFonts w:hint="cs"/>
                <w:rtl/>
              </w:rPr>
              <w:t>;</w:t>
            </w:r>
          </w:p>
        </w:tc>
      </w:tr>
      <w:tr w:rsidR="00F475BD" w14:paraId="29192237" w14:textId="77777777" w:rsidTr="00F475BD">
        <w:trPr>
          <w:cantSplit/>
        </w:trPr>
        <w:tc>
          <w:tcPr>
            <w:tcW w:w="1873" w:type="dxa"/>
          </w:tcPr>
          <w:p w14:paraId="2B09A812" w14:textId="77777777" w:rsidR="00F475BD" w:rsidRDefault="00F475BD">
            <w:pPr>
              <w:pStyle w:val="TableSideHeading"/>
            </w:pPr>
          </w:p>
        </w:tc>
        <w:tc>
          <w:tcPr>
            <w:tcW w:w="625" w:type="dxa"/>
          </w:tcPr>
          <w:p w14:paraId="2C81950E" w14:textId="77777777" w:rsidR="00F475BD" w:rsidRDefault="00F475BD">
            <w:pPr>
              <w:pStyle w:val="TableText"/>
            </w:pPr>
          </w:p>
        </w:tc>
        <w:tc>
          <w:tcPr>
            <w:tcW w:w="624" w:type="dxa"/>
          </w:tcPr>
          <w:p w14:paraId="023FFDC0" w14:textId="77777777" w:rsidR="00F475BD" w:rsidRDefault="00F475BD">
            <w:pPr>
              <w:pStyle w:val="TableText"/>
            </w:pPr>
          </w:p>
        </w:tc>
        <w:tc>
          <w:tcPr>
            <w:tcW w:w="624" w:type="dxa"/>
          </w:tcPr>
          <w:p w14:paraId="6BF6630C" w14:textId="77777777" w:rsidR="00F475BD" w:rsidRDefault="00F475BD">
            <w:pPr>
              <w:pStyle w:val="TableText"/>
            </w:pPr>
          </w:p>
        </w:tc>
        <w:tc>
          <w:tcPr>
            <w:tcW w:w="5899" w:type="dxa"/>
            <w:hideMark/>
          </w:tcPr>
          <w:p w14:paraId="6642BB52" w14:textId="2B555B87" w:rsidR="00F475BD" w:rsidRDefault="00F475BD">
            <w:pPr>
              <w:pStyle w:val="TableBlock"/>
            </w:pPr>
            <w:r>
              <w:rPr>
                <w:rFonts w:hint="cs"/>
                <w:rtl/>
              </w:rPr>
              <w:t>(2)</w:t>
            </w:r>
            <w:r>
              <w:rPr>
                <w:rFonts w:hint="cs"/>
                <w:rtl/>
              </w:rPr>
              <w:tab/>
              <w:t xml:space="preserve">המטופל ביקש </w:t>
            </w:r>
            <w:r w:rsidR="00EF4FD2">
              <w:rPr>
                <w:rFonts w:hint="cs"/>
                <w:rtl/>
              </w:rPr>
              <w:t xml:space="preserve">בכתב </w:t>
            </w:r>
            <w:r>
              <w:rPr>
                <w:rFonts w:hint="cs"/>
                <w:rtl/>
              </w:rPr>
              <w:t>לחזור בו מההסכמה למסירת מידע.</w:t>
            </w:r>
          </w:p>
        </w:tc>
      </w:tr>
      <w:tr w:rsidR="00F475BD" w14:paraId="30C4CC99" w14:textId="77777777" w:rsidTr="00F475BD">
        <w:trPr>
          <w:cantSplit/>
        </w:trPr>
        <w:tc>
          <w:tcPr>
            <w:tcW w:w="1873" w:type="dxa"/>
          </w:tcPr>
          <w:p w14:paraId="44426143" w14:textId="77777777" w:rsidR="00F475BD" w:rsidRDefault="00F475BD">
            <w:pPr>
              <w:pStyle w:val="TableSideHeading"/>
            </w:pPr>
          </w:p>
        </w:tc>
        <w:tc>
          <w:tcPr>
            <w:tcW w:w="625" w:type="dxa"/>
          </w:tcPr>
          <w:p w14:paraId="419A138B" w14:textId="77777777" w:rsidR="00F475BD" w:rsidRDefault="00F475BD">
            <w:pPr>
              <w:pStyle w:val="TableText"/>
            </w:pPr>
          </w:p>
        </w:tc>
        <w:tc>
          <w:tcPr>
            <w:tcW w:w="624" w:type="dxa"/>
          </w:tcPr>
          <w:p w14:paraId="4EEC8AEB" w14:textId="77777777" w:rsidR="00F475BD" w:rsidRDefault="00F475BD">
            <w:pPr>
              <w:pStyle w:val="TableText"/>
            </w:pPr>
          </w:p>
        </w:tc>
        <w:tc>
          <w:tcPr>
            <w:tcW w:w="6523" w:type="dxa"/>
            <w:gridSpan w:val="2"/>
            <w:hideMark/>
          </w:tcPr>
          <w:p w14:paraId="639A47E3" w14:textId="55F1BCD3" w:rsidR="00F475BD" w:rsidRDefault="00F475BD">
            <w:pPr>
              <w:pStyle w:val="TableBlock"/>
            </w:pPr>
            <w:r>
              <w:rPr>
                <w:rFonts w:hint="cs"/>
                <w:rtl/>
              </w:rPr>
              <w:t>(ה)</w:t>
            </w:r>
            <w:r>
              <w:rPr>
                <w:rFonts w:hint="cs"/>
                <w:rtl/>
              </w:rPr>
              <w:tab/>
              <w:t xml:space="preserve">הסכמה למסירת מידע </w:t>
            </w:r>
            <w:r w:rsidR="007972EA">
              <w:rPr>
                <w:rFonts w:hint="cs"/>
                <w:rtl/>
              </w:rPr>
              <w:t xml:space="preserve">לפי סעיף קטן (א)(1) </w:t>
            </w:r>
            <w:r>
              <w:rPr>
                <w:rFonts w:hint="cs"/>
                <w:rtl/>
              </w:rPr>
              <w:t>ביחס למצב בריאותו הנפשית של מטופל</w:t>
            </w:r>
            <w:r w:rsidR="007972EA">
              <w:rPr>
                <w:rFonts w:hint="cs"/>
                <w:rtl/>
              </w:rPr>
              <w:t>,</w:t>
            </w:r>
            <w:r>
              <w:rPr>
                <w:rFonts w:hint="cs"/>
                <w:rtl/>
              </w:rPr>
              <w:t xml:space="preserve"> תינתן על ידי המטופל באופן נפרד מהסכמתו למסירת מידע ביחס למצב בריאותו הגופנית.</w:t>
            </w:r>
            <w:r w:rsidR="00A230A3">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6E0B54B5" w14:textId="77777777" w:rsidR="00F475BD" w:rsidRDefault="00F475BD" w:rsidP="00F475BD">
      <w:pPr>
        <w:pStyle w:val="Hesber"/>
      </w:pPr>
      <w:r>
        <w:rPr>
          <w:rFonts w:hint="cs"/>
          <w:rtl/>
        </w:rPr>
        <w:t xml:space="preserve">סעיף 20 לחוק זכויות החולה, התשנ"ו–1996, קובע מצבים שבהם מטפל או מוסד רפואי רשאים למסור מידע רפואי לאחר, וזאת על בסיס עקרונות המאזנים בין הצורך במסירת המידע, לבין השמירה על כבודו ועל פרטיותו של המטופל. ואולם, ההסדר הקיים בחוק עלול לפגוע בפרטיותו של המטופל. לפיכך, </w:t>
      </w:r>
      <w:r>
        <w:rPr>
          <w:rFonts w:hint="cs"/>
          <w:rtl/>
        </w:rPr>
        <w:lastRenderedPageBreak/>
        <w:t xml:space="preserve">מוצע לקבוע כי מסירת המידע תיעשה בהתחשב במטרה שלשמה נמסר המידע ובגורם שאליו יימסר המידע. </w:t>
      </w:r>
    </w:p>
    <w:p w14:paraId="08E2E781" w14:textId="257D91C3" w:rsidR="00EF4FD2" w:rsidRDefault="00F475BD" w:rsidP="0063491C">
      <w:pPr>
        <w:pStyle w:val="Hesber"/>
        <w:rPr>
          <w:rtl/>
        </w:rPr>
      </w:pPr>
      <w:r>
        <w:rPr>
          <w:rFonts w:hint="cs"/>
          <w:rtl/>
        </w:rPr>
        <w:t>כמו כן, מוצע לקבוע כי ההסכמה למסירת מידע רפואי תינתן בכתב</w:t>
      </w:r>
      <w:r w:rsidR="00EF4FD2">
        <w:rPr>
          <w:rFonts w:hint="cs"/>
          <w:rtl/>
        </w:rPr>
        <w:t xml:space="preserve">, ויצוינו בה, באופן בולט התאריך שבו יפוג תוקפה של ההסכמה למסירת מידע רפואי לאחר, הצורך שלשמו ניתנה ההסכמה והגורם לו ניתנה הרשות לעיין במידע הרפואי.  </w:t>
      </w:r>
    </w:p>
    <w:p w14:paraId="43BD8742" w14:textId="6738C2CE" w:rsidR="00F475BD" w:rsidRDefault="00EF4FD2" w:rsidP="0063491C">
      <w:pPr>
        <w:pStyle w:val="Hesber"/>
        <w:rPr>
          <w:rtl/>
        </w:rPr>
      </w:pPr>
      <w:r>
        <w:rPr>
          <w:rFonts w:hint="cs"/>
          <w:rtl/>
        </w:rPr>
        <w:t xml:space="preserve">ההסכמה למסירת המידע </w:t>
      </w:r>
      <w:r w:rsidR="00F475BD">
        <w:rPr>
          <w:rFonts w:hint="cs"/>
          <w:rtl/>
        </w:rPr>
        <w:t>תפקע בתום שנה מעת שניתנה אלא אם כן נקבע בעת מתן ההסכמה מועד אחר לפקיעת ההסכמה</w:t>
      </w:r>
      <w:r>
        <w:rPr>
          <w:rFonts w:hint="cs"/>
          <w:rtl/>
        </w:rPr>
        <w:t>, או אם חזר בו המטופל מהסכמתו</w:t>
      </w:r>
      <w:r w:rsidR="00F475BD">
        <w:rPr>
          <w:rFonts w:hint="cs"/>
          <w:rtl/>
        </w:rPr>
        <w:t xml:space="preserve">. </w:t>
      </w:r>
    </w:p>
    <w:p w14:paraId="58FAD135" w14:textId="25EC6989" w:rsidR="00F475BD" w:rsidRDefault="00F475BD" w:rsidP="00405104">
      <w:pPr>
        <w:pStyle w:val="Hesber"/>
        <w:rPr>
          <w:rtl/>
        </w:rPr>
      </w:pPr>
      <w:r>
        <w:rPr>
          <w:rFonts w:hint="cs"/>
          <w:rtl/>
        </w:rPr>
        <w:t xml:space="preserve">כמו כן, לעיתים נמסר יחד עם המידע על מצב בריאתו הגופני של מטופל גם מידע על מצבו הנפשי, אף שבריאותו הנפשית של המטופל כלל אינה רלוונטית לנושא שאותו </w:t>
      </w:r>
      <w:r w:rsidR="00405104">
        <w:rPr>
          <w:rFonts w:hint="cs"/>
          <w:rtl/>
        </w:rPr>
        <w:t>ש</w:t>
      </w:r>
      <w:r>
        <w:rPr>
          <w:rFonts w:hint="cs"/>
          <w:rtl/>
        </w:rPr>
        <w:t xml:space="preserve">מבקשים לבדוק, לצורך שהתעורר ולסיבה שבשלה הסכים שימסרו מידע רפואי הנוגע אליו. לפיכך, מוצע שהסכמה למסירת מידע רפואי לאחר ביחס </w:t>
      </w:r>
      <w:r w:rsidR="00405104">
        <w:rPr>
          <w:rFonts w:hint="cs"/>
          <w:rtl/>
        </w:rPr>
        <w:t>בנוגע</w:t>
      </w:r>
      <w:r>
        <w:rPr>
          <w:rFonts w:hint="cs"/>
          <w:rtl/>
        </w:rPr>
        <w:t xml:space="preserve"> בריאותו הגופנית של מטופל תינתן באופן נפרד מהסכמתו </w:t>
      </w:r>
      <w:r w:rsidR="00405104">
        <w:rPr>
          <w:rFonts w:hint="cs"/>
          <w:rtl/>
        </w:rPr>
        <w:t>בנוגע</w:t>
      </w:r>
      <w:r>
        <w:rPr>
          <w:rFonts w:hint="cs"/>
          <w:rtl/>
        </w:rPr>
        <w:t xml:space="preserve"> למצב בריאותו הנפשית.</w:t>
      </w:r>
    </w:p>
    <w:p w14:paraId="00BBD9BB" w14:textId="6BC15168" w:rsidR="00F475BD" w:rsidRDefault="00F475BD" w:rsidP="0063491C">
      <w:pPr>
        <w:pStyle w:val="Hesber"/>
        <w:rPr>
          <w:rFonts w:hint="cs"/>
          <w:rtl/>
        </w:rPr>
      </w:pPr>
      <w:r>
        <w:rPr>
          <w:rFonts w:hint="cs"/>
          <w:rtl/>
        </w:rPr>
        <w:t xml:space="preserve">הצעת חוק </w:t>
      </w:r>
      <w:r w:rsidR="00BB6862">
        <w:rPr>
          <w:rFonts w:hint="cs"/>
          <w:rtl/>
        </w:rPr>
        <w:t xml:space="preserve">דומה בעיקרה </w:t>
      </w:r>
      <w:r>
        <w:rPr>
          <w:rFonts w:hint="cs"/>
          <w:rtl/>
        </w:rPr>
        <w:t>הונחה על שולחן הכנסת התשע-עשרה על ידי חברת הכנסת אורית סטרוק וקבוצת חברי הכנסת</w:t>
      </w:r>
      <w:r w:rsidR="00BB6862">
        <w:rPr>
          <w:rFonts w:hint="cs"/>
          <w:rtl/>
        </w:rPr>
        <w:t xml:space="preserve"> </w:t>
      </w:r>
      <w:r>
        <w:rPr>
          <w:rFonts w:hint="cs"/>
          <w:rtl/>
        </w:rPr>
        <w:t>(פ/2637/19).</w:t>
      </w:r>
    </w:p>
    <w:p w14:paraId="1074A908" w14:textId="3DCC345E" w:rsidR="00A230A3" w:rsidRDefault="00A230A3" w:rsidP="0063491C">
      <w:pPr>
        <w:pStyle w:val="Hesber"/>
        <w:rPr>
          <w:rFonts w:hint="cs"/>
          <w:rtl/>
        </w:rPr>
      </w:pPr>
    </w:p>
    <w:p w14:paraId="0E2BB505" w14:textId="77777777" w:rsidR="00A230A3" w:rsidRDefault="00A230A3" w:rsidP="0063491C">
      <w:pPr>
        <w:pStyle w:val="Hesber"/>
        <w:rPr>
          <w:rtl/>
        </w:rPr>
      </w:pPr>
      <w:bookmarkStart w:id="8" w:name="_GoBack"/>
      <w:bookmarkEnd w:id="8"/>
    </w:p>
    <w:p w14:paraId="2E1AF9E3" w14:textId="77777777" w:rsidR="00A230A3" w:rsidRDefault="00A230A3" w:rsidP="00A230A3">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w:t>
      </w:r>
    </w:p>
    <w:p w14:paraId="5BF14750" w14:textId="77777777" w:rsidR="00A230A3" w:rsidRDefault="00A230A3" w:rsidP="00A230A3">
      <w:pPr>
        <w:ind w:left="340" w:firstLine="0"/>
        <w:rPr>
          <w:rFonts w:ascii="Arial" w:eastAsia="Arial Unicode MS" w:hAnsi="Arial" w:cs="David" w:hint="cs"/>
          <w:snapToGrid w:val="0"/>
          <w:spacing w:val="0"/>
          <w:sz w:val="20"/>
          <w:szCs w:val="26"/>
          <w:rtl/>
        </w:rPr>
      </w:pPr>
      <w:r>
        <w:rPr>
          <w:rFonts w:ascii="Arial" w:eastAsia="Arial Unicode MS" w:hAnsi="Arial" w:cs="David" w:hint="cs"/>
          <w:snapToGrid w:val="0"/>
          <w:spacing w:val="0"/>
          <w:sz w:val="20"/>
          <w:szCs w:val="26"/>
          <w:rtl/>
        </w:rPr>
        <w:t>הוגשה ליו"ר הכנסת והסגנים</w:t>
      </w:r>
    </w:p>
    <w:p w14:paraId="5249BDB3" w14:textId="77777777" w:rsidR="00A230A3" w:rsidRDefault="00A230A3" w:rsidP="00A230A3">
      <w:pPr>
        <w:ind w:left="340" w:firstLine="0"/>
        <w:rPr>
          <w:rFonts w:ascii="Arial" w:eastAsia="Arial Unicode MS" w:hAnsi="Arial" w:cs="David" w:hint="cs"/>
          <w:snapToGrid w:val="0"/>
          <w:spacing w:val="0"/>
          <w:sz w:val="20"/>
          <w:szCs w:val="26"/>
          <w:rtl/>
        </w:rPr>
      </w:pPr>
      <w:r>
        <w:rPr>
          <w:rFonts w:ascii="Arial" w:eastAsia="Arial Unicode MS" w:hAnsi="Arial" w:cs="David" w:hint="cs"/>
          <w:snapToGrid w:val="0"/>
          <w:spacing w:val="0"/>
          <w:sz w:val="20"/>
          <w:szCs w:val="26"/>
          <w:rtl/>
        </w:rPr>
        <w:t>והונחה על שולחן הכנסת ביום</w:t>
      </w:r>
    </w:p>
    <w:p w14:paraId="71FF5C9B" w14:textId="77777777" w:rsidR="00A230A3" w:rsidRDefault="00A230A3" w:rsidP="00A230A3">
      <w:pPr>
        <w:ind w:left="340" w:firstLine="0"/>
        <w:rPr>
          <w:rFonts w:ascii="Arial" w:eastAsia="Arial Unicode MS" w:hAnsi="Arial" w:cs="David" w:hint="cs"/>
          <w:snapToGrid w:val="0"/>
          <w:spacing w:val="0"/>
          <w:sz w:val="20"/>
          <w:szCs w:val="26"/>
          <w:rtl/>
        </w:rPr>
      </w:pPr>
      <w:r>
        <w:rPr>
          <w:rFonts w:ascii="Arial" w:eastAsia="Arial Unicode MS" w:hAnsi="Arial" w:cs="David" w:hint="cs"/>
          <w:snapToGrid w:val="0"/>
          <w:spacing w:val="0"/>
          <w:sz w:val="20"/>
          <w:szCs w:val="26"/>
          <w:rtl/>
        </w:rPr>
        <w:t>כ"ט באייר התשע"ה – 18.5.15</w:t>
      </w:r>
    </w:p>
    <w:p w14:paraId="6C90ABAE" w14:textId="77777777" w:rsidR="00A230A3" w:rsidRDefault="00A230A3" w:rsidP="00A230A3">
      <w:pPr>
        <w:ind w:left="340" w:firstLine="0"/>
        <w:rPr>
          <w:rFonts w:ascii="Arial" w:eastAsia="Arial Unicode MS" w:hAnsi="Arial" w:cs="David"/>
          <w:snapToGrid w:val="0"/>
          <w:spacing w:val="0"/>
          <w:sz w:val="20"/>
          <w:szCs w:val="26"/>
        </w:rPr>
      </w:pPr>
    </w:p>
    <w:p w14:paraId="05171858" w14:textId="77777777" w:rsidR="00A230A3" w:rsidRDefault="00A230A3" w:rsidP="00A230A3">
      <w:pPr>
        <w:spacing w:line="360" w:lineRule="auto"/>
        <w:rPr>
          <w:rFonts w:hint="cs"/>
          <w:rtl/>
        </w:rPr>
      </w:pPr>
    </w:p>
    <w:p w14:paraId="620D8B42" w14:textId="77777777" w:rsidR="00A230A3" w:rsidRDefault="00A230A3" w:rsidP="00A230A3">
      <w:pPr>
        <w:spacing w:line="360" w:lineRule="auto"/>
      </w:pPr>
    </w:p>
    <w:p w14:paraId="7F6961CB" w14:textId="77777777" w:rsidR="00E13C27" w:rsidRPr="00A230A3" w:rsidRDefault="00E13C27" w:rsidP="00E13C27">
      <w:pPr>
        <w:pStyle w:val="Hesber"/>
        <w:rPr>
          <w:rtl/>
        </w:rPr>
      </w:pPr>
    </w:p>
    <w:sectPr w:rsidR="00E13C27" w:rsidRPr="00A230A3"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61D3" w14:textId="77777777" w:rsidR="00C23B1A" w:rsidRDefault="00C23B1A">
      <w:r>
        <w:separator/>
      </w:r>
    </w:p>
  </w:endnote>
  <w:endnote w:type="continuationSeparator" w:id="0">
    <w:p w14:paraId="7F6961D4" w14:textId="77777777" w:rsidR="00C23B1A" w:rsidRDefault="00C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5"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7"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230A3">
      <w:rPr>
        <w:rStyle w:val="ab"/>
        <w:noProof/>
        <w:rtl/>
      </w:rPr>
      <w:t>2</w:t>
    </w:r>
    <w:r>
      <w:rPr>
        <w:rStyle w:val="ab"/>
        <w:rtl/>
      </w:rPr>
      <w:fldChar w:fldCharType="end"/>
    </w:r>
  </w:p>
  <w:p w14:paraId="7F6961D8" w14:textId="77777777"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961D0" w14:textId="77777777" w:rsidR="00C23B1A" w:rsidRDefault="00C23B1A">
      <w:r>
        <w:separator/>
      </w:r>
    </w:p>
  </w:footnote>
  <w:footnote w:type="continuationSeparator" w:id="0">
    <w:p w14:paraId="7F6961D1" w14:textId="77777777" w:rsidR="00C23B1A" w:rsidRDefault="00C23B1A">
      <w:r>
        <w:continuationSeparator/>
      </w:r>
    </w:p>
  </w:footnote>
  <w:footnote w:type="continuationNotice" w:id="1">
    <w:p w14:paraId="7F6961D2" w14:textId="77777777" w:rsidR="00C23B1A" w:rsidRDefault="00C23B1A"/>
  </w:footnote>
  <w:footnote w:id="2">
    <w:p w14:paraId="494A799D" w14:textId="77777777" w:rsidR="00F475BD" w:rsidRDefault="00F475BD" w:rsidP="00F475BD">
      <w:pPr>
        <w:pStyle w:val="a4"/>
      </w:pPr>
      <w:r>
        <w:rPr>
          <w:rStyle w:val="a6"/>
        </w:rPr>
        <w:footnoteRef/>
      </w:r>
      <w:r>
        <w:rPr>
          <w:rFonts w:hint="cs"/>
          <w:rtl/>
        </w:rPr>
        <w:t xml:space="preserve"> ס"ח התשנ"ו, עמ' 327.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7681A"/>
    <w:rsid w:val="000A542E"/>
    <w:rsid w:val="00102B6B"/>
    <w:rsid w:val="001052D4"/>
    <w:rsid w:val="0010644B"/>
    <w:rsid w:val="001207F8"/>
    <w:rsid w:val="00121924"/>
    <w:rsid w:val="001279A8"/>
    <w:rsid w:val="0014195F"/>
    <w:rsid w:val="00152609"/>
    <w:rsid w:val="00153E1B"/>
    <w:rsid w:val="001A0623"/>
    <w:rsid w:val="001C23B0"/>
    <w:rsid w:val="00203A7F"/>
    <w:rsid w:val="002200A1"/>
    <w:rsid w:val="002362BF"/>
    <w:rsid w:val="00241B97"/>
    <w:rsid w:val="00246756"/>
    <w:rsid w:val="00251E58"/>
    <w:rsid w:val="00254605"/>
    <w:rsid w:val="002728B4"/>
    <w:rsid w:val="0027600C"/>
    <w:rsid w:val="00292712"/>
    <w:rsid w:val="002A487D"/>
    <w:rsid w:val="002C2E29"/>
    <w:rsid w:val="002D1EE3"/>
    <w:rsid w:val="002F1D80"/>
    <w:rsid w:val="003232A2"/>
    <w:rsid w:val="00325C14"/>
    <w:rsid w:val="003710F6"/>
    <w:rsid w:val="00386E88"/>
    <w:rsid w:val="00396585"/>
    <w:rsid w:val="003D74A0"/>
    <w:rsid w:val="004033D8"/>
    <w:rsid w:val="00405104"/>
    <w:rsid w:val="004073F0"/>
    <w:rsid w:val="00412A7D"/>
    <w:rsid w:val="00416B4D"/>
    <w:rsid w:val="00417CFC"/>
    <w:rsid w:val="004B24ED"/>
    <w:rsid w:val="004D2D82"/>
    <w:rsid w:val="004D3876"/>
    <w:rsid w:val="004E4552"/>
    <w:rsid w:val="00553C9D"/>
    <w:rsid w:val="00562A66"/>
    <w:rsid w:val="005B064E"/>
    <w:rsid w:val="005D51AE"/>
    <w:rsid w:val="0062674B"/>
    <w:rsid w:val="0063491C"/>
    <w:rsid w:val="006363B2"/>
    <w:rsid w:val="00644940"/>
    <w:rsid w:val="006818A9"/>
    <w:rsid w:val="006A2D81"/>
    <w:rsid w:val="006C1D0D"/>
    <w:rsid w:val="0070601E"/>
    <w:rsid w:val="00712C72"/>
    <w:rsid w:val="00735FE9"/>
    <w:rsid w:val="00763CAA"/>
    <w:rsid w:val="00765F66"/>
    <w:rsid w:val="007972EA"/>
    <w:rsid w:val="007C3FA6"/>
    <w:rsid w:val="007D585A"/>
    <w:rsid w:val="007D5A12"/>
    <w:rsid w:val="007E59F9"/>
    <w:rsid w:val="00810BCD"/>
    <w:rsid w:val="00812C98"/>
    <w:rsid w:val="00814D92"/>
    <w:rsid w:val="0083181D"/>
    <w:rsid w:val="00874BBC"/>
    <w:rsid w:val="00892135"/>
    <w:rsid w:val="00895449"/>
    <w:rsid w:val="00897879"/>
    <w:rsid w:val="008A6870"/>
    <w:rsid w:val="008C2DDC"/>
    <w:rsid w:val="008C7516"/>
    <w:rsid w:val="008E6EC7"/>
    <w:rsid w:val="008F0D63"/>
    <w:rsid w:val="008F2C35"/>
    <w:rsid w:val="008F6665"/>
    <w:rsid w:val="0091204F"/>
    <w:rsid w:val="009203DB"/>
    <w:rsid w:val="00923CD4"/>
    <w:rsid w:val="00943386"/>
    <w:rsid w:val="009456B6"/>
    <w:rsid w:val="00957589"/>
    <w:rsid w:val="00966D06"/>
    <w:rsid w:val="00982412"/>
    <w:rsid w:val="00983A8D"/>
    <w:rsid w:val="009A7257"/>
    <w:rsid w:val="009D6E0A"/>
    <w:rsid w:val="00A14672"/>
    <w:rsid w:val="00A230A3"/>
    <w:rsid w:val="00A26BD6"/>
    <w:rsid w:val="00A443CF"/>
    <w:rsid w:val="00A6611D"/>
    <w:rsid w:val="00A82CB7"/>
    <w:rsid w:val="00AA2F03"/>
    <w:rsid w:val="00AC36F7"/>
    <w:rsid w:val="00AC63A4"/>
    <w:rsid w:val="00AD239E"/>
    <w:rsid w:val="00B10265"/>
    <w:rsid w:val="00B21211"/>
    <w:rsid w:val="00B35784"/>
    <w:rsid w:val="00B733A7"/>
    <w:rsid w:val="00B841D3"/>
    <w:rsid w:val="00B975AD"/>
    <w:rsid w:val="00BB6862"/>
    <w:rsid w:val="00BC45FB"/>
    <w:rsid w:val="00BF148D"/>
    <w:rsid w:val="00C23B1A"/>
    <w:rsid w:val="00C310EB"/>
    <w:rsid w:val="00C9176A"/>
    <w:rsid w:val="00CF1AA2"/>
    <w:rsid w:val="00D63620"/>
    <w:rsid w:val="00D8410D"/>
    <w:rsid w:val="00D867D7"/>
    <w:rsid w:val="00DB7060"/>
    <w:rsid w:val="00DE3153"/>
    <w:rsid w:val="00E06736"/>
    <w:rsid w:val="00E13C27"/>
    <w:rsid w:val="00E14B0E"/>
    <w:rsid w:val="00E33BBD"/>
    <w:rsid w:val="00E45103"/>
    <w:rsid w:val="00E665B9"/>
    <w:rsid w:val="00EA01E6"/>
    <w:rsid w:val="00EA3DE8"/>
    <w:rsid w:val="00EA758F"/>
    <w:rsid w:val="00ED4A6F"/>
    <w:rsid w:val="00EF3A3A"/>
    <w:rsid w:val="00EF4FD2"/>
    <w:rsid w:val="00F475BD"/>
    <w:rsid w:val="00F628D6"/>
    <w:rsid w:val="00F67051"/>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F475BD"/>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F475BD"/>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69966">
      <w:bodyDiv w:val="1"/>
      <w:marLeft w:val="0"/>
      <w:marRight w:val="0"/>
      <w:marTop w:val="0"/>
      <w:marBottom w:val="0"/>
      <w:divBdr>
        <w:top w:val="none" w:sz="0" w:space="0" w:color="auto"/>
        <w:left w:val="none" w:sz="0" w:space="0" w:color="auto"/>
        <w:bottom w:val="none" w:sz="0" w:space="0" w:color="auto"/>
        <w:right w:val="none" w:sz="0" w:space="0" w:color="auto"/>
      </w:divBdr>
    </w:div>
    <w:div w:id="1034424368">
      <w:bodyDiv w:val="1"/>
      <w:marLeft w:val="0"/>
      <w:marRight w:val="0"/>
      <w:marTop w:val="0"/>
      <w:marBottom w:val="0"/>
      <w:divBdr>
        <w:top w:val="none" w:sz="0" w:space="0" w:color="auto"/>
        <w:left w:val="none" w:sz="0" w:space="0" w:color="auto"/>
        <w:bottom w:val="none" w:sz="0" w:space="0" w:color="auto"/>
        <w:right w:val="none" w:sz="0" w:space="0" w:color="auto"/>
      </w:divBdr>
    </w:div>
    <w:div w:id="1905026862">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0074A4D8-A0F5-4107-86F0-04D5553AC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E3F964-714C-4396-BFC6-5B922FFB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385</Words>
  <Characters>1925</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2015-05-14T10:49:00Z</cp:lastPrinted>
  <dcterms:created xsi:type="dcterms:W3CDTF">2015-03-26T08:06:00Z</dcterms:created>
  <dcterms:modified xsi:type="dcterms:W3CDTF">2015-05-14T10:49:00Z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0354fdee-f711-4d2a-9cf2-2d1c4d9ac92a</vt:lpwstr>
  </property>
  <property fmtid="{D5CDD505-2E9C-101B-9397-08002B2CF9AE}" pid="4" name="SanhedrinDocumentType">
    <vt:r8>10</vt:r8>
  </property>
  <property fmtid="{D5CDD505-2E9C-101B-9397-08002B2CF9AE}" pid="5" name="SanhedrinItemID">
    <vt:r8>563721</vt:r8>
  </property>
</Properties>
</file>