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66176C">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66176C">
      <w:pPr>
        <w:pStyle w:val="David"/>
        <w:spacing w:line="360" w:lineRule="auto"/>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פ/949/20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66176C">
      <w:pPr>
        <w:pStyle w:val="HeadHatzaotHok"/>
        <w:rPr>
          <w:rtl/>
        </w:rPr>
      </w:pPr>
      <w:bookmarkStart w:id="7" w:name="LGS_Subject"/>
      <w:r>
        <w:rPr>
          <w:rFonts w:hint="cs"/>
          <w:rtl/>
        </w:rPr>
        <w:t>הצעת חוק הביטוח הלאומי (תיקון – גמלת אבל), התשע"ה–2015</w:t>
      </w:r>
      <w:bookmarkEnd w:id="7"/>
    </w:p>
    <w:p w14:paraId="7F6961AE" w14:textId="77777777" w:rsidR="00E13C27" w:rsidRDefault="00E13C27" w:rsidP="0000131B">
      <w:pPr>
        <w:pStyle w:val="HeadDivreiHesber"/>
        <w:spacing w:before="0" w:after="0" w:line="240" w:lineRule="auto"/>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5"/>
        <w:gridCol w:w="625"/>
        <w:gridCol w:w="624"/>
        <w:gridCol w:w="624"/>
        <w:gridCol w:w="624"/>
        <w:gridCol w:w="624"/>
        <w:gridCol w:w="4027"/>
      </w:tblGrid>
      <w:tr w:rsidR="00E47EF5" w14:paraId="726A2E62" w14:textId="77777777" w:rsidTr="00E47EF5">
        <w:trPr>
          <w:cantSplit/>
        </w:trPr>
        <w:tc>
          <w:tcPr>
            <w:tcW w:w="1872" w:type="dxa"/>
            <w:hideMark/>
          </w:tcPr>
          <w:p w14:paraId="3E29DC0F" w14:textId="77777777" w:rsidR="00E47EF5" w:rsidRDefault="00E47EF5">
            <w:pPr>
              <w:pStyle w:val="TableSideHeading"/>
              <w:keepLines w:val="0"/>
            </w:pPr>
            <w:r>
              <w:rPr>
                <w:rFonts w:hint="cs"/>
                <w:rtl/>
              </w:rPr>
              <w:t>הוספת סימן ו'</w:t>
            </w:r>
          </w:p>
        </w:tc>
        <w:tc>
          <w:tcPr>
            <w:tcW w:w="625" w:type="dxa"/>
          </w:tcPr>
          <w:p w14:paraId="66EC0D3B" w14:textId="77777777" w:rsidR="00E47EF5" w:rsidRDefault="00E47EF5" w:rsidP="00E47EF5">
            <w:pPr>
              <w:pStyle w:val="TableText"/>
              <w:keepLines w:val="0"/>
              <w:numPr>
                <w:ilvl w:val="0"/>
                <w:numId w:val="15"/>
              </w:numPr>
              <w:textAlignment w:val="auto"/>
            </w:pPr>
          </w:p>
        </w:tc>
        <w:tc>
          <w:tcPr>
            <w:tcW w:w="7148" w:type="dxa"/>
            <w:gridSpan w:val="6"/>
            <w:hideMark/>
          </w:tcPr>
          <w:p w14:paraId="08C46BDA" w14:textId="77777777" w:rsidR="00E47EF5" w:rsidRDefault="00E47EF5">
            <w:pPr>
              <w:pStyle w:val="TableBlock"/>
            </w:pPr>
            <w:r>
              <w:rPr>
                <w:rFonts w:hint="cs"/>
                <w:rtl/>
              </w:rPr>
              <w:t>בחוק הביטוח הלאומי [נוסח משולב], התשנ"ה–1995</w:t>
            </w:r>
            <w:r>
              <w:rPr>
                <w:rStyle w:val="a6"/>
                <w:rtl/>
              </w:rPr>
              <w:footnoteReference w:id="2"/>
            </w:r>
            <w:r>
              <w:rPr>
                <w:rFonts w:hint="cs"/>
                <w:rtl/>
              </w:rPr>
              <w:t>, אחרי סעיף 269 יבוא:</w:t>
            </w:r>
          </w:p>
        </w:tc>
      </w:tr>
      <w:tr w:rsidR="00E47EF5" w14:paraId="2B381CB8" w14:textId="77777777" w:rsidTr="00E47EF5">
        <w:trPr>
          <w:cantSplit/>
        </w:trPr>
        <w:tc>
          <w:tcPr>
            <w:tcW w:w="1872" w:type="dxa"/>
          </w:tcPr>
          <w:p w14:paraId="6E825B89" w14:textId="77777777" w:rsidR="00E47EF5" w:rsidRDefault="00E47EF5">
            <w:pPr>
              <w:pStyle w:val="TableSideHeading"/>
            </w:pPr>
          </w:p>
        </w:tc>
        <w:tc>
          <w:tcPr>
            <w:tcW w:w="625" w:type="dxa"/>
          </w:tcPr>
          <w:p w14:paraId="19FE933A" w14:textId="77777777" w:rsidR="00E47EF5" w:rsidRDefault="00E47EF5">
            <w:pPr>
              <w:pStyle w:val="TableText"/>
            </w:pPr>
          </w:p>
        </w:tc>
        <w:tc>
          <w:tcPr>
            <w:tcW w:w="7148" w:type="dxa"/>
            <w:gridSpan w:val="6"/>
            <w:hideMark/>
          </w:tcPr>
          <w:p w14:paraId="5662E6AB" w14:textId="77777777" w:rsidR="00E47EF5" w:rsidRDefault="00E47EF5">
            <w:pPr>
              <w:pStyle w:val="TableHead"/>
            </w:pPr>
            <w:r>
              <w:rPr>
                <w:rFonts w:hint="cs"/>
                <w:b w:val="0"/>
                <w:bCs w:val="0"/>
                <w:rtl/>
              </w:rPr>
              <w:t>"</w:t>
            </w:r>
            <w:r>
              <w:rPr>
                <w:rFonts w:hint="cs"/>
                <w:rtl/>
              </w:rPr>
              <w:t>סימן ו': גמלת אבל</w:t>
            </w:r>
          </w:p>
        </w:tc>
      </w:tr>
      <w:tr w:rsidR="00E47EF5" w14:paraId="43059A0E" w14:textId="77777777" w:rsidTr="00E47EF5">
        <w:trPr>
          <w:cantSplit/>
        </w:trPr>
        <w:tc>
          <w:tcPr>
            <w:tcW w:w="1872" w:type="dxa"/>
          </w:tcPr>
          <w:p w14:paraId="22B27638" w14:textId="77777777" w:rsidR="00E47EF5" w:rsidRDefault="00E47EF5">
            <w:pPr>
              <w:pStyle w:val="TableSideHeading"/>
              <w:ind w:right="0"/>
            </w:pPr>
          </w:p>
        </w:tc>
        <w:tc>
          <w:tcPr>
            <w:tcW w:w="625" w:type="dxa"/>
          </w:tcPr>
          <w:p w14:paraId="336DFEBD" w14:textId="77777777" w:rsidR="00E47EF5" w:rsidRDefault="00E47EF5">
            <w:pPr>
              <w:pStyle w:val="TableText"/>
              <w:ind w:right="0"/>
              <w:jc w:val="both"/>
            </w:pPr>
          </w:p>
        </w:tc>
        <w:tc>
          <w:tcPr>
            <w:tcW w:w="1873" w:type="dxa"/>
            <w:gridSpan w:val="3"/>
            <w:hideMark/>
          </w:tcPr>
          <w:p w14:paraId="1DD25B93" w14:textId="77777777" w:rsidR="00E47EF5" w:rsidRDefault="00E47EF5">
            <w:pPr>
              <w:pStyle w:val="TableInnerSideHeading"/>
              <w:ind w:right="0"/>
            </w:pPr>
            <w:r>
              <w:rPr>
                <w:rFonts w:hint="cs"/>
                <w:rtl/>
              </w:rPr>
              <w:t>גמלת אבל</w:t>
            </w:r>
          </w:p>
        </w:tc>
        <w:tc>
          <w:tcPr>
            <w:tcW w:w="624" w:type="dxa"/>
            <w:hideMark/>
          </w:tcPr>
          <w:p w14:paraId="2A0FD1BF" w14:textId="77777777" w:rsidR="00E47EF5" w:rsidRDefault="00E47EF5">
            <w:pPr>
              <w:pStyle w:val="TableText"/>
              <w:ind w:right="0"/>
              <w:jc w:val="both"/>
            </w:pPr>
            <w:r>
              <w:rPr>
                <w:rFonts w:hint="cs"/>
                <w:rtl/>
              </w:rPr>
              <w:t>269א.</w:t>
            </w:r>
          </w:p>
        </w:tc>
        <w:tc>
          <w:tcPr>
            <w:tcW w:w="4651" w:type="dxa"/>
            <w:gridSpan w:val="2"/>
            <w:hideMark/>
          </w:tcPr>
          <w:p w14:paraId="3BEE60D5" w14:textId="221D1B70" w:rsidR="00E47EF5" w:rsidRDefault="00E47EF5">
            <w:pPr>
              <w:pStyle w:val="TableBlock"/>
            </w:pPr>
            <w:r>
              <w:rPr>
                <w:rFonts w:hint="cs"/>
                <w:rtl/>
              </w:rPr>
              <w:t>(א)</w:t>
            </w:r>
            <w:r>
              <w:rPr>
                <w:rFonts w:hint="cs"/>
                <w:rtl/>
              </w:rPr>
              <w:tab/>
              <w:t>מבוטח שמטעמי דת או נוהג לא עבד כעובד, או כעובד עצמאי, עקב ימי אבל בשל מות בן זוג, הורה, ילד, או אח של המבוטח, ישלם לו המוסד גמלה בעד הימים שבהם לא עבד כאמור</w:t>
            </w:r>
            <w:r w:rsidR="00A17D39">
              <w:rPr>
                <w:rFonts w:hint="cs"/>
                <w:rtl/>
              </w:rPr>
              <w:t xml:space="preserve"> (להלן – יום אבל)</w:t>
            </w:r>
            <w:r>
              <w:rPr>
                <w:rFonts w:hint="cs"/>
                <w:rtl/>
              </w:rPr>
              <w:t>, ולא יותר מ-6 ימים.</w:t>
            </w:r>
          </w:p>
        </w:tc>
      </w:tr>
      <w:tr w:rsidR="00E47EF5" w14:paraId="5E733E2F" w14:textId="77777777" w:rsidTr="00E47EF5">
        <w:trPr>
          <w:cantSplit/>
        </w:trPr>
        <w:tc>
          <w:tcPr>
            <w:tcW w:w="1872" w:type="dxa"/>
          </w:tcPr>
          <w:p w14:paraId="48F3DA49" w14:textId="77777777" w:rsidR="00E47EF5" w:rsidRDefault="00E47EF5">
            <w:pPr>
              <w:pStyle w:val="TableSideHeading"/>
              <w:ind w:right="0"/>
            </w:pPr>
          </w:p>
        </w:tc>
        <w:tc>
          <w:tcPr>
            <w:tcW w:w="625" w:type="dxa"/>
          </w:tcPr>
          <w:p w14:paraId="4E09FC22" w14:textId="77777777" w:rsidR="00E47EF5" w:rsidRDefault="00E47EF5">
            <w:pPr>
              <w:pStyle w:val="TableText"/>
              <w:ind w:right="0"/>
              <w:jc w:val="both"/>
            </w:pPr>
          </w:p>
        </w:tc>
        <w:tc>
          <w:tcPr>
            <w:tcW w:w="625" w:type="dxa"/>
          </w:tcPr>
          <w:p w14:paraId="701A877B" w14:textId="77777777" w:rsidR="00E47EF5" w:rsidRDefault="00E47EF5">
            <w:pPr>
              <w:pStyle w:val="TableText"/>
              <w:ind w:right="0"/>
              <w:jc w:val="both"/>
            </w:pPr>
          </w:p>
        </w:tc>
        <w:tc>
          <w:tcPr>
            <w:tcW w:w="624" w:type="dxa"/>
          </w:tcPr>
          <w:p w14:paraId="44CC5F70" w14:textId="77777777" w:rsidR="00E47EF5" w:rsidRDefault="00E47EF5">
            <w:pPr>
              <w:pStyle w:val="TableText"/>
              <w:ind w:right="0"/>
              <w:jc w:val="both"/>
            </w:pPr>
          </w:p>
        </w:tc>
        <w:tc>
          <w:tcPr>
            <w:tcW w:w="624" w:type="dxa"/>
          </w:tcPr>
          <w:p w14:paraId="6F7618C9" w14:textId="77777777" w:rsidR="00E47EF5" w:rsidRDefault="00E47EF5">
            <w:pPr>
              <w:pStyle w:val="TableText"/>
              <w:ind w:right="0"/>
              <w:jc w:val="both"/>
            </w:pPr>
          </w:p>
        </w:tc>
        <w:tc>
          <w:tcPr>
            <w:tcW w:w="624" w:type="dxa"/>
          </w:tcPr>
          <w:p w14:paraId="20A1D3B4" w14:textId="77777777" w:rsidR="00E47EF5" w:rsidRDefault="00E47EF5">
            <w:pPr>
              <w:pStyle w:val="TableText"/>
              <w:ind w:right="0"/>
              <w:jc w:val="both"/>
            </w:pPr>
          </w:p>
        </w:tc>
        <w:tc>
          <w:tcPr>
            <w:tcW w:w="624" w:type="dxa"/>
            <w:hideMark/>
          </w:tcPr>
          <w:p w14:paraId="7B435D74" w14:textId="77777777" w:rsidR="00E47EF5" w:rsidRDefault="00E47EF5">
            <w:pPr>
              <w:pStyle w:val="TableText"/>
              <w:ind w:right="0"/>
              <w:jc w:val="both"/>
            </w:pPr>
            <w:r>
              <w:rPr>
                <w:rFonts w:hint="cs"/>
                <w:rtl/>
              </w:rPr>
              <w:t>(ב)</w:t>
            </w:r>
          </w:p>
        </w:tc>
        <w:tc>
          <w:tcPr>
            <w:tcW w:w="4027" w:type="dxa"/>
            <w:hideMark/>
          </w:tcPr>
          <w:p w14:paraId="62652CC4" w14:textId="0E1EE75B" w:rsidR="00E47EF5" w:rsidRDefault="00E47EF5">
            <w:pPr>
              <w:pStyle w:val="TableBlock"/>
            </w:pPr>
            <w:r>
              <w:rPr>
                <w:rFonts w:hint="cs"/>
                <w:rtl/>
              </w:rPr>
              <w:t>(1)</w:t>
            </w:r>
            <w:r>
              <w:rPr>
                <w:rFonts w:hint="cs"/>
                <w:rtl/>
              </w:rPr>
              <w:tab/>
              <w:t xml:space="preserve">סכום הגמלה ליום אבל יהיה הסכום השווה להכנסתו של המבוטח שבעדה </w:t>
            </w:r>
            <w:r w:rsidR="00A17D39">
              <w:rPr>
                <w:rFonts w:hint="cs"/>
                <w:rtl/>
              </w:rPr>
              <w:t>שולמו דמי ביטוח, ברבע השנה שקדם</w:t>
            </w:r>
            <w:r>
              <w:rPr>
                <w:rFonts w:hint="cs"/>
                <w:rtl/>
              </w:rPr>
              <w:t xml:space="preserve"> ל-1 לחודש שבו החלו ימי האבל, כשהיא מחולקת ב-90.</w:t>
            </w:r>
          </w:p>
        </w:tc>
      </w:tr>
      <w:tr w:rsidR="00E47EF5" w14:paraId="57435C9E" w14:textId="77777777" w:rsidTr="00E47EF5">
        <w:trPr>
          <w:cantSplit/>
        </w:trPr>
        <w:tc>
          <w:tcPr>
            <w:tcW w:w="1872" w:type="dxa"/>
          </w:tcPr>
          <w:p w14:paraId="062568E5" w14:textId="77777777" w:rsidR="00E47EF5" w:rsidRDefault="00E47EF5">
            <w:pPr>
              <w:pStyle w:val="TableSideHeading"/>
              <w:ind w:right="0"/>
            </w:pPr>
          </w:p>
        </w:tc>
        <w:tc>
          <w:tcPr>
            <w:tcW w:w="625" w:type="dxa"/>
          </w:tcPr>
          <w:p w14:paraId="6435C82B" w14:textId="77777777" w:rsidR="00E47EF5" w:rsidRDefault="00E47EF5">
            <w:pPr>
              <w:pStyle w:val="TableText"/>
              <w:ind w:right="0"/>
              <w:jc w:val="both"/>
            </w:pPr>
          </w:p>
        </w:tc>
        <w:tc>
          <w:tcPr>
            <w:tcW w:w="625" w:type="dxa"/>
          </w:tcPr>
          <w:p w14:paraId="7E4D158D" w14:textId="77777777" w:rsidR="00E47EF5" w:rsidRDefault="00E47EF5">
            <w:pPr>
              <w:pStyle w:val="TableText"/>
              <w:ind w:right="0"/>
              <w:jc w:val="both"/>
            </w:pPr>
          </w:p>
        </w:tc>
        <w:tc>
          <w:tcPr>
            <w:tcW w:w="624" w:type="dxa"/>
          </w:tcPr>
          <w:p w14:paraId="6E40ACB1" w14:textId="77777777" w:rsidR="00E47EF5" w:rsidRDefault="00E47EF5">
            <w:pPr>
              <w:pStyle w:val="TableText"/>
              <w:ind w:right="0"/>
              <w:jc w:val="both"/>
            </w:pPr>
          </w:p>
        </w:tc>
        <w:tc>
          <w:tcPr>
            <w:tcW w:w="624" w:type="dxa"/>
          </w:tcPr>
          <w:p w14:paraId="422E06D9" w14:textId="77777777" w:rsidR="00E47EF5" w:rsidRDefault="00E47EF5">
            <w:pPr>
              <w:pStyle w:val="TableText"/>
              <w:ind w:right="0"/>
              <w:jc w:val="both"/>
            </w:pPr>
          </w:p>
        </w:tc>
        <w:tc>
          <w:tcPr>
            <w:tcW w:w="624" w:type="dxa"/>
          </w:tcPr>
          <w:p w14:paraId="7AC9991B" w14:textId="77777777" w:rsidR="00E47EF5" w:rsidRDefault="00E47EF5">
            <w:pPr>
              <w:pStyle w:val="TableText"/>
              <w:ind w:right="0"/>
              <w:jc w:val="both"/>
            </w:pPr>
          </w:p>
        </w:tc>
        <w:tc>
          <w:tcPr>
            <w:tcW w:w="624" w:type="dxa"/>
          </w:tcPr>
          <w:p w14:paraId="23039EB1" w14:textId="77777777" w:rsidR="00E47EF5" w:rsidRDefault="00E47EF5">
            <w:pPr>
              <w:pStyle w:val="TableText"/>
              <w:ind w:right="0"/>
              <w:jc w:val="both"/>
            </w:pPr>
          </w:p>
        </w:tc>
        <w:tc>
          <w:tcPr>
            <w:tcW w:w="4027" w:type="dxa"/>
            <w:hideMark/>
          </w:tcPr>
          <w:p w14:paraId="5CEBA5C5" w14:textId="77777777" w:rsidR="00E47EF5" w:rsidRDefault="00E47EF5">
            <w:pPr>
              <w:pStyle w:val="TableBlock"/>
            </w:pPr>
            <w:r>
              <w:rPr>
                <w:rFonts w:hint="cs"/>
                <w:rtl/>
              </w:rPr>
              <w:t>(2)</w:t>
            </w:r>
            <w:r>
              <w:rPr>
                <w:rFonts w:hint="cs"/>
                <w:rtl/>
              </w:rPr>
              <w:tab/>
              <w:t>על אף האמור בפסקה (1), מי שברבע השנה כאמור בפסקה (1) עבד פחות מ-60 ימים, יהיה סכום הגמלה ליום אבל הסכום השווה להכנסתו של המבוטח שבעדה שולמו דמי ביטוח, בשלושה חודשים שבחר לעצמו מתוך ששת החודשים שקדמו ל-1 בחודש שבו החל ימי האבל, כשהיא מחולקת ב-90.</w:t>
            </w:r>
          </w:p>
        </w:tc>
      </w:tr>
      <w:tr w:rsidR="00E47EF5" w14:paraId="2A8666E1" w14:textId="77777777" w:rsidTr="00E47EF5">
        <w:trPr>
          <w:cantSplit/>
        </w:trPr>
        <w:tc>
          <w:tcPr>
            <w:tcW w:w="1872" w:type="dxa"/>
          </w:tcPr>
          <w:p w14:paraId="4E45025F" w14:textId="77777777" w:rsidR="00E47EF5" w:rsidRDefault="00E47EF5">
            <w:pPr>
              <w:pStyle w:val="TableSideHeading"/>
              <w:ind w:right="0"/>
            </w:pPr>
          </w:p>
        </w:tc>
        <w:tc>
          <w:tcPr>
            <w:tcW w:w="625" w:type="dxa"/>
          </w:tcPr>
          <w:p w14:paraId="4878E2B5" w14:textId="77777777" w:rsidR="00E47EF5" w:rsidRDefault="00E47EF5">
            <w:pPr>
              <w:pStyle w:val="TableText"/>
              <w:ind w:right="0"/>
              <w:jc w:val="both"/>
            </w:pPr>
          </w:p>
        </w:tc>
        <w:tc>
          <w:tcPr>
            <w:tcW w:w="625" w:type="dxa"/>
          </w:tcPr>
          <w:p w14:paraId="609E1EAE" w14:textId="77777777" w:rsidR="00E47EF5" w:rsidRDefault="00E47EF5">
            <w:pPr>
              <w:pStyle w:val="TableText"/>
              <w:ind w:right="0"/>
              <w:jc w:val="both"/>
            </w:pPr>
          </w:p>
        </w:tc>
        <w:tc>
          <w:tcPr>
            <w:tcW w:w="624" w:type="dxa"/>
          </w:tcPr>
          <w:p w14:paraId="2D0BECC0" w14:textId="77777777" w:rsidR="00E47EF5" w:rsidRDefault="00E47EF5">
            <w:pPr>
              <w:pStyle w:val="TableText"/>
              <w:ind w:right="0"/>
              <w:jc w:val="both"/>
            </w:pPr>
          </w:p>
        </w:tc>
        <w:tc>
          <w:tcPr>
            <w:tcW w:w="624" w:type="dxa"/>
          </w:tcPr>
          <w:p w14:paraId="3D865F09" w14:textId="77777777" w:rsidR="00E47EF5" w:rsidRDefault="00E47EF5">
            <w:pPr>
              <w:pStyle w:val="TableText"/>
              <w:ind w:right="0"/>
              <w:jc w:val="both"/>
            </w:pPr>
          </w:p>
        </w:tc>
        <w:tc>
          <w:tcPr>
            <w:tcW w:w="624" w:type="dxa"/>
          </w:tcPr>
          <w:p w14:paraId="66F8BB94" w14:textId="77777777" w:rsidR="00E47EF5" w:rsidRDefault="00E47EF5">
            <w:pPr>
              <w:pStyle w:val="TableText"/>
              <w:ind w:right="0"/>
              <w:jc w:val="both"/>
            </w:pPr>
          </w:p>
        </w:tc>
        <w:tc>
          <w:tcPr>
            <w:tcW w:w="4651" w:type="dxa"/>
            <w:gridSpan w:val="2"/>
            <w:hideMark/>
          </w:tcPr>
          <w:p w14:paraId="6F40F866" w14:textId="77777777" w:rsidR="00E47EF5" w:rsidRDefault="00E47EF5">
            <w:pPr>
              <w:pStyle w:val="TableBlock"/>
            </w:pPr>
            <w:r>
              <w:rPr>
                <w:rFonts w:hint="cs"/>
                <w:rtl/>
              </w:rPr>
              <w:t>(ג)</w:t>
            </w:r>
            <w:r>
              <w:rPr>
                <w:rFonts w:hint="cs"/>
                <w:rtl/>
              </w:rPr>
              <w:tab/>
              <w:t>מבוטח הזכאי על פי כל חיקוק, הסכם קיבוצי כהגדרתו בסעיף 180 או הסדר קיבוצי אחר, תקנון של קופת גמל, חוזה עבודה או תקנון של קרן ביטוח או פנסיה, לתשלום בעד ימי האבל שבהם לא עבד כאמור, לא תשולם לו הגמלה לפי סימן זה בעד אותם ימים.</w:t>
            </w:r>
          </w:p>
        </w:tc>
      </w:tr>
      <w:tr w:rsidR="00E47EF5" w14:paraId="3ADE3D03" w14:textId="77777777" w:rsidTr="00E47EF5">
        <w:trPr>
          <w:cantSplit/>
        </w:trPr>
        <w:tc>
          <w:tcPr>
            <w:tcW w:w="1872" w:type="dxa"/>
          </w:tcPr>
          <w:p w14:paraId="012588F4" w14:textId="77777777" w:rsidR="00E47EF5" w:rsidRDefault="00E47EF5">
            <w:pPr>
              <w:pStyle w:val="TableSideHeading"/>
              <w:ind w:right="0"/>
            </w:pPr>
          </w:p>
        </w:tc>
        <w:tc>
          <w:tcPr>
            <w:tcW w:w="625" w:type="dxa"/>
          </w:tcPr>
          <w:p w14:paraId="1803A97F" w14:textId="77777777" w:rsidR="00E47EF5" w:rsidRDefault="00E47EF5">
            <w:pPr>
              <w:pStyle w:val="TableText"/>
              <w:ind w:right="0"/>
              <w:jc w:val="both"/>
            </w:pPr>
          </w:p>
        </w:tc>
        <w:tc>
          <w:tcPr>
            <w:tcW w:w="625" w:type="dxa"/>
          </w:tcPr>
          <w:p w14:paraId="5F8A3119" w14:textId="77777777" w:rsidR="00E47EF5" w:rsidRDefault="00E47EF5">
            <w:pPr>
              <w:pStyle w:val="TableText"/>
              <w:ind w:right="0"/>
              <w:jc w:val="both"/>
            </w:pPr>
          </w:p>
        </w:tc>
        <w:tc>
          <w:tcPr>
            <w:tcW w:w="624" w:type="dxa"/>
          </w:tcPr>
          <w:p w14:paraId="538A67C2" w14:textId="77777777" w:rsidR="00E47EF5" w:rsidRDefault="00E47EF5">
            <w:pPr>
              <w:pStyle w:val="TableText"/>
              <w:ind w:right="0"/>
              <w:jc w:val="both"/>
            </w:pPr>
          </w:p>
        </w:tc>
        <w:tc>
          <w:tcPr>
            <w:tcW w:w="624" w:type="dxa"/>
          </w:tcPr>
          <w:p w14:paraId="7FBB4D46" w14:textId="77777777" w:rsidR="00E47EF5" w:rsidRDefault="00E47EF5">
            <w:pPr>
              <w:pStyle w:val="TableText"/>
              <w:ind w:right="0"/>
              <w:jc w:val="both"/>
            </w:pPr>
          </w:p>
        </w:tc>
        <w:tc>
          <w:tcPr>
            <w:tcW w:w="624" w:type="dxa"/>
          </w:tcPr>
          <w:p w14:paraId="4F90616D" w14:textId="77777777" w:rsidR="00E47EF5" w:rsidRDefault="00E47EF5">
            <w:pPr>
              <w:pStyle w:val="TableText"/>
              <w:ind w:right="0"/>
              <w:jc w:val="both"/>
            </w:pPr>
          </w:p>
        </w:tc>
        <w:tc>
          <w:tcPr>
            <w:tcW w:w="4651" w:type="dxa"/>
            <w:gridSpan w:val="2"/>
            <w:hideMark/>
          </w:tcPr>
          <w:p w14:paraId="70F67B1F" w14:textId="77777777" w:rsidR="00E47EF5" w:rsidRDefault="00E47EF5">
            <w:pPr>
              <w:pStyle w:val="TableBlock"/>
            </w:pPr>
            <w:r>
              <w:rPr>
                <w:rFonts w:hint="cs"/>
                <w:rtl/>
              </w:rPr>
              <w:t>(ד)</w:t>
            </w:r>
            <w:r>
              <w:rPr>
                <w:rFonts w:hint="cs"/>
                <w:rtl/>
              </w:rPr>
              <w:tab/>
              <w:t>גמלה לפי סעיף זה תשולם מאוצר המדינה בהתאם להוראה שיעביר המוסד לתשלום."</w:t>
            </w:r>
          </w:p>
        </w:tc>
      </w:tr>
    </w:tbl>
    <w:p w14:paraId="7F6961CA" w14:textId="77777777" w:rsidR="002D1EE3" w:rsidRDefault="002D1EE3" w:rsidP="002D1EE3">
      <w:pPr>
        <w:pStyle w:val="HeadDivreiHesber"/>
        <w:rPr>
          <w:rtl/>
        </w:rPr>
      </w:pPr>
      <w:r w:rsidRPr="0027450A">
        <w:rPr>
          <w:rFonts w:hint="cs"/>
          <w:rtl/>
        </w:rPr>
        <w:t>דברי הסבר</w:t>
      </w:r>
    </w:p>
    <w:p w14:paraId="0AA43855" w14:textId="4CB1CE3B" w:rsidR="00E47EF5" w:rsidRDefault="00E47EF5" w:rsidP="008E52A2">
      <w:pPr>
        <w:pStyle w:val="Hesber"/>
      </w:pPr>
      <w:r>
        <w:rPr>
          <w:rFonts w:hint="cs"/>
          <w:rtl/>
        </w:rPr>
        <w:t xml:space="preserve">כיום רק שכירים מקבלים דמי אבל בתקופת האבלות </w:t>
      </w:r>
      <w:r w:rsidR="008E52A2">
        <w:rPr>
          <w:rFonts w:hint="cs"/>
          <w:rtl/>
        </w:rPr>
        <w:t>על</w:t>
      </w:r>
      <w:r>
        <w:rPr>
          <w:rFonts w:hint="cs"/>
          <w:rtl/>
        </w:rPr>
        <w:t xml:space="preserve"> מות יקיריהם, וזאת מכוח צו הרחבה. </w:t>
      </w:r>
    </w:p>
    <w:p w14:paraId="5911BA44" w14:textId="77777777" w:rsidR="00E47EF5" w:rsidRDefault="00E47EF5" w:rsidP="00E47EF5">
      <w:pPr>
        <w:pStyle w:val="Hesber"/>
      </w:pPr>
      <w:r>
        <w:rPr>
          <w:rFonts w:hint="cs"/>
          <w:rtl/>
        </w:rPr>
        <w:t>בכל מקרה, עצמאי לא זכאי לקבל דמי אבל בתקופת האבל והצעת החוק באה לתקן עיוות זה.</w:t>
      </w:r>
    </w:p>
    <w:p w14:paraId="1823B50C" w14:textId="5C417DD5" w:rsidR="00E47EF5" w:rsidRDefault="00E47EF5" w:rsidP="008E52A2">
      <w:pPr>
        <w:pStyle w:val="Hesber"/>
        <w:rPr>
          <w:rtl/>
        </w:rPr>
      </w:pPr>
      <w:r>
        <w:rPr>
          <w:rFonts w:hint="cs"/>
          <w:rtl/>
        </w:rPr>
        <w:t xml:space="preserve">על פי הצעת החוק, גם עצמאים יקבלו תשלום בגין ימי האבל על מות קרוביהם, שבהם לא עבדו. הגמלה תשולם מאוצר המדינה בהתאם להוראה שיעביר המוסד לביטוח לאומי רק עבור אבלים </w:t>
      </w:r>
      <w:r w:rsidR="008E52A2">
        <w:rPr>
          <w:rFonts w:hint="cs"/>
          <w:rtl/>
        </w:rPr>
        <w:t>שקרובים</w:t>
      </w:r>
      <w:r>
        <w:rPr>
          <w:rFonts w:hint="cs"/>
          <w:rtl/>
        </w:rPr>
        <w:t xml:space="preserve"> מדרגה ראשונה</w:t>
      </w:r>
      <w:r w:rsidR="008E52A2">
        <w:rPr>
          <w:rFonts w:hint="cs"/>
          <w:rtl/>
        </w:rPr>
        <w:t xml:space="preserve"> נפטרו</w:t>
      </w:r>
      <w:r>
        <w:rPr>
          <w:rFonts w:hint="cs"/>
          <w:rtl/>
        </w:rPr>
        <w:t>, והתשלום לא ישולם בעד יותר מ-6 ימים.</w:t>
      </w:r>
    </w:p>
    <w:p w14:paraId="0F22DF1B" w14:textId="32894B3A" w:rsidR="00E47EF5" w:rsidRDefault="00E47EF5" w:rsidP="00A17D39">
      <w:pPr>
        <w:pStyle w:val="Hesber"/>
        <w:rPr>
          <w:rFonts w:hint="cs"/>
          <w:rtl/>
        </w:rPr>
      </w:pPr>
      <w:r>
        <w:rPr>
          <w:rFonts w:hint="cs"/>
          <w:rtl/>
        </w:rPr>
        <w:t>הצע</w:t>
      </w:r>
      <w:r w:rsidR="00A17D39">
        <w:rPr>
          <w:rFonts w:hint="cs"/>
          <w:rtl/>
        </w:rPr>
        <w:t>ו</w:t>
      </w:r>
      <w:r>
        <w:rPr>
          <w:rFonts w:hint="cs"/>
          <w:rtl/>
        </w:rPr>
        <w:t xml:space="preserve">ת חוק </w:t>
      </w:r>
      <w:r w:rsidR="00A17D39">
        <w:rPr>
          <w:rFonts w:hint="cs"/>
          <w:rtl/>
        </w:rPr>
        <w:t>דומות בעיקרן הונחו</w:t>
      </w:r>
      <w:r>
        <w:rPr>
          <w:rFonts w:hint="cs"/>
          <w:rtl/>
        </w:rPr>
        <w:t xml:space="preserve"> על שולחן הכנסת השמונה-עשרה על ידי חבר הכנסת אורי אור</w:t>
      </w:r>
      <w:r w:rsidR="00A17D39">
        <w:rPr>
          <w:rFonts w:hint="cs"/>
          <w:rtl/>
        </w:rPr>
        <w:t xml:space="preserve">בך וקבוצת חברי כנסת (פ/2632/18) ועל </w:t>
      </w:r>
      <w:r>
        <w:rPr>
          <w:rFonts w:hint="cs"/>
          <w:rtl/>
        </w:rPr>
        <w:t>שולחן הכנסת התשע-עש</w:t>
      </w:r>
      <w:r w:rsidR="00C41AEC">
        <w:rPr>
          <w:rFonts w:hint="cs"/>
          <w:rtl/>
        </w:rPr>
        <w:t>רה על ידי חברת הכנסת שולי מועלם-</w:t>
      </w:r>
      <w:bookmarkStart w:id="8" w:name="_GoBack"/>
      <w:bookmarkEnd w:id="8"/>
      <w:r w:rsidR="008E52A2">
        <w:rPr>
          <w:rFonts w:hint="cs"/>
          <w:rtl/>
        </w:rPr>
        <w:t xml:space="preserve">רפאלי </w:t>
      </w:r>
      <w:r>
        <w:rPr>
          <w:rFonts w:hint="cs"/>
          <w:rtl/>
        </w:rPr>
        <w:t>(פ/</w:t>
      </w:r>
      <w:r w:rsidR="003C45F9">
        <w:rPr>
          <w:rFonts w:hint="cs"/>
          <w:rtl/>
        </w:rPr>
        <w:t>1612</w:t>
      </w:r>
      <w:r>
        <w:rPr>
          <w:rFonts w:hint="cs"/>
          <w:rtl/>
        </w:rPr>
        <w:t>/1</w:t>
      </w:r>
      <w:r w:rsidR="003C45F9">
        <w:rPr>
          <w:rFonts w:hint="cs"/>
          <w:rtl/>
        </w:rPr>
        <w:t>9</w:t>
      </w:r>
      <w:r>
        <w:rPr>
          <w:rFonts w:hint="cs"/>
          <w:rtl/>
        </w:rPr>
        <w:t>).</w:t>
      </w:r>
    </w:p>
    <w:p w14:paraId="173930A3" w14:textId="68BEDFA0" w:rsidR="00C41AEC" w:rsidRDefault="00C41AEC" w:rsidP="00A17D39">
      <w:pPr>
        <w:pStyle w:val="Hesber"/>
        <w:rPr>
          <w:rFonts w:hint="cs"/>
          <w:rtl/>
        </w:rPr>
      </w:pPr>
    </w:p>
    <w:p w14:paraId="043E653F" w14:textId="77777777" w:rsidR="00C41AEC" w:rsidRDefault="00C41AEC" w:rsidP="00A17D39">
      <w:pPr>
        <w:pStyle w:val="Hesber"/>
        <w:rPr>
          <w:rFonts w:hint="cs"/>
          <w:rtl/>
        </w:rPr>
      </w:pPr>
    </w:p>
    <w:p w14:paraId="0A2C2C41" w14:textId="77777777" w:rsidR="00C41AEC" w:rsidRDefault="00C41AEC" w:rsidP="00A17D39">
      <w:pPr>
        <w:pStyle w:val="Hesber"/>
        <w:rPr>
          <w:rtl/>
        </w:rPr>
      </w:pPr>
    </w:p>
    <w:p w14:paraId="40B7D343" w14:textId="77777777" w:rsidR="0066176C" w:rsidRPr="0022704F" w:rsidRDefault="0066176C"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6730779F" w14:textId="77777777" w:rsidR="0066176C" w:rsidRPr="0022704F" w:rsidRDefault="0066176C"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496A029A" w14:textId="77777777" w:rsidR="0066176C" w:rsidRPr="0022704F" w:rsidRDefault="0066176C" w:rsidP="00827469">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02F2A0BF" w14:textId="77777777" w:rsidR="0066176C" w:rsidRPr="00935520" w:rsidRDefault="0066176C" w:rsidP="004A4098">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כ"ט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18</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310D67D9" w14:textId="77777777" w:rsidR="0066176C" w:rsidRPr="004A4098" w:rsidRDefault="0066176C" w:rsidP="00935520">
      <w:pPr>
        <w:ind w:left="340" w:firstLine="0"/>
        <w:rPr>
          <w:rFonts w:ascii="Arial" w:eastAsia="Arial Unicode MS" w:hAnsi="Arial" w:cs="David"/>
          <w:snapToGrid w:val="0"/>
          <w:spacing w:val="0"/>
          <w:sz w:val="20"/>
          <w:szCs w:val="26"/>
          <w:rtl/>
        </w:rPr>
      </w:pPr>
    </w:p>
    <w:p w14:paraId="7F6961CB" w14:textId="27BE8CF0" w:rsidR="00E13C27" w:rsidRDefault="00E13C27" w:rsidP="0066176C">
      <w:pPr>
        <w:spacing w:line="360" w:lineRule="auto"/>
        <w:rPr>
          <w:rtl/>
        </w:rPr>
      </w:pP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41AEC">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7AD77361" w14:textId="77777777" w:rsidR="00E47EF5" w:rsidRDefault="00E47EF5" w:rsidP="00E47EF5">
      <w:pPr>
        <w:pStyle w:val="a4"/>
      </w:pPr>
      <w:r>
        <w:rPr>
          <w:rStyle w:val="a6"/>
        </w:rPr>
        <w:footnoteRef/>
      </w:r>
      <w:r>
        <w:rPr>
          <w:rFonts w:hint="cs"/>
          <w:rtl/>
        </w:rPr>
        <w:t xml:space="preserve"> 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C45F9"/>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6176C"/>
    <w:rsid w:val="006818A9"/>
    <w:rsid w:val="006A2D81"/>
    <w:rsid w:val="006C1D0D"/>
    <w:rsid w:val="0070601E"/>
    <w:rsid w:val="00712C72"/>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52A2"/>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17D39"/>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41AEC"/>
    <w:rsid w:val="00C9176A"/>
    <w:rsid w:val="00CF1AA2"/>
    <w:rsid w:val="00D63620"/>
    <w:rsid w:val="00D8410D"/>
    <w:rsid w:val="00D867D7"/>
    <w:rsid w:val="00DB7060"/>
    <w:rsid w:val="00DE3153"/>
    <w:rsid w:val="00E06736"/>
    <w:rsid w:val="00E13C27"/>
    <w:rsid w:val="00E33BBD"/>
    <w:rsid w:val="00E45103"/>
    <w:rsid w:val="00E47EF5"/>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E47EF5"/>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uiPriority w:val="99"/>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E47EF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1202">
      <w:bodyDiv w:val="1"/>
      <w:marLeft w:val="0"/>
      <w:marRight w:val="0"/>
      <w:marTop w:val="0"/>
      <w:marBottom w:val="0"/>
      <w:divBdr>
        <w:top w:val="none" w:sz="0" w:space="0" w:color="auto"/>
        <w:left w:val="none" w:sz="0" w:space="0" w:color="auto"/>
        <w:bottom w:val="none" w:sz="0" w:space="0" w:color="auto"/>
        <w:right w:val="none" w:sz="0" w:space="0" w:color="auto"/>
      </w:divBdr>
    </w:div>
    <w:div w:id="70661182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27D2B-5449-4EAD-94FE-F29989EAA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12B3F6C-B634-43B5-ACC2-49FB0B9F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1580</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2015-05-14T10:44:00Z</cp:lastPrinted>
  <dcterms:created xsi:type="dcterms:W3CDTF">2015-03-26T08:06:00Z</dcterms:created>
  <dcterms:modified xsi:type="dcterms:W3CDTF">2015-05-14T10:44:00Z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563713</vt:r8>
  </property>
</Properties>
</file>