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563395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BA734A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איימן עודה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עאידה תומא סלימאן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דב חנין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יוסף ג'בארין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עבדאללה אבו מערוף</w:t>
      </w:r>
      <w:bookmarkEnd w:id="3"/>
    </w:p>
    <w:p w14:paraId="7F6961AA" w14:textId="77777777" w:rsidR="00E13C27" w:rsidRPr="00CF1AA2" w:rsidRDefault="007D585A" w:rsidP="00CF1AA2">
      <w:pPr>
        <w:pStyle w:val="David"/>
        <w:ind w:left="3544"/>
        <w:rPr>
          <w:b/>
          <w:bCs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7F6961AB" w14:textId="1A02760E" w:rsidR="00E13C27" w:rsidRPr="00E06736" w:rsidRDefault="0014195F" w:rsidP="00416B4D">
      <w:pPr>
        <w:pStyle w:val="David"/>
        <w:ind w:left="3544"/>
        <w:rPr>
          <w:rtl/>
        </w:rPr>
      </w:pPr>
      <w:r w:rsidRPr="00CF1AA2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6961CE" wp14:editId="7F6961CF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3879215" cy="17145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14="http://schemas.microsoft.com/office/drawing/2010/main" xmlns:a="http://schemas.openxmlformats.org/drawingml/2006/main">
            <w:pict>
              <v:polyline id="Freeform 7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09,27" o:spid="_x0000_s1026" filled="f" points=".1pt,5.1pt,305.55pt,3.75pt" w14:anchorId="21D283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">
                <v:path arrowok="t" o:connecttype="custom" o:connectlocs="0,17145;3879215,0" o:connectangles="0,0"/>
              </v:polyline>
            </w:pict>
          </mc:Fallback>
        </mc:AlternateContent>
      </w:r>
      <w:r w:rsidR="00E13C27" w:rsidRPr="00E06736">
        <w:rPr>
          <w:rFonts w:hint="cs"/>
          <w:rtl/>
        </w:rPr>
        <w:tab/>
      </w:r>
      <w:r w:rsidR="00416B4D">
        <w:tab/>
      </w:r>
      <w:r w:rsidR="00FA5E88">
        <w:tab/>
      </w:r>
      <w:r w:rsidR="00E13C27" w:rsidRPr="00E06736">
        <w:rPr>
          <w:rFonts w:hint="cs"/>
          <w:rtl/>
        </w:rPr>
        <w:tab/>
      </w:r>
      <w:r w:rsidR="00E06736" w:rsidRPr="00E06736">
        <w:tab/>
      </w:r>
      <w:bookmarkStart w:id="6" w:name="Private_Number"/>
      <w:r>
        <w:rPr>
          <w:rFonts w:hint="cs"/>
          <w:rtl/>
        </w:rPr>
        <w:t>פ/948/20</w:t>
      </w:r>
      <w:bookmarkEnd w:id="6"/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36F8658B" w:rsidR="00E13C27" w:rsidRDefault="00A443CF" w:rsidP="00BA734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לתיקון פקודת מסי העירייה ומסי הממשלה (פטורין) (קרן לחלוקת כספים בעד נכסים של גופים ממשלתיים), התשע"ה</w:t>
      </w:r>
      <w:r w:rsidR="001C6891">
        <w:rPr>
          <w:rFonts w:hint="eastAsia"/>
          <w:rtl/>
        </w:rPr>
        <w:t>–</w:t>
      </w:r>
      <w:r>
        <w:rPr>
          <w:rFonts w:hint="cs"/>
          <w:rtl/>
        </w:rPr>
        <w:t>2015</w:t>
      </w:r>
      <w:bookmarkEnd w:id="7"/>
    </w:p>
    <w:p w14:paraId="01BC6C90" w14:textId="2C0EC0FB" w:rsidR="00EA10BD" w:rsidRDefault="00EA10BD" w:rsidP="00A443CF">
      <w:pPr>
        <w:pStyle w:val="HeadHatzaotHok"/>
        <w:spacing w:line="240" w:lineRule="auto"/>
        <w:rPr>
          <w:rtl/>
        </w:rPr>
      </w:pPr>
    </w:p>
    <w:tbl>
      <w:tblPr>
        <w:bidiVisual/>
        <w:tblW w:w="9636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624"/>
        <w:gridCol w:w="624"/>
        <w:gridCol w:w="624"/>
        <w:gridCol w:w="624"/>
        <w:gridCol w:w="624"/>
        <w:gridCol w:w="624"/>
        <w:gridCol w:w="4023"/>
      </w:tblGrid>
      <w:tr w:rsidR="00EA10BD" w:rsidRPr="003429CF" w14:paraId="36D4118C" w14:textId="77777777" w:rsidTr="00BF0727">
        <w:trPr>
          <w:cantSplit/>
        </w:trPr>
        <w:tc>
          <w:tcPr>
            <w:tcW w:w="1869" w:type="dxa"/>
          </w:tcPr>
          <w:p w14:paraId="0F8E67C7" w14:textId="77777777" w:rsidR="00EA10BD" w:rsidRPr="003429CF" w:rsidRDefault="00EA10BD" w:rsidP="000F19C2">
            <w:pPr>
              <w:pStyle w:val="TableSideHeading"/>
              <w:keepLines w:val="0"/>
              <w:rPr>
                <w:sz w:val="26"/>
              </w:rPr>
            </w:pPr>
            <w:r>
              <w:rPr>
                <w:sz w:val="26"/>
                <w:rtl/>
              </w:rPr>
              <w:t>תיקון כותרת  חלק א'</w:t>
            </w:r>
          </w:p>
        </w:tc>
        <w:tc>
          <w:tcPr>
            <w:tcW w:w="624" w:type="dxa"/>
          </w:tcPr>
          <w:p w14:paraId="652FED79" w14:textId="77777777" w:rsidR="00EA10BD" w:rsidRPr="007D2AF8" w:rsidRDefault="00EA10BD" w:rsidP="000F19C2">
            <w:pPr>
              <w:pStyle w:val="TableText"/>
              <w:ind w:right="0"/>
              <w:jc w:val="both"/>
              <w:rPr>
                <w:rtl/>
              </w:rPr>
            </w:pPr>
            <w:r>
              <w:rPr>
                <w:sz w:val="26"/>
                <w:rtl/>
              </w:rPr>
              <w:t>1.</w:t>
            </w:r>
          </w:p>
        </w:tc>
        <w:tc>
          <w:tcPr>
            <w:tcW w:w="7143" w:type="dxa"/>
            <w:gridSpan w:val="6"/>
          </w:tcPr>
          <w:p w14:paraId="7AB6186D" w14:textId="1208DE13" w:rsidR="00EA10BD" w:rsidRPr="003429CF" w:rsidRDefault="00EA10BD" w:rsidP="00BA734A">
            <w:pPr>
              <w:pStyle w:val="TableBlock"/>
              <w:rPr>
                <w:rFonts w:ascii="Times New Roman" w:hAnsi="Times New Roman"/>
                <w:sz w:val="26"/>
                <w:rtl/>
              </w:rPr>
            </w:pPr>
            <w:r w:rsidRPr="003429CF">
              <w:rPr>
                <w:color w:val="auto"/>
                <w:sz w:val="26"/>
                <w:rtl/>
                <w:lang w:eastAsia="en-US"/>
              </w:rPr>
              <w:t>בפקודת</w:t>
            </w:r>
            <w:r w:rsidRPr="003429CF">
              <w:rPr>
                <w:rFonts w:ascii="HadasaMFOMedium" w:eastAsia="Times New Roman" w:hAnsi="Times New Roman"/>
                <w:color w:val="auto"/>
                <w:sz w:val="26"/>
                <w:lang w:eastAsia="en-US"/>
              </w:rPr>
              <w:t xml:space="preserve"> </w:t>
            </w:r>
            <w:r w:rsidRPr="003429CF">
              <w:rPr>
                <w:color w:val="auto"/>
                <w:sz w:val="26"/>
                <w:rtl/>
                <w:lang w:eastAsia="en-US"/>
              </w:rPr>
              <w:t>מסי</w:t>
            </w:r>
            <w:r w:rsidRPr="003429CF">
              <w:rPr>
                <w:rFonts w:ascii="HadasaMFOMedium" w:eastAsia="Times New Roman" w:hAnsi="Times New Roman"/>
                <w:color w:val="auto"/>
                <w:sz w:val="26"/>
                <w:lang w:eastAsia="en-US"/>
              </w:rPr>
              <w:t xml:space="preserve"> </w:t>
            </w:r>
            <w:r w:rsidRPr="003429CF">
              <w:rPr>
                <w:color w:val="auto"/>
                <w:sz w:val="26"/>
                <w:rtl/>
                <w:lang w:eastAsia="en-US"/>
              </w:rPr>
              <w:t>העיר</w:t>
            </w:r>
            <w:r w:rsidR="006B5FFB">
              <w:rPr>
                <w:rFonts w:hint="cs"/>
                <w:color w:val="auto"/>
                <w:sz w:val="26"/>
                <w:rtl/>
                <w:lang w:eastAsia="en-US"/>
              </w:rPr>
              <w:t>י</w:t>
            </w:r>
            <w:r w:rsidR="00BA734A">
              <w:rPr>
                <w:rFonts w:hint="cs"/>
                <w:color w:val="auto"/>
                <w:sz w:val="26"/>
                <w:rtl/>
                <w:lang w:eastAsia="en-US"/>
              </w:rPr>
              <w:t>י</w:t>
            </w:r>
            <w:r w:rsidRPr="003429CF">
              <w:rPr>
                <w:color w:val="auto"/>
                <w:sz w:val="26"/>
                <w:rtl/>
                <w:lang w:eastAsia="en-US"/>
              </w:rPr>
              <w:t>ה</w:t>
            </w:r>
            <w:r w:rsidRPr="003429CF">
              <w:rPr>
                <w:rFonts w:ascii="HadasaMFOMedium" w:eastAsia="Times New Roman" w:hAnsi="Times New Roman"/>
                <w:color w:val="auto"/>
                <w:sz w:val="26"/>
                <w:lang w:eastAsia="en-US"/>
              </w:rPr>
              <w:t xml:space="preserve"> </w:t>
            </w:r>
            <w:r w:rsidRPr="003429CF">
              <w:rPr>
                <w:color w:val="auto"/>
                <w:sz w:val="26"/>
                <w:rtl/>
                <w:lang w:eastAsia="en-US"/>
              </w:rPr>
              <w:t>ומסי</w:t>
            </w:r>
            <w:r w:rsidRPr="003429CF">
              <w:rPr>
                <w:rFonts w:ascii="HadasaMFOMedium" w:eastAsia="Times New Roman" w:hAnsi="Times New Roman"/>
                <w:color w:val="auto"/>
                <w:sz w:val="26"/>
                <w:lang w:eastAsia="en-US"/>
              </w:rPr>
              <w:t xml:space="preserve"> </w:t>
            </w:r>
            <w:r>
              <w:rPr>
                <w:color w:val="auto"/>
                <w:sz w:val="26"/>
                <w:rtl/>
                <w:lang w:eastAsia="en-US"/>
              </w:rPr>
              <w:t>הממשלה (פטורין), 1938</w:t>
            </w:r>
            <w:r>
              <w:rPr>
                <w:rStyle w:val="a6"/>
                <w:rFonts w:ascii="Times New Roman" w:hAnsi="Times New Roman"/>
                <w:sz w:val="26"/>
                <w:rtl/>
              </w:rPr>
              <w:footnoteReference w:id="2"/>
            </w:r>
            <w:r>
              <w:rPr>
                <w:rFonts w:ascii="Times New Roman" w:hAnsi="Times New Roman"/>
                <w:sz w:val="26"/>
                <w:rtl/>
              </w:rPr>
              <w:t xml:space="preserve"> (להלן – הפקודה), </w:t>
            </w:r>
            <w:r w:rsidRPr="003429CF">
              <w:rPr>
                <w:rFonts w:ascii="Times New Roman" w:hAnsi="Times New Roman"/>
                <w:sz w:val="26"/>
                <w:rtl/>
              </w:rPr>
              <w:t>בחלק א', בכותרת, בסופה יבוא "וקרן לחלוקת כספים בעד נכסים של גופים ממשלתיים"</w:t>
            </w:r>
            <w:r>
              <w:rPr>
                <w:rFonts w:ascii="Times New Roman" w:hAnsi="Times New Roman"/>
                <w:sz w:val="26"/>
                <w:rtl/>
              </w:rPr>
              <w:t>.</w:t>
            </w:r>
          </w:p>
        </w:tc>
      </w:tr>
      <w:tr w:rsidR="00EA10BD" w:rsidRPr="003429CF" w14:paraId="5BD77A2D" w14:textId="77777777" w:rsidTr="00BF0727">
        <w:trPr>
          <w:cantSplit/>
        </w:trPr>
        <w:tc>
          <w:tcPr>
            <w:tcW w:w="1869" w:type="dxa"/>
          </w:tcPr>
          <w:p w14:paraId="00B1FCC2" w14:textId="77777777" w:rsidR="00EA10BD" w:rsidRPr="003429CF" w:rsidRDefault="00EA10BD" w:rsidP="000F19C2">
            <w:pPr>
              <w:pStyle w:val="TableSideHeading"/>
              <w:keepLines w:val="0"/>
              <w:jc w:val="both"/>
              <w:rPr>
                <w:sz w:val="26"/>
              </w:rPr>
            </w:pPr>
            <w:r>
              <w:rPr>
                <w:sz w:val="26"/>
                <w:rtl/>
              </w:rPr>
              <w:t>החלפת סעיף 2</w:t>
            </w:r>
          </w:p>
        </w:tc>
        <w:tc>
          <w:tcPr>
            <w:tcW w:w="624" w:type="dxa"/>
          </w:tcPr>
          <w:p w14:paraId="473A4A3C" w14:textId="77777777" w:rsidR="00EA10BD" w:rsidRPr="007D2AF8" w:rsidRDefault="00EA10BD" w:rsidP="000F19C2">
            <w:pPr>
              <w:pStyle w:val="TableText"/>
              <w:ind w:right="0"/>
              <w:jc w:val="both"/>
              <w:rPr>
                <w:rtl/>
              </w:rPr>
            </w:pPr>
            <w:r w:rsidRPr="003429CF">
              <w:rPr>
                <w:sz w:val="26"/>
                <w:rtl/>
              </w:rPr>
              <w:t>2.</w:t>
            </w:r>
          </w:p>
        </w:tc>
        <w:tc>
          <w:tcPr>
            <w:tcW w:w="7143" w:type="dxa"/>
            <w:gridSpan w:val="6"/>
          </w:tcPr>
          <w:p w14:paraId="223EBCA3" w14:textId="77777777" w:rsidR="00EA10BD" w:rsidRPr="003429CF" w:rsidRDefault="00EA10BD" w:rsidP="00BF0727">
            <w:pPr>
              <w:pStyle w:val="TableBlock"/>
              <w:rPr>
                <w:rFonts w:ascii="Times New Roman" w:hAnsi="Times New Roman"/>
                <w:sz w:val="26"/>
                <w:rtl/>
              </w:rPr>
            </w:pPr>
            <w:r w:rsidRPr="003429CF">
              <w:rPr>
                <w:rFonts w:ascii="Times New Roman" w:hAnsi="Times New Roman"/>
                <w:sz w:val="26"/>
                <w:rtl/>
              </w:rPr>
              <w:t xml:space="preserve">במקום סעיף 2 </w:t>
            </w:r>
            <w:r>
              <w:rPr>
                <w:rFonts w:ascii="Times New Roman" w:hAnsi="Times New Roman"/>
                <w:sz w:val="26"/>
                <w:rtl/>
              </w:rPr>
              <w:t xml:space="preserve">לפקודה </w:t>
            </w:r>
            <w:r w:rsidRPr="003429CF">
              <w:rPr>
                <w:rFonts w:ascii="Times New Roman" w:hAnsi="Times New Roman"/>
                <w:sz w:val="26"/>
                <w:rtl/>
              </w:rPr>
              <w:t>יבוא:</w:t>
            </w:r>
            <w:r>
              <w:rPr>
                <w:rFonts w:ascii="Times New Roman" w:hAnsi="Times New Roman"/>
                <w:sz w:val="26"/>
                <w:rtl/>
              </w:rPr>
              <w:t xml:space="preserve"> </w:t>
            </w:r>
            <w:r w:rsidRPr="003429CF">
              <w:rPr>
                <w:rFonts w:ascii="Times New Roman" w:hAnsi="Times New Roman"/>
                <w:sz w:val="26"/>
                <w:rtl/>
              </w:rPr>
              <w:t xml:space="preserve"> </w:t>
            </w:r>
          </w:p>
        </w:tc>
      </w:tr>
      <w:tr w:rsidR="00EA10BD" w14:paraId="3E04E19C" w14:textId="77777777" w:rsidTr="00BF0727">
        <w:trPr>
          <w:cantSplit/>
        </w:trPr>
        <w:tc>
          <w:tcPr>
            <w:tcW w:w="1869" w:type="dxa"/>
          </w:tcPr>
          <w:p w14:paraId="7476FCB1" w14:textId="77777777" w:rsidR="00EA10BD" w:rsidRDefault="00EA10BD" w:rsidP="000F19C2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13C9052B" w14:textId="77777777" w:rsidR="00EA10BD" w:rsidRDefault="00EA10BD" w:rsidP="000F19C2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14:paraId="21D807A2" w14:textId="77777777" w:rsidR="00EA10BD" w:rsidRDefault="00EA10BD" w:rsidP="000F19C2">
            <w:pPr>
              <w:pStyle w:val="TableInnerSideHeading"/>
            </w:pPr>
            <w:r>
              <w:rPr>
                <w:rtl/>
              </w:rPr>
              <w:t>"הגדרות</w:t>
            </w:r>
          </w:p>
        </w:tc>
        <w:tc>
          <w:tcPr>
            <w:tcW w:w="624" w:type="dxa"/>
          </w:tcPr>
          <w:p w14:paraId="77A9907D" w14:textId="77777777" w:rsidR="00EA10BD" w:rsidRDefault="00EA10BD" w:rsidP="000F19C2">
            <w:pPr>
              <w:pStyle w:val="TableText"/>
            </w:pPr>
            <w:r>
              <w:rPr>
                <w:rtl/>
              </w:rPr>
              <w:t>2.</w:t>
            </w:r>
          </w:p>
        </w:tc>
        <w:tc>
          <w:tcPr>
            <w:tcW w:w="4647" w:type="dxa"/>
            <w:gridSpan w:val="2"/>
          </w:tcPr>
          <w:p w14:paraId="3F1905EB" w14:textId="77777777" w:rsidR="00EA10BD" w:rsidRDefault="00EA10BD" w:rsidP="00BF0727">
            <w:pPr>
              <w:pStyle w:val="TableBlock"/>
            </w:pPr>
            <w:r>
              <w:rPr>
                <w:rtl/>
              </w:rPr>
              <w:t>בחלק זה –</w:t>
            </w:r>
          </w:p>
        </w:tc>
      </w:tr>
      <w:tr w:rsidR="00EA10BD" w14:paraId="79D96A00" w14:textId="77777777" w:rsidTr="00BF0727">
        <w:trPr>
          <w:cantSplit/>
        </w:trPr>
        <w:tc>
          <w:tcPr>
            <w:tcW w:w="1869" w:type="dxa"/>
          </w:tcPr>
          <w:p w14:paraId="5C500452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04C2B827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3D1F5508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760DFBD4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1182F1C0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6780FE48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5AA7FE73" w14:textId="77777777" w:rsidR="00EA10BD" w:rsidRPr="007D2AF8" w:rsidRDefault="00EA10BD" w:rsidP="00BF0727">
            <w:pPr>
              <w:pStyle w:val="TableBlockOutdent"/>
            </w:pPr>
            <w:r>
              <w:rPr>
                <w:rtl/>
              </w:rPr>
              <w:t>"</w:t>
            </w:r>
            <w:r>
              <w:rPr>
                <w:sz w:val="26"/>
                <w:rtl/>
              </w:rPr>
              <w:t xml:space="preserve">ארנונה כללית" – </w:t>
            </w:r>
            <w:r w:rsidRPr="003429CF">
              <w:rPr>
                <w:sz w:val="26"/>
                <w:rtl/>
              </w:rPr>
              <w:t xml:space="preserve">כמשמעותה בסעיף 8 לחוק </w:t>
            </w:r>
            <w:r>
              <w:rPr>
                <w:sz w:val="26"/>
                <w:rtl/>
              </w:rPr>
              <w:t>ה</w:t>
            </w:r>
            <w:r w:rsidRPr="003429CF">
              <w:rPr>
                <w:sz w:val="26"/>
                <w:rtl/>
              </w:rPr>
              <w:t>סדרים במשק המדינה (תיקוני חקיקה להשגת יעדי התקציב), התשנ"ג</w:t>
            </w:r>
            <w:r>
              <w:rPr>
                <w:sz w:val="26"/>
                <w:rtl/>
              </w:rPr>
              <w:t>–</w:t>
            </w:r>
            <w:r w:rsidRPr="003429CF">
              <w:rPr>
                <w:sz w:val="26"/>
                <w:rtl/>
              </w:rPr>
              <w:t>199</w:t>
            </w:r>
            <w:r>
              <w:rPr>
                <w:sz w:val="26"/>
                <w:rtl/>
              </w:rPr>
              <w:t>2</w:t>
            </w:r>
            <w:r>
              <w:rPr>
                <w:rStyle w:val="a6"/>
                <w:sz w:val="26"/>
                <w:rtl/>
              </w:rPr>
              <w:footnoteReference w:id="3"/>
            </w:r>
            <w:r>
              <w:rPr>
                <w:sz w:val="26"/>
                <w:rtl/>
              </w:rPr>
              <w:t xml:space="preserve"> (להלן – חוק הסדרים במשק המדינה)</w:t>
            </w:r>
            <w:r>
              <w:rPr>
                <w:rtl/>
              </w:rPr>
              <w:t>;</w:t>
            </w:r>
          </w:p>
        </w:tc>
      </w:tr>
      <w:tr w:rsidR="00EA10BD" w14:paraId="39F15C41" w14:textId="77777777" w:rsidTr="00BF0727">
        <w:trPr>
          <w:cantSplit/>
        </w:trPr>
        <w:tc>
          <w:tcPr>
            <w:tcW w:w="1869" w:type="dxa"/>
          </w:tcPr>
          <w:p w14:paraId="24C4753E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1FD28CF0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6B759C9D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1A06338A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7AF3FC63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7D265833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43128E7E" w14:textId="77777777" w:rsidR="00EA10BD" w:rsidRPr="007D2AF8" w:rsidRDefault="00EA10BD" w:rsidP="00BF0727">
            <w:pPr>
              <w:pStyle w:val="TableBlockOutdent"/>
              <w:rPr>
                <w:rtl/>
              </w:rPr>
            </w:pPr>
            <w:r>
              <w:rPr>
                <w:rtl/>
              </w:rPr>
              <w:t>"</w:t>
            </w:r>
            <w:r>
              <w:rPr>
                <w:sz w:val="26"/>
                <w:rtl/>
              </w:rPr>
              <w:t>בניין", "מחזיק", "נכסים"</w:t>
            </w:r>
            <w:r w:rsidRPr="003429CF">
              <w:rPr>
                <w:sz w:val="26"/>
                <w:rtl/>
              </w:rPr>
              <w:t xml:space="preserve"> "קרקע תפוסה" </w:t>
            </w:r>
            <w:r>
              <w:rPr>
                <w:sz w:val="26"/>
                <w:rtl/>
              </w:rPr>
              <w:t>–</w:t>
            </w:r>
            <w:r w:rsidRPr="003429CF">
              <w:rPr>
                <w:sz w:val="26"/>
                <w:rtl/>
              </w:rPr>
              <w:t xml:space="preserve">  כהגדרתם בסעיף 269 לפקודת העיריות</w:t>
            </w:r>
            <w:r>
              <w:rPr>
                <w:rStyle w:val="a6"/>
                <w:sz w:val="26"/>
                <w:rtl/>
              </w:rPr>
              <w:footnoteReference w:id="4"/>
            </w:r>
            <w:r w:rsidRPr="003429CF">
              <w:rPr>
                <w:sz w:val="26"/>
                <w:rtl/>
              </w:rPr>
              <w:t>;</w:t>
            </w:r>
          </w:p>
        </w:tc>
      </w:tr>
      <w:tr w:rsidR="00EA10BD" w14:paraId="1874B441" w14:textId="77777777" w:rsidTr="00BF0727">
        <w:trPr>
          <w:cantSplit/>
        </w:trPr>
        <w:tc>
          <w:tcPr>
            <w:tcW w:w="1869" w:type="dxa"/>
          </w:tcPr>
          <w:p w14:paraId="7B6CF357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1DC0469F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7461F888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6D887124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266955F6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321376CA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2FC0F49B" w14:textId="77777777" w:rsidR="00EA10BD" w:rsidRPr="007D2AF8" w:rsidRDefault="00EA10BD" w:rsidP="00BF0727">
            <w:pPr>
              <w:pStyle w:val="TableBlockOutdent"/>
              <w:rPr>
                <w:rtl/>
              </w:rPr>
            </w:pPr>
            <w:r>
              <w:rPr>
                <w:rtl/>
              </w:rPr>
              <w:t>"</w:t>
            </w:r>
            <w:r w:rsidRPr="003429CF">
              <w:rPr>
                <w:sz w:val="26"/>
                <w:rtl/>
              </w:rPr>
              <w:t xml:space="preserve">גוף ממשלתי" </w:t>
            </w:r>
            <w:r>
              <w:rPr>
                <w:sz w:val="26"/>
                <w:rtl/>
              </w:rPr>
              <w:t xml:space="preserve">– </w:t>
            </w:r>
            <w:r w:rsidRPr="003429CF">
              <w:rPr>
                <w:rFonts w:ascii="Times New Roman" w:hAnsi="Times New Roman"/>
                <w:sz w:val="26"/>
                <w:rtl/>
              </w:rPr>
              <w:t>כל אחד מאלה: משרד ממשלתי לרבות יחידת סמך שלו, צבא הגנה לישראל, שירות הביטחון הכללי, המוסד למודיעין ולתפקידים מיוחדים, משטרת ישראל, שירות בתי הסוהר וחברה ממשלתית;</w:t>
            </w:r>
          </w:p>
        </w:tc>
      </w:tr>
      <w:tr w:rsidR="00EA10BD" w14:paraId="7729F6D5" w14:textId="77777777" w:rsidTr="00BF0727">
        <w:trPr>
          <w:cantSplit/>
        </w:trPr>
        <w:tc>
          <w:tcPr>
            <w:tcW w:w="1869" w:type="dxa"/>
          </w:tcPr>
          <w:p w14:paraId="5033E233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7179AE65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642439CC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CCA3088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3B4C10C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85EDBEC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4A27E285" w14:textId="77777777" w:rsidR="00EA10BD" w:rsidRPr="007D2AF8" w:rsidRDefault="00EA10BD" w:rsidP="00BF0727">
            <w:pPr>
              <w:pStyle w:val="TableBlockOutdent"/>
              <w:rPr>
                <w:rtl/>
              </w:rPr>
            </w:pPr>
            <w:r>
              <w:rPr>
                <w:rtl/>
              </w:rPr>
              <w:t>"</w:t>
            </w:r>
            <w:r>
              <w:rPr>
                <w:sz w:val="26"/>
                <w:rtl/>
              </w:rPr>
              <w:t xml:space="preserve">חברה ממשלתית" – </w:t>
            </w:r>
            <w:r w:rsidRPr="003429CF">
              <w:rPr>
                <w:sz w:val="26"/>
                <w:rtl/>
              </w:rPr>
              <w:t>חברה שבה למעלה מ-90% מכוח ההצבעה באסיפותיה הכלליות הם בידי המדינה;</w:t>
            </w:r>
          </w:p>
        </w:tc>
      </w:tr>
      <w:tr w:rsidR="00EA10BD" w14:paraId="75B5F813" w14:textId="77777777" w:rsidTr="00BF0727">
        <w:trPr>
          <w:cantSplit/>
        </w:trPr>
        <w:tc>
          <w:tcPr>
            <w:tcW w:w="1869" w:type="dxa"/>
          </w:tcPr>
          <w:p w14:paraId="1FEF4683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3970D01B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37EC5E59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01EC3B33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EA7D636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67D1C8C8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76109877" w14:textId="77777777" w:rsidR="00EA10BD" w:rsidRPr="007D2AF8" w:rsidRDefault="00EA10BD" w:rsidP="00BF0727">
            <w:pPr>
              <w:pStyle w:val="TableBlockOutdent"/>
              <w:rPr>
                <w:rtl/>
              </w:rPr>
            </w:pPr>
            <w:r>
              <w:rPr>
                <w:rtl/>
              </w:rPr>
              <w:t>"</w:t>
            </w:r>
            <w:r w:rsidRPr="003429CF">
              <w:rPr>
                <w:sz w:val="26"/>
                <w:rtl/>
              </w:rPr>
              <w:t xml:space="preserve">שיעור העדכון" </w:t>
            </w:r>
            <w:r>
              <w:rPr>
                <w:sz w:val="26"/>
                <w:rtl/>
              </w:rPr>
              <w:t xml:space="preserve">– </w:t>
            </w:r>
            <w:r w:rsidRPr="003429CF">
              <w:rPr>
                <w:sz w:val="26"/>
                <w:rtl/>
              </w:rPr>
              <w:t>כהגדרתו בסעיף 7 לחוק הסדרים במשק המדינה, ולעניין שנת כספים מסוימת שנקבעו לגביה עדכונים לפי סעיף 9(ב1) לחוק האמור</w:t>
            </w:r>
            <w:r>
              <w:rPr>
                <w:sz w:val="26"/>
                <w:rtl/>
              </w:rPr>
              <w:t xml:space="preserve"> –</w:t>
            </w:r>
            <w:r w:rsidRPr="003429CF">
              <w:rPr>
                <w:sz w:val="26"/>
                <w:rtl/>
              </w:rPr>
              <w:t xml:space="preserve"> שיעור העדכון לפי הכללים האמורים;</w:t>
            </w:r>
          </w:p>
        </w:tc>
      </w:tr>
      <w:tr w:rsidR="00EA10BD" w14:paraId="0C6B1B36" w14:textId="77777777" w:rsidTr="00BF0727">
        <w:trPr>
          <w:cantSplit/>
        </w:trPr>
        <w:tc>
          <w:tcPr>
            <w:tcW w:w="1869" w:type="dxa"/>
          </w:tcPr>
          <w:p w14:paraId="60FAF1DA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161D2944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77C4CCD9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3F3950C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42A9BCB5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04B9534F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54BDB239" w14:textId="77777777" w:rsidR="00EA10BD" w:rsidRPr="007D2AF8" w:rsidRDefault="00EA10BD" w:rsidP="00BF0727">
            <w:pPr>
              <w:pStyle w:val="TableBlockOutdent"/>
              <w:rPr>
                <w:rtl/>
              </w:rPr>
            </w:pPr>
            <w:r>
              <w:rPr>
                <w:rtl/>
              </w:rPr>
              <w:t>"</w:t>
            </w:r>
            <w:r w:rsidRPr="003429CF">
              <w:rPr>
                <w:sz w:val="26"/>
                <w:rtl/>
              </w:rPr>
              <w:t>השרים"</w:t>
            </w:r>
            <w:r>
              <w:rPr>
                <w:sz w:val="26"/>
                <w:rtl/>
              </w:rPr>
              <w:t xml:space="preserve"> –</w:t>
            </w:r>
            <w:r w:rsidRPr="003429CF">
              <w:rPr>
                <w:sz w:val="26"/>
                <w:rtl/>
              </w:rPr>
              <w:t xml:space="preserve"> שר האוצר ושר הפנים</w:t>
            </w:r>
            <w:r>
              <w:rPr>
                <w:sz w:val="26"/>
                <w:rtl/>
              </w:rPr>
              <w:t>.</w:t>
            </w:r>
            <w:r>
              <w:rPr>
                <w:rtl/>
              </w:rPr>
              <w:t>"</w:t>
            </w:r>
          </w:p>
        </w:tc>
      </w:tr>
      <w:tr w:rsidR="00EA10BD" w:rsidRPr="003429CF" w14:paraId="6E43B05B" w14:textId="77777777" w:rsidTr="00BF0727">
        <w:trPr>
          <w:cantSplit/>
        </w:trPr>
        <w:tc>
          <w:tcPr>
            <w:tcW w:w="1869" w:type="dxa"/>
          </w:tcPr>
          <w:p w14:paraId="03FFACAE" w14:textId="77777777" w:rsidR="00EA10BD" w:rsidRPr="003429CF" w:rsidRDefault="00EA10BD" w:rsidP="000F19C2">
            <w:pPr>
              <w:pStyle w:val="TableSideHeading"/>
              <w:keepLines w:val="0"/>
              <w:jc w:val="both"/>
              <w:rPr>
                <w:sz w:val="26"/>
              </w:rPr>
            </w:pPr>
            <w:r>
              <w:rPr>
                <w:sz w:val="26"/>
                <w:rtl/>
              </w:rPr>
              <w:t>החלפת סעיף 3</w:t>
            </w:r>
          </w:p>
        </w:tc>
        <w:tc>
          <w:tcPr>
            <w:tcW w:w="624" w:type="dxa"/>
          </w:tcPr>
          <w:p w14:paraId="02903C52" w14:textId="77777777" w:rsidR="00EA10BD" w:rsidRPr="007D2AF8" w:rsidRDefault="00EA10BD" w:rsidP="000F19C2">
            <w:pPr>
              <w:pStyle w:val="TableText"/>
              <w:ind w:right="0"/>
              <w:jc w:val="both"/>
              <w:rPr>
                <w:rtl/>
              </w:rPr>
            </w:pPr>
            <w:r>
              <w:rPr>
                <w:rtl/>
              </w:rPr>
              <w:t>3.</w:t>
            </w:r>
          </w:p>
        </w:tc>
        <w:tc>
          <w:tcPr>
            <w:tcW w:w="7143" w:type="dxa"/>
            <w:gridSpan w:val="6"/>
          </w:tcPr>
          <w:p w14:paraId="7266D699" w14:textId="77777777" w:rsidR="00EA10BD" w:rsidRPr="003429CF" w:rsidRDefault="00EA10BD" w:rsidP="00BF0727">
            <w:pPr>
              <w:pStyle w:val="TableBlock"/>
              <w:rPr>
                <w:sz w:val="26"/>
                <w:rtl/>
              </w:rPr>
            </w:pPr>
            <w:r w:rsidRPr="003429CF">
              <w:rPr>
                <w:sz w:val="26"/>
                <w:rtl/>
              </w:rPr>
              <w:t xml:space="preserve">במקום סעיף 3 </w:t>
            </w:r>
            <w:r>
              <w:rPr>
                <w:sz w:val="26"/>
                <w:rtl/>
              </w:rPr>
              <w:t xml:space="preserve">לפקודה </w:t>
            </w:r>
            <w:r w:rsidRPr="003429CF">
              <w:rPr>
                <w:sz w:val="26"/>
                <w:rtl/>
              </w:rPr>
              <w:t>יבוא:</w:t>
            </w:r>
          </w:p>
        </w:tc>
      </w:tr>
      <w:tr w:rsidR="00EA10BD" w14:paraId="3C4098E8" w14:textId="77777777" w:rsidTr="00BF0727">
        <w:trPr>
          <w:cantSplit/>
        </w:trPr>
        <w:tc>
          <w:tcPr>
            <w:tcW w:w="1869" w:type="dxa"/>
          </w:tcPr>
          <w:p w14:paraId="35D17EBB" w14:textId="77777777" w:rsidR="00EA10BD" w:rsidRDefault="00EA10BD" w:rsidP="000F19C2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40F7A686" w14:textId="77777777" w:rsidR="00EA10BD" w:rsidRDefault="00EA10BD" w:rsidP="000F19C2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14:paraId="77BC2D4E" w14:textId="77777777" w:rsidR="00EA10BD" w:rsidRPr="007D2AF8" w:rsidRDefault="00EA10BD" w:rsidP="000F19C2">
            <w:pPr>
              <w:pStyle w:val="TableInnerSideHeading"/>
              <w:ind w:right="0"/>
            </w:pPr>
            <w:r w:rsidRPr="007D2AF8">
              <w:rPr>
                <w:rtl/>
              </w:rPr>
              <w:t>"פטור מארנונה כללית לנכסים המוחזקים בידי גופים ממשלתיים</w:t>
            </w:r>
          </w:p>
        </w:tc>
        <w:tc>
          <w:tcPr>
            <w:tcW w:w="624" w:type="dxa"/>
          </w:tcPr>
          <w:p w14:paraId="0923063F" w14:textId="77777777" w:rsidR="00EA10BD" w:rsidRDefault="00EA10BD" w:rsidP="000F19C2">
            <w:pPr>
              <w:pStyle w:val="TableText"/>
            </w:pPr>
            <w:r>
              <w:rPr>
                <w:rtl/>
              </w:rPr>
              <w:t>3.</w:t>
            </w:r>
          </w:p>
        </w:tc>
        <w:tc>
          <w:tcPr>
            <w:tcW w:w="4647" w:type="dxa"/>
            <w:gridSpan w:val="2"/>
          </w:tcPr>
          <w:p w14:paraId="1FB34A92" w14:textId="77777777" w:rsidR="00EA10BD" w:rsidRDefault="00EA10BD" w:rsidP="00BF0727">
            <w:pPr>
              <w:pStyle w:val="TableBlock"/>
            </w:pPr>
            <w:r>
              <w:rPr>
                <w:rtl/>
              </w:rPr>
              <w:t>(א)</w:t>
            </w:r>
            <w:r>
              <w:rPr>
                <w:rtl/>
              </w:rPr>
              <w:tab/>
            </w:r>
            <w:r w:rsidRPr="003429CF">
              <w:rPr>
                <w:sz w:val="26"/>
                <w:rtl/>
              </w:rPr>
              <w:t>על אף הוראות כל דין</w:t>
            </w:r>
            <w:r>
              <w:rPr>
                <w:sz w:val="26"/>
                <w:rtl/>
              </w:rPr>
              <w:t>, לא תוטל</w:t>
            </w:r>
            <w:r w:rsidRPr="003429CF">
              <w:rPr>
                <w:sz w:val="26"/>
                <w:rtl/>
              </w:rPr>
              <w:t xml:space="preserve"> ארנונה כללית על כל בניין או קרקע תפו</w:t>
            </w:r>
            <w:r>
              <w:rPr>
                <w:sz w:val="26"/>
                <w:rtl/>
              </w:rPr>
              <w:t>ש</w:t>
            </w:r>
            <w:r w:rsidRPr="003429CF">
              <w:rPr>
                <w:sz w:val="26"/>
                <w:rtl/>
              </w:rPr>
              <w:t xml:space="preserve">ה שמחזיקים בה גוף ממשלתי או </w:t>
            </w:r>
            <w:r>
              <w:rPr>
                <w:sz w:val="26"/>
                <w:rtl/>
              </w:rPr>
              <w:t>מי מטעמו של גוף כאמור</w:t>
            </w:r>
            <w:r w:rsidRPr="003429CF">
              <w:rPr>
                <w:sz w:val="26"/>
                <w:rtl/>
              </w:rPr>
              <w:t>.</w:t>
            </w:r>
          </w:p>
        </w:tc>
      </w:tr>
      <w:tr w:rsidR="00EA10BD" w14:paraId="1BA98A04" w14:textId="77777777" w:rsidTr="00BF0727">
        <w:trPr>
          <w:cantSplit/>
        </w:trPr>
        <w:tc>
          <w:tcPr>
            <w:tcW w:w="1869" w:type="dxa"/>
          </w:tcPr>
          <w:p w14:paraId="1536DC44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74ACEA53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28A67940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158652E9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D277322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4D78CBEC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2E33FE24" w14:textId="77777777" w:rsidR="00EA10BD" w:rsidRDefault="00EA10BD" w:rsidP="00BF0727">
            <w:pPr>
              <w:pStyle w:val="TableBlock"/>
            </w:pPr>
            <w:r>
              <w:rPr>
                <w:sz w:val="26"/>
                <w:rtl/>
              </w:rPr>
              <w:t>(ב)</w:t>
            </w:r>
            <w:r>
              <w:rPr>
                <w:sz w:val="26"/>
                <w:rtl/>
              </w:rPr>
              <w:tab/>
              <w:t>על נכסים כאמור בסעיף קטן (א),</w:t>
            </w:r>
            <w:r w:rsidRPr="003429CF">
              <w:rPr>
                <w:sz w:val="26"/>
                <w:rtl/>
              </w:rPr>
              <w:t xml:space="preserve"> לא יוטלו אגרת סילוק אשפה או כל אגרה או תשלום אחר</w:t>
            </w:r>
            <w:r>
              <w:rPr>
                <w:sz w:val="26"/>
                <w:rtl/>
              </w:rPr>
              <w:t>ים</w:t>
            </w:r>
            <w:r w:rsidRPr="003429CF">
              <w:rPr>
                <w:sz w:val="26"/>
                <w:rtl/>
              </w:rPr>
              <w:t xml:space="preserve"> </w:t>
            </w:r>
            <w:r>
              <w:rPr>
                <w:sz w:val="26"/>
                <w:rtl/>
              </w:rPr>
              <w:t>המשולמים לרשות המקומית בידי מי שפטור מתשלום ארנונה כללית</w:t>
            </w:r>
            <w:r w:rsidRPr="003429CF">
              <w:rPr>
                <w:sz w:val="26"/>
                <w:rtl/>
              </w:rPr>
              <w:t>.</w:t>
            </w:r>
            <w:r>
              <w:rPr>
                <w:rtl/>
              </w:rPr>
              <w:t>"</w:t>
            </w:r>
          </w:p>
        </w:tc>
      </w:tr>
      <w:tr w:rsidR="00EA10BD" w:rsidRPr="003429CF" w14:paraId="47CD94A5" w14:textId="77777777" w:rsidTr="00BF0727">
        <w:trPr>
          <w:cantSplit/>
        </w:trPr>
        <w:tc>
          <w:tcPr>
            <w:tcW w:w="1869" w:type="dxa"/>
          </w:tcPr>
          <w:p w14:paraId="5220743F" w14:textId="77777777" w:rsidR="00EA10BD" w:rsidRPr="003429CF" w:rsidRDefault="00EA10BD" w:rsidP="000F19C2">
            <w:pPr>
              <w:pStyle w:val="TableSideHeading"/>
              <w:keepLines w:val="0"/>
              <w:jc w:val="both"/>
              <w:rPr>
                <w:sz w:val="26"/>
              </w:rPr>
            </w:pPr>
            <w:r>
              <w:rPr>
                <w:sz w:val="26"/>
                <w:rtl/>
              </w:rPr>
              <w:t>הוספת סעיפים 3א עד 3ד</w:t>
            </w:r>
          </w:p>
        </w:tc>
        <w:tc>
          <w:tcPr>
            <w:tcW w:w="624" w:type="dxa"/>
          </w:tcPr>
          <w:p w14:paraId="421888F3" w14:textId="77777777" w:rsidR="00EA10BD" w:rsidRPr="007D2AF8" w:rsidRDefault="00EA10BD" w:rsidP="000F19C2">
            <w:pPr>
              <w:pStyle w:val="TableText"/>
              <w:ind w:right="0"/>
              <w:jc w:val="both"/>
              <w:rPr>
                <w:rtl/>
              </w:rPr>
            </w:pPr>
            <w:r>
              <w:rPr>
                <w:rtl/>
              </w:rPr>
              <w:t>4.</w:t>
            </w:r>
          </w:p>
        </w:tc>
        <w:tc>
          <w:tcPr>
            <w:tcW w:w="7143" w:type="dxa"/>
            <w:gridSpan w:val="6"/>
          </w:tcPr>
          <w:p w14:paraId="424AB9FA" w14:textId="77777777" w:rsidR="00EA10BD" w:rsidRPr="003429CF" w:rsidRDefault="00EA10BD" w:rsidP="00BF0727">
            <w:pPr>
              <w:pStyle w:val="TableBlock"/>
              <w:rPr>
                <w:sz w:val="26"/>
                <w:rtl/>
              </w:rPr>
            </w:pPr>
            <w:r>
              <w:rPr>
                <w:sz w:val="26"/>
                <w:rtl/>
              </w:rPr>
              <w:t>אחרי סעיף</w:t>
            </w:r>
            <w:r w:rsidRPr="003429CF">
              <w:rPr>
                <w:sz w:val="26"/>
                <w:rtl/>
              </w:rPr>
              <w:t xml:space="preserve"> 3 </w:t>
            </w:r>
            <w:r>
              <w:rPr>
                <w:sz w:val="26"/>
                <w:rtl/>
              </w:rPr>
              <w:t xml:space="preserve">לפקודה </w:t>
            </w:r>
            <w:r w:rsidRPr="003429CF">
              <w:rPr>
                <w:sz w:val="26"/>
                <w:rtl/>
              </w:rPr>
              <w:t>יבוא:</w:t>
            </w:r>
          </w:p>
        </w:tc>
      </w:tr>
      <w:tr w:rsidR="00EA10BD" w14:paraId="70846495" w14:textId="77777777" w:rsidTr="00BF0727">
        <w:trPr>
          <w:cantSplit/>
        </w:trPr>
        <w:tc>
          <w:tcPr>
            <w:tcW w:w="1869" w:type="dxa"/>
          </w:tcPr>
          <w:p w14:paraId="34CC5C34" w14:textId="77777777" w:rsidR="00EA10BD" w:rsidRDefault="00EA10BD" w:rsidP="000F19C2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1EF9FDB3" w14:textId="77777777" w:rsidR="00EA10BD" w:rsidRDefault="00EA10BD" w:rsidP="000F19C2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14:paraId="77868873" w14:textId="77777777" w:rsidR="00EA10BD" w:rsidRDefault="00EA10BD" w:rsidP="000F19C2">
            <w:pPr>
              <w:pStyle w:val="TableInnerSideHeading"/>
              <w:ind w:right="0"/>
            </w:pPr>
            <w:r>
              <w:rPr>
                <w:rtl/>
              </w:rPr>
              <w:t>"</w:t>
            </w:r>
            <w:r w:rsidRPr="003429CF">
              <w:rPr>
                <w:sz w:val="16"/>
                <w:szCs w:val="16"/>
                <w:rtl/>
              </w:rPr>
              <w:t xml:space="preserve"> </w:t>
            </w:r>
            <w:r w:rsidRPr="007D2AF8">
              <w:rPr>
                <w:rtl/>
              </w:rPr>
              <w:t>קרן לחלוקת כספים בעד נכסים של גופים ממשלתיים</w:t>
            </w:r>
          </w:p>
        </w:tc>
        <w:tc>
          <w:tcPr>
            <w:tcW w:w="624" w:type="dxa"/>
          </w:tcPr>
          <w:p w14:paraId="7F2DAE77" w14:textId="77777777" w:rsidR="00EA10BD" w:rsidRDefault="00EA10BD" w:rsidP="000F19C2">
            <w:pPr>
              <w:pStyle w:val="TableText"/>
            </w:pPr>
            <w:r>
              <w:rPr>
                <w:rtl/>
              </w:rPr>
              <w:t>3א.</w:t>
            </w:r>
          </w:p>
        </w:tc>
        <w:tc>
          <w:tcPr>
            <w:tcW w:w="4647" w:type="dxa"/>
            <w:gridSpan w:val="2"/>
          </w:tcPr>
          <w:p w14:paraId="168B13D4" w14:textId="77777777" w:rsidR="00EA10BD" w:rsidRDefault="00EA10BD" w:rsidP="00BF0727">
            <w:pPr>
              <w:pStyle w:val="TableBlock"/>
            </w:pPr>
            <w:r w:rsidRPr="003429CF">
              <w:rPr>
                <w:sz w:val="26"/>
                <w:rtl/>
              </w:rPr>
              <w:t>(א)</w:t>
            </w:r>
            <w:r>
              <w:rPr>
                <w:sz w:val="26"/>
                <w:rtl/>
              </w:rPr>
              <w:tab/>
            </w:r>
            <w:r w:rsidRPr="003429CF">
              <w:rPr>
                <w:sz w:val="26"/>
                <w:rtl/>
              </w:rPr>
              <w:t xml:space="preserve">מוקמת בזה, במשרד הפנים, קרן שתפקידה לרכז </w:t>
            </w:r>
            <w:r>
              <w:rPr>
                <w:sz w:val="26"/>
                <w:rtl/>
              </w:rPr>
              <w:t xml:space="preserve">ולנהל </w:t>
            </w:r>
            <w:r w:rsidRPr="003429CF">
              <w:rPr>
                <w:sz w:val="26"/>
                <w:rtl/>
              </w:rPr>
              <w:t>כס</w:t>
            </w:r>
            <w:r>
              <w:rPr>
                <w:sz w:val="26"/>
                <w:rtl/>
              </w:rPr>
              <w:t>פים שהעבירו אליה גופים ממשלתיים (בסעיף זה – הקרן)</w:t>
            </w:r>
            <w:r w:rsidRPr="003429CF">
              <w:rPr>
                <w:sz w:val="26"/>
                <w:rtl/>
              </w:rPr>
              <w:t>.</w:t>
            </w:r>
          </w:p>
        </w:tc>
      </w:tr>
      <w:tr w:rsidR="00EA10BD" w14:paraId="54CC645D" w14:textId="77777777" w:rsidTr="00BF0727">
        <w:trPr>
          <w:cantSplit/>
        </w:trPr>
        <w:tc>
          <w:tcPr>
            <w:tcW w:w="1869" w:type="dxa"/>
          </w:tcPr>
          <w:p w14:paraId="2213ADA7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67F9AD5E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707CD6D9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004B2BA9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ED6AA5D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6C52A5EC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39B44BCA" w14:textId="77777777" w:rsidR="00EA10BD" w:rsidRDefault="00EA10BD" w:rsidP="00BF0727">
            <w:pPr>
              <w:pStyle w:val="TableBlock"/>
            </w:pPr>
            <w:r>
              <w:rPr>
                <w:rtl/>
              </w:rPr>
              <w:t>(ב)</w:t>
            </w:r>
            <w:r>
              <w:rPr>
                <w:rtl/>
              </w:rPr>
              <w:tab/>
            </w:r>
            <w:r w:rsidRPr="003429CF">
              <w:rPr>
                <w:sz w:val="26"/>
                <w:rtl/>
              </w:rPr>
              <w:t>הקרן תנוהל בידי הנהלה בת שמונה חברים ו</w:t>
            </w:r>
            <w:r>
              <w:rPr>
                <w:sz w:val="26"/>
                <w:rtl/>
              </w:rPr>
              <w:t>אלה חבריה</w:t>
            </w:r>
            <w:r w:rsidRPr="003429CF">
              <w:rPr>
                <w:sz w:val="26"/>
                <w:rtl/>
              </w:rPr>
              <w:t>:</w:t>
            </w:r>
            <w:r>
              <w:rPr>
                <w:sz w:val="26"/>
                <w:rtl/>
              </w:rPr>
              <w:t xml:space="preserve"> </w:t>
            </w:r>
            <w:r w:rsidRPr="003429CF">
              <w:rPr>
                <w:sz w:val="26"/>
                <w:rtl/>
              </w:rPr>
              <w:t xml:space="preserve"> </w:t>
            </w:r>
          </w:p>
        </w:tc>
      </w:tr>
      <w:tr w:rsidR="00EA10BD" w14:paraId="5274AD7E" w14:textId="77777777" w:rsidTr="00BF0727">
        <w:trPr>
          <w:cantSplit/>
        </w:trPr>
        <w:tc>
          <w:tcPr>
            <w:tcW w:w="1869" w:type="dxa"/>
          </w:tcPr>
          <w:p w14:paraId="403337C6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07EF87AA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0B344B58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703B267D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28407A1B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4C99187A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284CE2C7" w14:textId="77777777" w:rsidR="00EA10BD" w:rsidRDefault="00EA10BD" w:rsidP="000F19C2">
            <w:pPr>
              <w:pStyle w:val="TableText"/>
            </w:pPr>
          </w:p>
        </w:tc>
        <w:tc>
          <w:tcPr>
            <w:tcW w:w="4023" w:type="dxa"/>
          </w:tcPr>
          <w:p w14:paraId="28A4B9B2" w14:textId="77777777" w:rsidR="00EA10BD" w:rsidRDefault="00EA10BD" w:rsidP="00BF0727">
            <w:pPr>
              <w:pStyle w:val="TableBlock"/>
            </w:pPr>
            <w:r>
              <w:rPr>
                <w:sz w:val="26"/>
                <w:rtl/>
              </w:rPr>
              <w:t>(1)</w:t>
            </w:r>
            <w:r>
              <w:rPr>
                <w:sz w:val="26"/>
                <w:rtl/>
              </w:rPr>
              <w:tab/>
            </w:r>
            <w:r w:rsidRPr="003429CF">
              <w:rPr>
                <w:sz w:val="26"/>
                <w:rtl/>
              </w:rPr>
              <w:t>מנהל המינהל לשלטו</w:t>
            </w:r>
            <w:r>
              <w:rPr>
                <w:sz w:val="26"/>
                <w:rtl/>
              </w:rPr>
              <w:t>ן מקומי במשרד הפנים, והוא יהיה ה</w:t>
            </w:r>
            <w:r w:rsidRPr="003429CF">
              <w:rPr>
                <w:sz w:val="26"/>
                <w:rtl/>
              </w:rPr>
              <w:t>יושב ראש;</w:t>
            </w:r>
          </w:p>
        </w:tc>
      </w:tr>
      <w:tr w:rsidR="00EA10BD" w14:paraId="772F1DC2" w14:textId="77777777" w:rsidTr="00BF0727">
        <w:trPr>
          <w:cantSplit/>
        </w:trPr>
        <w:tc>
          <w:tcPr>
            <w:tcW w:w="1869" w:type="dxa"/>
          </w:tcPr>
          <w:p w14:paraId="61308DB8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1EB9A89B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3861734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A34F803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3D1B67ED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F6ECAF5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386D0D5E" w14:textId="77777777" w:rsidR="00EA10BD" w:rsidRDefault="00EA10BD" w:rsidP="000F19C2">
            <w:pPr>
              <w:pStyle w:val="TableText"/>
            </w:pPr>
          </w:p>
        </w:tc>
        <w:tc>
          <w:tcPr>
            <w:tcW w:w="4023" w:type="dxa"/>
          </w:tcPr>
          <w:p w14:paraId="4AA6AC5C" w14:textId="77777777" w:rsidR="00EA10BD" w:rsidRDefault="00EA10BD" w:rsidP="00BF0727">
            <w:pPr>
              <w:pStyle w:val="TableBlock"/>
              <w:rPr>
                <w:sz w:val="26"/>
                <w:rtl/>
              </w:rPr>
            </w:pPr>
            <w:r>
              <w:rPr>
                <w:sz w:val="26"/>
                <w:rtl/>
              </w:rPr>
              <w:t>(2)</w:t>
            </w:r>
            <w:r>
              <w:rPr>
                <w:sz w:val="26"/>
                <w:rtl/>
              </w:rPr>
              <w:tab/>
            </w:r>
            <w:r w:rsidRPr="003429CF">
              <w:rPr>
                <w:sz w:val="26"/>
                <w:rtl/>
              </w:rPr>
              <w:t>עובד משרד הפנים</w:t>
            </w:r>
            <w:r>
              <w:rPr>
                <w:sz w:val="26"/>
                <w:rtl/>
              </w:rPr>
              <w:t>,</w:t>
            </w:r>
            <w:r w:rsidRPr="003429CF">
              <w:rPr>
                <w:sz w:val="26"/>
                <w:rtl/>
              </w:rPr>
              <w:t xml:space="preserve"> שימנה שר הפנים;</w:t>
            </w:r>
          </w:p>
        </w:tc>
      </w:tr>
      <w:tr w:rsidR="00EA10BD" w14:paraId="42A566E2" w14:textId="77777777" w:rsidTr="00BF0727">
        <w:trPr>
          <w:cantSplit/>
        </w:trPr>
        <w:tc>
          <w:tcPr>
            <w:tcW w:w="1869" w:type="dxa"/>
          </w:tcPr>
          <w:p w14:paraId="6595A199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386549AB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20C7EBDB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30AFF605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697DDFE7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1D0382B4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2AB9E871" w14:textId="77777777" w:rsidR="00EA10BD" w:rsidRDefault="00EA10BD" w:rsidP="000F19C2">
            <w:pPr>
              <w:pStyle w:val="TableText"/>
            </w:pPr>
          </w:p>
        </w:tc>
        <w:tc>
          <w:tcPr>
            <w:tcW w:w="4023" w:type="dxa"/>
          </w:tcPr>
          <w:p w14:paraId="3917019B" w14:textId="77777777" w:rsidR="00EA10BD" w:rsidRDefault="00EA10BD" w:rsidP="00BF0727">
            <w:pPr>
              <w:pStyle w:val="TableBlock"/>
              <w:rPr>
                <w:sz w:val="26"/>
                <w:rtl/>
              </w:rPr>
            </w:pPr>
            <w:r>
              <w:rPr>
                <w:sz w:val="26"/>
                <w:rtl/>
              </w:rPr>
              <w:t>(3)</w:t>
            </w:r>
            <w:r>
              <w:rPr>
                <w:sz w:val="26"/>
                <w:rtl/>
              </w:rPr>
              <w:tab/>
            </w:r>
            <w:r w:rsidRPr="003429CF">
              <w:rPr>
                <w:sz w:val="26"/>
                <w:rtl/>
              </w:rPr>
              <w:t>עובד אגף התקציבים במשרד האוצר ועובד אגף החשב הכללי באותו משרד, שימנה שר האוצר;</w:t>
            </w:r>
          </w:p>
        </w:tc>
      </w:tr>
      <w:tr w:rsidR="00EA10BD" w14:paraId="3AFCFA02" w14:textId="77777777" w:rsidTr="00BF0727">
        <w:trPr>
          <w:cantSplit/>
        </w:trPr>
        <w:tc>
          <w:tcPr>
            <w:tcW w:w="1869" w:type="dxa"/>
          </w:tcPr>
          <w:p w14:paraId="5E68C231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73EEC6B0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2A493591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598B73E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EBAAEDF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3AD389B0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6055F542" w14:textId="77777777" w:rsidR="00EA10BD" w:rsidRDefault="00EA10BD" w:rsidP="000F19C2">
            <w:pPr>
              <w:pStyle w:val="TableText"/>
            </w:pPr>
          </w:p>
        </w:tc>
        <w:tc>
          <w:tcPr>
            <w:tcW w:w="4023" w:type="dxa"/>
          </w:tcPr>
          <w:p w14:paraId="5CAEDA63" w14:textId="77777777" w:rsidR="00EA10BD" w:rsidRDefault="00EA10BD" w:rsidP="00BF0727">
            <w:pPr>
              <w:pStyle w:val="TableBlock"/>
              <w:rPr>
                <w:sz w:val="26"/>
                <w:rtl/>
              </w:rPr>
            </w:pPr>
            <w:r>
              <w:rPr>
                <w:sz w:val="26"/>
                <w:rtl/>
              </w:rPr>
              <w:t>(4)</w:t>
            </w:r>
            <w:r>
              <w:rPr>
                <w:sz w:val="26"/>
                <w:rtl/>
              </w:rPr>
              <w:tab/>
            </w:r>
            <w:r w:rsidRPr="003429CF">
              <w:rPr>
                <w:sz w:val="26"/>
                <w:rtl/>
              </w:rPr>
              <w:t>עובד משרד הביטחון</w:t>
            </w:r>
            <w:r>
              <w:rPr>
                <w:sz w:val="26"/>
                <w:rtl/>
              </w:rPr>
              <w:t>,</w:t>
            </w:r>
            <w:r w:rsidRPr="003429CF">
              <w:rPr>
                <w:sz w:val="26"/>
                <w:rtl/>
              </w:rPr>
              <w:t xml:space="preserve"> שימנה שר הביטחון;</w:t>
            </w:r>
            <w:r>
              <w:rPr>
                <w:sz w:val="26"/>
                <w:rtl/>
              </w:rPr>
              <w:t xml:space="preserve"> </w:t>
            </w:r>
            <w:r w:rsidRPr="003429CF">
              <w:rPr>
                <w:sz w:val="26"/>
                <w:rtl/>
              </w:rPr>
              <w:t xml:space="preserve"> </w:t>
            </w:r>
          </w:p>
        </w:tc>
      </w:tr>
      <w:tr w:rsidR="00EA10BD" w14:paraId="1B5EFE19" w14:textId="77777777" w:rsidTr="00BF0727">
        <w:trPr>
          <w:cantSplit/>
        </w:trPr>
        <w:tc>
          <w:tcPr>
            <w:tcW w:w="1869" w:type="dxa"/>
          </w:tcPr>
          <w:p w14:paraId="160FE3BD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7AA0884C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7B99C61D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5524623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0599371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177A3104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45B72D8F" w14:textId="77777777" w:rsidR="00EA10BD" w:rsidRDefault="00EA10BD" w:rsidP="000F19C2">
            <w:pPr>
              <w:pStyle w:val="TableText"/>
            </w:pPr>
          </w:p>
        </w:tc>
        <w:tc>
          <w:tcPr>
            <w:tcW w:w="4023" w:type="dxa"/>
          </w:tcPr>
          <w:p w14:paraId="1F5BAF40" w14:textId="77777777" w:rsidR="00EA10BD" w:rsidRDefault="00EA10BD" w:rsidP="00BF0727">
            <w:pPr>
              <w:pStyle w:val="TableBlock"/>
              <w:rPr>
                <w:sz w:val="26"/>
                <w:rtl/>
              </w:rPr>
            </w:pPr>
            <w:r>
              <w:rPr>
                <w:sz w:val="26"/>
                <w:rtl/>
              </w:rPr>
              <w:t>(5)</w:t>
            </w:r>
            <w:r>
              <w:rPr>
                <w:sz w:val="26"/>
                <w:rtl/>
              </w:rPr>
              <w:tab/>
            </w:r>
            <w:r w:rsidRPr="003429CF">
              <w:rPr>
                <w:sz w:val="26"/>
                <w:rtl/>
              </w:rPr>
              <w:t>שלושה נציגי רשויות מקומיות</w:t>
            </w:r>
            <w:r>
              <w:rPr>
                <w:sz w:val="26"/>
                <w:rtl/>
              </w:rPr>
              <w:t>,</w:t>
            </w:r>
            <w:r w:rsidRPr="003429CF">
              <w:rPr>
                <w:sz w:val="26"/>
                <w:rtl/>
              </w:rPr>
              <w:t xml:space="preserve"> שימנה שר הפנים.</w:t>
            </w:r>
          </w:p>
        </w:tc>
      </w:tr>
      <w:tr w:rsidR="00EA10BD" w14:paraId="6839CEEE" w14:textId="77777777" w:rsidTr="00BF0727">
        <w:trPr>
          <w:cantSplit/>
        </w:trPr>
        <w:tc>
          <w:tcPr>
            <w:tcW w:w="1869" w:type="dxa"/>
          </w:tcPr>
          <w:p w14:paraId="2646C260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039BA6AF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055637D5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7A898F4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7A00B9C7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08E41224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30989285" w14:textId="77777777" w:rsidR="00EA10BD" w:rsidRDefault="00EA10BD" w:rsidP="00BF0727">
            <w:pPr>
              <w:pStyle w:val="TableBlock"/>
            </w:pPr>
            <w:r>
              <w:rPr>
                <w:rtl/>
              </w:rPr>
              <w:t>(ג)</w:t>
            </w:r>
            <w:r>
              <w:rPr>
                <w:rtl/>
              </w:rPr>
              <w:tab/>
            </w:r>
            <w:r w:rsidRPr="003429CF">
              <w:rPr>
                <w:sz w:val="26"/>
                <w:rtl/>
              </w:rPr>
              <w:t>הנהלת הקרן תהיה אחראית לניהול השוטף של הקרן ובכלל זה למעקב ובקרה אחר פעילות הקרן וביצוע תפקידה.</w:t>
            </w:r>
          </w:p>
        </w:tc>
      </w:tr>
      <w:tr w:rsidR="00EA10BD" w14:paraId="024D802B" w14:textId="77777777" w:rsidTr="00BF0727">
        <w:trPr>
          <w:cantSplit/>
        </w:trPr>
        <w:tc>
          <w:tcPr>
            <w:tcW w:w="1869" w:type="dxa"/>
          </w:tcPr>
          <w:p w14:paraId="0CC47FC4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69664CFB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14A41DAA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7712CC7C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273BA710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3684C796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1EE996DE" w14:textId="77777777" w:rsidR="00EA10BD" w:rsidRDefault="00EA10BD" w:rsidP="00BF0727">
            <w:pPr>
              <w:pStyle w:val="TableBlock"/>
              <w:rPr>
                <w:rtl/>
              </w:rPr>
            </w:pPr>
            <w:r>
              <w:rPr>
                <w:rtl/>
              </w:rPr>
              <w:t>(ד)</w:t>
            </w:r>
            <w:r>
              <w:rPr>
                <w:rtl/>
              </w:rPr>
              <w:tab/>
            </w:r>
            <w:r w:rsidRPr="003429CF">
              <w:rPr>
                <w:sz w:val="26"/>
                <w:rtl/>
              </w:rPr>
              <w:t>הנהלת הקרן תקבע את סדרי דיוניה.</w:t>
            </w:r>
          </w:p>
        </w:tc>
      </w:tr>
      <w:tr w:rsidR="00EA10BD" w14:paraId="2F18DD80" w14:textId="77777777" w:rsidTr="00BF0727">
        <w:trPr>
          <w:cantSplit/>
        </w:trPr>
        <w:tc>
          <w:tcPr>
            <w:tcW w:w="1869" w:type="dxa"/>
          </w:tcPr>
          <w:p w14:paraId="723AA9F7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4F975959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7C4B9C65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7BBBD290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6F89D286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155E5465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5ED867F4" w14:textId="77777777" w:rsidR="00EA10BD" w:rsidRDefault="00EA10BD" w:rsidP="00BF0727">
            <w:pPr>
              <w:pStyle w:val="TableBlock"/>
              <w:rPr>
                <w:rtl/>
              </w:rPr>
            </w:pPr>
            <w:r>
              <w:rPr>
                <w:sz w:val="26"/>
                <w:rtl/>
              </w:rPr>
              <w:t>(ה)</w:t>
            </w:r>
            <w:r>
              <w:rPr>
                <w:sz w:val="26"/>
                <w:rtl/>
              </w:rPr>
              <w:tab/>
            </w:r>
            <w:r w:rsidRPr="003429CF">
              <w:rPr>
                <w:sz w:val="26"/>
                <w:rtl/>
              </w:rPr>
              <w:t>כספי הקרן ישמשו רק לצורך חלוקתם לרשויות המקומיות לפי הוראות סעיף 3ג.</w:t>
            </w:r>
          </w:p>
        </w:tc>
      </w:tr>
      <w:tr w:rsidR="00EA10BD" w14:paraId="3F8D8BAD" w14:textId="77777777" w:rsidTr="00BF0727">
        <w:trPr>
          <w:cantSplit/>
        </w:trPr>
        <w:tc>
          <w:tcPr>
            <w:tcW w:w="1869" w:type="dxa"/>
          </w:tcPr>
          <w:p w14:paraId="67F63384" w14:textId="77777777" w:rsidR="00EA10BD" w:rsidRDefault="00EA10BD" w:rsidP="000F19C2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6B233BBF" w14:textId="77777777" w:rsidR="00EA10BD" w:rsidRDefault="00EA10BD" w:rsidP="000F19C2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14:paraId="41B804B3" w14:textId="77777777" w:rsidR="00EA10BD" w:rsidRPr="005A6E7A" w:rsidRDefault="00EA10BD" w:rsidP="000F19C2">
            <w:pPr>
              <w:pStyle w:val="TableInnerSideHeading"/>
              <w:ind w:right="0"/>
            </w:pPr>
            <w:r w:rsidRPr="005A6E7A">
              <w:rPr>
                <w:rtl/>
              </w:rPr>
              <w:t>העברת כספים מגופים ממשלתיים לקרן</w:t>
            </w:r>
          </w:p>
        </w:tc>
        <w:tc>
          <w:tcPr>
            <w:tcW w:w="624" w:type="dxa"/>
          </w:tcPr>
          <w:p w14:paraId="4B9919AC" w14:textId="77777777" w:rsidR="00EA10BD" w:rsidRDefault="00EA10BD" w:rsidP="000F19C2">
            <w:pPr>
              <w:pStyle w:val="TableText"/>
            </w:pPr>
            <w:r w:rsidRPr="003429CF">
              <w:rPr>
                <w:sz w:val="26"/>
                <w:rtl/>
              </w:rPr>
              <w:t>3ב.</w:t>
            </w:r>
          </w:p>
        </w:tc>
        <w:tc>
          <w:tcPr>
            <w:tcW w:w="4647" w:type="dxa"/>
            <w:gridSpan w:val="2"/>
          </w:tcPr>
          <w:p w14:paraId="4B7AC2BC" w14:textId="5AD8FC5F" w:rsidR="00EA10BD" w:rsidRDefault="00EA10BD" w:rsidP="005729F1">
            <w:pPr>
              <w:pStyle w:val="TableBlock"/>
              <w:rPr>
                <w:rtl/>
              </w:rPr>
            </w:pPr>
            <w:r>
              <w:rPr>
                <w:sz w:val="26"/>
                <w:rtl/>
              </w:rPr>
              <w:t>(א)</w:t>
            </w:r>
            <w:r>
              <w:rPr>
                <w:rtl/>
              </w:rPr>
              <w:tab/>
              <w:t xml:space="preserve">בשנת הכספים </w:t>
            </w:r>
            <w:r w:rsidR="005729F1">
              <w:rPr>
                <w:rFonts w:hint="cs"/>
                <w:rtl/>
              </w:rPr>
              <w:t>2015</w:t>
            </w:r>
            <w:r>
              <w:rPr>
                <w:rtl/>
              </w:rPr>
              <w:t xml:space="preserve">, ולא יאוחר מהמועד שקבעו השרים לפי סעיף 3ד, יעביר כל גוף ממשלתי לקרן סכום השווה לסך תשלומי הארנונה הכללית ששילמו בפועל לרשויות המקומיות בעד שנת הכספים </w:t>
            </w:r>
            <w:r w:rsidR="005729F1">
              <w:rPr>
                <w:rFonts w:hint="cs"/>
                <w:rtl/>
              </w:rPr>
              <w:t>2013</w:t>
            </w:r>
            <w:r>
              <w:rPr>
                <w:rtl/>
              </w:rPr>
              <w:t>, בתוספת שיעור העדכון.</w:t>
            </w:r>
          </w:p>
        </w:tc>
      </w:tr>
      <w:tr w:rsidR="00EA10BD" w14:paraId="3B331F4D" w14:textId="77777777" w:rsidTr="00BF0727">
        <w:trPr>
          <w:cantSplit/>
        </w:trPr>
        <w:tc>
          <w:tcPr>
            <w:tcW w:w="1869" w:type="dxa"/>
          </w:tcPr>
          <w:p w14:paraId="34343C79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5300B284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CCD5382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4C098F19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25C38900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96B9373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0F048370" w14:textId="5156AC9D" w:rsidR="00EA10BD" w:rsidRDefault="00EA10BD" w:rsidP="00BD3302">
            <w:pPr>
              <w:pStyle w:val="TableBlock"/>
            </w:pPr>
            <w:r>
              <w:rPr>
                <w:sz w:val="26"/>
                <w:rtl/>
              </w:rPr>
              <w:t>(ב)</w:t>
            </w:r>
            <w:r>
              <w:rPr>
                <w:sz w:val="26"/>
                <w:rtl/>
              </w:rPr>
              <w:tab/>
            </w:r>
            <w:r w:rsidRPr="003429CF">
              <w:rPr>
                <w:sz w:val="26"/>
                <w:rtl/>
              </w:rPr>
              <w:t xml:space="preserve">בכל שנת כספים, </w:t>
            </w:r>
            <w:r>
              <w:rPr>
                <w:sz w:val="26"/>
                <w:rtl/>
              </w:rPr>
              <w:t xml:space="preserve">החל בשנת הכספים </w:t>
            </w:r>
            <w:r w:rsidR="005729F1">
              <w:rPr>
                <w:rFonts w:hint="cs"/>
                <w:sz w:val="26"/>
                <w:rtl/>
              </w:rPr>
              <w:t>2016</w:t>
            </w:r>
            <w:r w:rsidR="005729F1">
              <w:rPr>
                <w:sz w:val="26"/>
                <w:rtl/>
              </w:rPr>
              <w:t xml:space="preserve"> </w:t>
            </w:r>
            <w:r w:rsidRPr="003429CF">
              <w:rPr>
                <w:sz w:val="26"/>
                <w:rtl/>
              </w:rPr>
              <w:t>ולא יאוחר מהמועד שקבעו השרים לפי סעיף 3</w:t>
            </w:r>
            <w:r>
              <w:rPr>
                <w:sz w:val="26"/>
                <w:rtl/>
              </w:rPr>
              <w:t>ד</w:t>
            </w:r>
            <w:r w:rsidRPr="003429CF">
              <w:rPr>
                <w:sz w:val="26"/>
                <w:rtl/>
              </w:rPr>
              <w:t xml:space="preserve">, יעביר </w:t>
            </w:r>
            <w:r>
              <w:rPr>
                <w:sz w:val="26"/>
                <w:rtl/>
              </w:rPr>
              <w:t>כל גוף מ</w:t>
            </w:r>
            <w:r w:rsidRPr="003429CF">
              <w:rPr>
                <w:sz w:val="26"/>
                <w:rtl/>
              </w:rPr>
              <w:t>משלתי</w:t>
            </w:r>
            <w:r>
              <w:rPr>
                <w:sz w:val="26"/>
                <w:rtl/>
              </w:rPr>
              <w:t xml:space="preserve"> לקרן סכום השווה לסכום שהעביר</w:t>
            </w:r>
            <w:r w:rsidRPr="003429CF">
              <w:rPr>
                <w:sz w:val="26"/>
                <w:rtl/>
              </w:rPr>
              <w:t xml:space="preserve"> לקרן בשנת הכספים שקד</w:t>
            </w:r>
            <w:r>
              <w:rPr>
                <w:sz w:val="26"/>
                <w:rtl/>
              </w:rPr>
              <w:t>מ</w:t>
            </w:r>
            <w:r w:rsidRPr="003429CF">
              <w:rPr>
                <w:sz w:val="26"/>
                <w:rtl/>
              </w:rPr>
              <w:t>ה לה, בתוספת שיעור העדכון</w:t>
            </w:r>
            <w:r>
              <w:rPr>
                <w:sz w:val="26"/>
                <w:rtl/>
              </w:rPr>
              <w:t>.</w:t>
            </w:r>
          </w:p>
        </w:tc>
      </w:tr>
      <w:tr w:rsidR="00EA10BD" w14:paraId="6BB8AD16" w14:textId="77777777" w:rsidTr="00BF0727">
        <w:trPr>
          <w:cantSplit/>
        </w:trPr>
        <w:tc>
          <w:tcPr>
            <w:tcW w:w="1869" w:type="dxa"/>
          </w:tcPr>
          <w:p w14:paraId="3344AEFB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6CF99D23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3F0E2C45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1DC523C4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2EF9E1BB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4355A05F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46F62365" w14:textId="77777777" w:rsidR="00EA10BD" w:rsidRDefault="00EA10BD" w:rsidP="00BF0727">
            <w:pPr>
              <w:pStyle w:val="TableBlock"/>
            </w:pPr>
            <w:r>
              <w:rPr>
                <w:sz w:val="26"/>
                <w:rtl/>
              </w:rPr>
              <w:t>(ג)</w:t>
            </w:r>
            <w:r>
              <w:rPr>
                <w:rtl/>
              </w:rPr>
              <w:tab/>
            </w:r>
            <w:r w:rsidRPr="003429CF">
              <w:rPr>
                <w:sz w:val="26"/>
                <w:rtl/>
              </w:rPr>
              <w:t xml:space="preserve">השרים יקבעו בתקנות, אחת לחמש שנים, את האופן שבו יעודכן הסכום שעל </w:t>
            </w:r>
            <w:r>
              <w:rPr>
                <w:sz w:val="26"/>
                <w:rtl/>
              </w:rPr>
              <w:t>גוף ממשלתי</w:t>
            </w:r>
            <w:r w:rsidRPr="003429CF">
              <w:rPr>
                <w:sz w:val="26"/>
                <w:rtl/>
              </w:rPr>
              <w:t xml:space="preserve"> להעביר לקרן לפי סעיף זה, וזאת בהתחשב, בין השאר, בשינוי שחל בהיקף הנכסים שלגביהם חל הפטור לפי סעיף 3(א)</w:t>
            </w:r>
            <w:r>
              <w:rPr>
                <w:sz w:val="26"/>
                <w:rtl/>
              </w:rPr>
              <w:t>.</w:t>
            </w:r>
          </w:p>
        </w:tc>
      </w:tr>
      <w:tr w:rsidR="00EA10BD" w14:paraId="3B0D8A8C" w14:textId="77777777" w:rsidTr="00BF0727">
        <w:trPr>
          <w:cantSplit/>
        </w:trPr>
        <w:tc>
          <w:tcPr>
            <w:tcW w:w="1869" w:type="dxa"/>
          </w:tcPr>
          <w:p w14:paraId="26D50534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5535580F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7A800BD1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1D523EFF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77479007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0F6D631E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72803210" w14:textId="77777777" w:rsidR="00EA10BD" w:rsidRDefault="00EA10BD" w:rsidP="00BF0727">
            <w:pPr>
              <w:pStyle w:val="TableBlock"/>
              <w:rPr>
                <w:sz w:val="26"/>
                <w:rtl/>
              </w:rPr>
            </w:pPr>
            <w:r>
              <w:rPr>
                <w:sz w:val="26"/>
                <w:rtl/>
              </w:rPr>
              <w:t>(ד)</w:t>
            </w:r>
            <w:r>
              <w:rPr>
                <w:sz w:val="26"/>
                <w:rtl/>
              </w:rPr>
              <w:tab/>
            </w:r>
            <w:r w:rsidRPr="003429CF">
              <w:rPr>
                <w:sz w:val="26"/>
                <w:rtl/>
              </w:rPr>
              <w:t>הוראות סעיף 43א(א) לחוק יסודות התקציב, התשמ</w:t>
            </w:r>
            <w:r>
              <w:rPr>
                <w:sz w:val="26"/>
                <w:rtl/>
              </w:rPr>
              <w:t>"ה–</w:t>
            </w:r>
            <w:r w:rsidRPr="003429CF">
              <w:rPr>
                <w:sz w:val="26"/>
                <w:rtl/>
              </w:rPr>
              <w:t>1985</w:t>
            </w:r>
            <w:r>
              <w:rPr>
                <w:rStyle w:val="a6"/>
                <w:sz w:val="26"/>
                <w:rtl/>
              </w:rPr>
              <w:footnoteReference w:id="5"/>
            </w:r>
            <w:r w:rsidRPr="003429CF">
              <w:rPr>
                <w:sz w:val="26"/>
                <w:rtl/>
              </w:rPr>
              <w:t xml:space="preserve">, יחולו על כספים שעל </w:t>
            </w:r>
            <w:r>
              <w:rPr>
                <w:sz w:val="26"/>
                <w:rtl/>
              </w:rPr>
              <w:t>גוף ממשלתי</w:t>
            </w:r>
            <w:r w:rsidRPr="003429CF">
              <w:rPr>
                <w:sz w:val="26"/>
                <w:rtl/>
              </w:rPr>
              <w:t xml:space="preserve"> להעביר לקרן לפי סעיף זה.</w:t>
            </w:r>
          </w:p>
        </w:tc>
      </w:tr>
      <w:tr w:rsidR="00EA10BD" w14:paraId="5E528D5C" w14:textId="77777777" w:rsidTr="00BF0727">
        <w:trPr>
          <w:cantSplit/>
        </w:trPr>
        <w:tc>
          <w:tcPr>
            <w:tcW w:w="1869" w:type="dxa"/>
          </w:tcPr>
          <w:p w14:paraId="1188E492" w14:textId="77777777" w:rsidR="00EA10BD" w:rsidRDefault="00EA10BD" w:rsidP="000F19C2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4BB561FF" w14:textId="77777777" w:rsidR="00EA10BD" w:rsidRDefault="00EA10BD" w:rsidP="000F19C2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14:paraId="087D4CE1" w14:textId="77777777" w:rsidR="00EA10BD" w:rsidRPr="0047703B" w:rsidRDefault="00EA10BD" w:rsidP="000F19C2">
            <w:pPr>
              <w:pStyle w:val="TableInnerSideHeading"/>
              <w:ind w:right="0"/>
            </w:pPr>
            <w:r w:rsidRPr="0047703B">
              <w:rPr>
                <w:rtl/>
              </w:rPr>
              <w:t>חלוקת כספי הקרן לרשויות המקומיות</w:t>
            </w:r>
          </w:p>
        </w:tc>
        <w:tc>
          <w:tcPr>
            <w:tcW w:w="624" w:type="dxa"/>
          </w:tcPr>
          <w:p w14:paraId="49FB1407" w14:textId="77777777" w:rsidR="00EA10BD" w:rsidRDefault="00EA10BD" w:rsidP="000F19C2">
            <w:pPr>
              <w:pStyle w:val="TableText"/>
            </w:pPr>
            <w:r>
              <w:rPr>
                <w:rtl/>
              </w:rPr>
              <w:t>3ג.</w:t>
            </w:r>
          </w:p>
        </w:tc>
        <w:tc>
          <w:tcPr>
            <w:tcW w:w="4647" w:type="dxa"/>
            <w:gridSpan w:val="2"/>
          </w:tcPr>
          <w:p w14:paraId="403C248A" w14:textId="77777777" w:rsidR="00EA10BD" w:rsidRDefault="00EA10BD" w:rsidP="00BF0727">
            <w:pPr>
              <w:pStyle w:val="TableBlock"/>
            </w:pPr>
            <w:r>
              <w:rPr>
                <w:rtl/>
              </w:rPr>
              <w:t>(א)</w:t>
            </w:r>
            <w:r>
              <w:rPr>
                <w:rtl/>
              </w:rPr>
              <w:tab/>
            </w:r>
            <w:r w:rsidRPr="003429CF">
              <w:rPr>
                <w:sz w:val="26"/>
                <w:rtl/>
              </w:rPr>
              <w:t>הכספים שהתקבלו בקרן לפי סעיף 3ב יחולקו לרשויות המקומיות בכל שנת כספים, בהתאם לכללי החלוקה ש</w:t>
            </w:r>
            <w:r>
              <w:rPr>
                <w:sz w:val="26"/>
                <w:rtl/>
              </w:rPr>
              <w:t>יקבעו השרים</w:t>
            </w:r>
            <w:r w:rsidRPr="003429CF">
              <w:rPr>
                <w:sz w:val="26"/>
                <w:rtl/>
              </w:rPr>
              <w:t>.</w:t>
            </w:r>
          </w:p>
        </w:tc>
      </w:tr>
      <w:tr w:rsidR="00EA10BD" w14:paraId="4566E972" w14:textId="77777777" w:rsidTr="00BF0727">
        <w:trPr>
          <w:cantSplit/>
        </w:trPr>
        <w:tc>
          <w:tcPr>
            <w:tcW w:w="1869" w:type="dxa"/>
          </w:tcPr>
          <w:p w14:paraId="2005EA5A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1DFC2FB3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6EBEB7EC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25A2C708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70BA3FC4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342D3572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456817D4" w14:textId="77777777" w:rsidR="00EA10BD" w:rsidRDefault="00EA10BD" w:rsidP="00BF0727">
            <w:pPr>
              <w:pStyle w:val="TableBlock"/>
            </w:pPr>
            <w:r w:rsidRPr="003429CF">
              <w:rPr>
                <w:sz w:val="26"/>
                <w:rtl/>
              </w:rPr>
              <w:t>(ב)</w:t>
            </w:r>
            <w:r>
              <w:rPr>
                <w:sz w:val="26"/>
                <w:rtl/>
              </w:rPr>
              <w:tab/>
            </w:r>
            <w:r w:rsidRPr="003429CF">
              <w:rPr>
                <w:sz w:val="26"/>
                <w:rtl/>
              </w:rPr>
              <w:t>השרים רשאים, בצו, לשנות את כללי החלוקה, ובכלל זה לקבוע הוראות לביצוע חלוקת כספי הקרן לרבות מועדי החלוקה ואופן החלוקה.</w:t>
            </w:r>
          </w:p>
        </w:tc>
      </w:tr>
      <w:tr w:rsidR="00EA10BD" w14:paraId="25E9FCCF" w14:textId="77777777" w:rsidTr="00BF0727">
        <w:trPr>
          <w:cantSplit/>
        </w:trPr>
        <w:tc>
          <w:tcPr>
            <w:tcW w:w="1869" w:type="dxa"/>
          </w:tcPr>
          <w:p w14:paraId="1816948E" w14:textId="77777777" w:rsidR="00EA10BD" w:rsidRDefault="00EA10BD" w:rsidP="000F19C2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354DD2C5" w14:textId="77777777" w:rsidR="00EA10BD" w:rsidRDefault="00EA10BD" w:rsidP="000F19C2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14:paraId="059B987A" w14:textId="77777777" w:rsidR="00EA10BD" w:rsidRDefault="00EA10BD" w:rsidP="000F19C2">
            <w:pPr>
              <w:pStyle w:val="TableInnerSideHeading"/>
            </w:pPr>
            <w:r w:rsidRPr="003429CF">
              <w:rPr>
                <w:sz w:val="26"/>
                <w:rtl/>
              </w:rPr>
              <w:t>תקנות</w:t>
            </w:r>
          </w:p>
        </w:tc>
        <w:tc>
          <w:tcPr>
            <w:tcW w:w="624" w:type="dxa"/>
          </w:tcPr>
          <w:p w14:paraId="3D3529AE" w14:textId="77777777" w:rsidR="00EA10BD" w:rsidRDefault="00EA10BD" w:rsidP="000F19C2">
            <w:pPr>
              <w:pStyle w:val="TableText"/>
            </w:pPr>
            <w:r w:rsidRPr="003429CF">
              <w:rPr>
                <w:sz w:val="26"/>
                <w:rtl/>
              </w:rPr>
              <w:t>3ד.</w:t>
            </w:r>
          </w:p>
        </w:tc>
        <w:tc>
          <w:tcPr>
            <w:tcW w:w="4647" w:type="dxa"/>
            <w:gridSpan w:val="2"/>
          </w:tcPr>
          <w:p w14:paraId="3B8CDC3E" w14:textId="77777777" w:rsidR="00EA10BD" w:rsidRDefault="00EA10BD" w:rsidP="00BF0727">
            <w:pPr>
              <w:pStyle w:val="TableBlock"/>
            </w:pPr>
            <w:r w:rsidRPr="003429CF">
              <w:rPr>
                <w:sz w:val="26"/>
                <w:rtl/>
              </w:rPr>
              <w:t>השרים יקבעו תקנות לביצוע הוראות סעיפים 3 עד 3ג, לרבות בעניינים אלה:</w:t>
            </w:r>
          </w:p>
        </w:tc>
      </w:tr>
      <w:tr w:rsidR="00EA10BD" w14:paraId="4ADAE6CC" w14:textId="77777777" w:rsidTr="00BF0727">
        <w:trPr>
          <w:cantSplit/>
        </w:trPr>
        <w:tc>
          <w:tcPr>
            <w:tcW w:w="1869" w:type="dxa"/>
          </w:tcPr>
          <w:p w14:paraId="1C945337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0149196F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6C61707E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71258250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47053C0F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2EDDF52D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14137E24" w14:textId="77777777" w:rsidR="00EA10BD" w:rsidRDefault="00EA10BD" w:rsidP="00BF0727">
            <w:pPr>
              <w:pStyle w:val="TableBlock"/>
            </w:pPr>
            <w:r w:rsidRPr="003429CF">
              <w:rPr>
                <w:sz w:val="26"/>
                <w:rtl/>
              </w:rPr>
              <w:t>(1)</w:t>
            </w:r>
            <w:r>
              <w:rPr>
                <w:rtl/>
              </w:rPr>
              <w:tab/>
            </w:r>
            <w:r w:rsidRPr="003429CF">
              <w:rPr>
                <w:sz w:val="26"/>
                <w:rtl/>
              </w:rPr>
              <w:t>המועדים להעברת הכספים לקרן על ידי הגופים הממשלתיים ואופן ההעברה כאמור;</w:t>
            </w:r>
          </w:p>
        </w:tc>
      </w:tr>
      <w:tr w:rsidR="00EA10BD" w14:paraId="36C1497E" w14:textId="77777777" w:rsidTr="00BF0727">
        <w:trPr>
          <w:cantSplit/>
        </w:trPr>
        <w:tc>
          <w:tcPr>
            <w:tcW w:w="1869" w:type="dxa"/>
          </w:tcPr>
          <w:p w14:paraId="4AD4F108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662FA056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4C26FAAD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0E6BAD38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3E1062C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7AB6B51A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4E4E8E98" w14:textId="77777777" w:rsidR="00EA10BD" w:rsidRPr="003429CF" w:rsidRDefault="00EA10BD" w:rsidP="00BF0727">
            <w:pPr>
              <w:pStyle w:val="TableBlock"/>
              <w:rPr>
                <w:sz w:val="26"/>
                <w:rtl/>
              </w:rPr>
            </w:pPr>
            <w:r w:rsidRPr="003429CF">
              <w:rPr>
                <w:sz w:val="26"/>
                <w:rtl/>
              </w:rPr>
              <w:t>(2)</w:t>
            </w:r>
            <w:r>
              <w:rPr>
                <w:sz w:val="26"/>
                <w:rtl/>
              </w:rPr>
              <w:tab/>
            </w:r>
            <w:r w:rsidRPr="003429CF">
              <w:rPr>
                <w:sz w:val="26"/>
                <w:rtl/>
              </w:rPr>
              <w:t>סדרי הפעלת הקרן ובכלל זה אופן ניהול החשבונות של הקרן וחובות דיווח שיחולו לגביה, לרבות החובה להגיש דוח כספי שנתי;</w:t>
            </w:r>
          </w:p>
        </w:tc>
      </w:tr>
      <w:tr w:rsidR="00EA10BD" w14:paraId="427EDF20" w14:textId="77777777" w:rsidTr="00BF0727">
        <w:trPr>
          <w:cantSplit/>
        </w:trPr>
        <w:tc>
          <w:tcPr>
            <w:tcW w:w="1869" w:type="dxa"/>
          </w:tcPr>
          <w:p w14:paraId="302D2C4F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50099BC1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1BA918C7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41283FB8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40213CE0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6293EB5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07577DB9" w14:textId="77777777" w:rsidR="00EA10BD" w:rsidRPr="003429CF" w:rsidRDefault="00EA10BD" w:rsidP="00BF0727">
            <w:pPr>
              <w:pStyle w:val="TableBlock"/>
              <w:rPr>
                <w:sz w:val="26"/>
                <w:rtl/>
              </w:rPr>
            </w:pPr>
            <w:r w:rsidRPr="003429CF">
              <w:rPr>
                <w:sz w:val="26"/>
                <w:rtl/>
              </w:rPr>
              <w:t>(3)</w:t>
            </w:r>
            <w:r>
              <w:rPr>
                <w:sz w:val="26"/>
                <w:rtl/>
              </w:rPr>
              <w:tab/>
            </w:r>
            <w:r w:rsidRPr="003429CF">
              <w:rPr>
                <w:sz w:val="26"/>
                <w:rtl/>
              </w:rPr>
              <w:t>קביעת כללים ומקדמים לחלוקת כספי הקרן;</w:t>
            </w:r>
          </w:p>
        </w:tc>
      </w:tr>
      <w:tr w:rsidR="00EA10BD" w14:paraId="3CAAEA03" w14:textId="77777777" w:rsidTr="00BF0727">
        <w:trPr>
          <w:cantSplit/>
        </w:trPr>
        <w:tc>
          <w:tcPr>
            <w:tcW w:w="1869" w:type="dxa"/>
          </w:tcPr>
          <w:p w14:paraId="18429BF4" w14:textId="77777777" w:rsidR="00EA10BD" w:rsidRDefault="00EA10BD" w:rsidP="000F19C2">
            <w:pPr>
              <w:pStyle w:val="TableSideHeading"/>
            </w:pPr>
          </w:p>
        </w:tc>
        <w:tc>
          <w:tcPr>
            <w:tcW w:w="624" w:type="dxa"/>
          </w:tcPr>
          <w:p w14:paraId="4E65A480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2C649991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2A642C10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5FFB3A3A" w14:textId="77777777" w:rsidR="00EA10BD" w:rsidRDefault="00EA10BD" w:rsidP="000F19C2">
            <w:pPr>
              <w:pStyle w:val="TableText"/>
            </w:pPr>
          </w:p>
        </w:tc>
        <w:tc>
          <w:tcPr>
            <w:tcW w:w="624" w:type="dxa"/>
          </w:tcPr>
          <w:p w14:paraId="43F5A9CC" w14:textId="77777777" w:rsidR="00EA10BD" w:rsidRDefault="00EA10BD" w:rsidP="000F19C2">
            <w:pPr>
              <w:pStyle w:val="TableText"/>
            </w:pPr>
          </w:p>
        </w:tc>
        <w:tc>
          <w:tcPr>
            <w:tcW w:w="4647" w:type="dxa"/>
            <w:gridSpan w:val="2"/>
          </w:tcPr>
          <w:p w14:paraId="427FD213" w14:textId="77777777" w:rsidR="00EA10BD" w:rsidRPr="003429CF" w:rsidRDefault="00EA10BD" w:rsidP="00BF0727">
            <w:pPr>
              <w:pStyle w:val="TableBlock"/>
              <w:rPr>
                <w:sz w:val="26"/>
                <w:rtl/>
              </w:rPr>
            </w:pPr>
            <w:r w:rsidRPr="003429CF">
              <w:rPr>
                <w:sz w:val="26"/>
                <w:rtl/>
              </w:rPr>
              <w:t>(4)</w:t>
            </w:r>
            <w:r>
              <w:rPr>
                <w:sz w:val="26"/>
                <w:rtl/>
              </w:rPr>
              <w:tab/>
            </w:r>
            <w:r w:rsidRPr="003429CF">
              <w:rPr>
                <w:sz w:val="26"/>
                <w:rtl/>
              </w:rPr>
              <w:t>מנגנוני פיקוח ובקרה על פעילות הקרן</w:t>
            </w:r>
            <w:r>
              <w:rPr>
                <w:sz w:val="26"/>
                <w:rtl/>
              </w:rPr>
              <w:t>.</w:t>
            </w:r>
            <w:r w:rsidRPr="003429CF">
              <w:rPr>
                <w:sz w:val="26"/>
                <w:rtl/>
              </w:rPr>
              <w:t>"</w:t>
            </w:r>
          </w:p>
        </w:tc>
      </w:tr>
      <w:tr w:rsidR="00EA10BD" w14:paraId="414AC591" w14:textId="77777777" w:rsidTr="00BF0727">
        <w:trPr>
          <w:cantSplit/>
        </w:trPr>
        <w:tc>
          <w:tcPr>
            <w:tcW w:w="1869" w:type="dxa"/>
          </w:tcPr>
          <w:p w14:paraId="03E03708" w14:textId="77777777" w:rsidR="00EA10BD" w:rsidRDefault="00EA10BD" w:rsidP="000F19C2">
            <w:pPr>
              <w:pStyle w:val="TableSideHeading"/>
              <w:keepLines w:val="0"/>
            </w:pPr>
            <w:r>
              <w:rPr>
                <w:rtl/>
              </w:rPr>
              <w:t>תיקון סעיף 5א</w:t>
            </w:r>
          </w:p>
        </w:tc>
        <w:tc>
          <w:tcPr>
            <w:tcW w:w="624" w:type="dxa"/>
          </w:tcPr>
          <w:p w14:paraId="4BABDB63" w14:textId="77777777" w:rsidR="00EA10BD" w:rsidRDefault="00EA10BD" w:rsidP="000F19C2">
            <w:pPr>
              <w:pStyle w:val="TableText"/>
              <w:keepLines w:val="0"/>
            </w:pPr>
            <w:r>
              <w:rPr>
                <w:rtl/>
              </w:rPr>
              <w:t>5.</w:t>
            </w:r>
          </w:p>
        </w:tc>
        <w:tc>
          <w:tcPr>
            <w:tcW w:w="7143" w:type="dxa"/>
            <w:gridSpan w:val="6"/>
          </w:tcPr>
          <w:p w14:paraId="1B0C489F" w14:textId="77777777" w:rsidR="00EA10BD" w:rsidRPr="00C34DE2" w:rsidRDefault="00EA10BD" w:rsidP="00BF0727">
            <w:pPr>
              <w:pStyle w:val="TableBlock"/>
            </w:pPr>
            <w:r w:rsidRPr="003429CF">
              <w:rPr>
                <w:sz w:val="26"/>
                <w:rtl/>
              </w:rPr>
              <w:t>בסעיף 5א</w:t>
            </w:r>
            <w:r>
              <w:rPr>
                <w:sz w:val="26"/>
                <w:rtl/>
              </w:rPr>
              <w:t xml:space="preserve"> לפקודה</w:t>
            </w:r>
            <w:r w:rsidRPr="003429CF">
              <w:rPr>
                <w:sz w:val="26"/>
                <w:rtl/>
              </w:rPr>
              <w:t>, הסיפה החל במילים "אולם על אף האמור בסעיף 3" – תימחק</w:t>
            </w:r>
            <w:r>
              <w:rPr>
                <w:rtl/>
              </w:rPr>
              <w:t>.</w:t>
            </w:r>
          </w:p>
        </w:tc>
      </w:tr>
    </w:tbl>
    <w:p w14:paraId="6C8A224A" w14:textId="77777777" w:rsidR="00EA10BD" w:rsidRDefault="00EA10BD" w:rsidP="00EA10BD">
      <w:pPr>
        <w:pStyle w:val="HeadDivreiHesber"/>
        <w:spacing w:before="0" w:after="0"/>
        <w:rPr>
          <w:rtl/>
        </w:rPr>
      </w:pPr>
    </w:p>
    <w:p w14:paraId="0A527031" w14:textId="77777777" w:rsidR="00EA10BD" w:rsidRDefault="00EA10BD" w:rsidP="00EA10BD">
      <w:pPr>
        <w:pStyle w:val="HeadDivreiHesber"/>
        <w:spacing w:before="0" w:after="0"/>
        <w:rPr>
          <w:rtl/>
        </w:rPr>
      </w:pPr>
      <w:r>
        <w:rPr>
          <w:rtl/>
        </w:rPr>
        <w:t>דברי הסבר</w:t>
      </w:r>
    </w:p>
    <w:p w14:paraId="17A6AC4B" w14:textId="3EAE4AFE" w:rsidR="00EA10BD" w:rsidRDefault="00EA10BD" w:rsidP="006B5FFB">
      <w:pPr>
        <w:pStyle w:val="Hesber"/>
        <w:rPr>
          <w:sz w:val="26"/>
          <w:rtl/>
        </w:rPr>
      </w:pPr>
      <w:bookmarkStart w:id="8" w:name="_GoBack"/>
      <w:r>
        <w:rPr>
          <w:sz w:val="26"/>
          <w:rtl/>
        </w:rPr>
        <w:t>מוצע לחלק את כלל הסכום המועבר מהממשלה לשלטון המקומי בעד נכסיה בין כלל הרשויות המקומיות, לפי מפתח הנותן עדיפות לרשויות המקומיות בפריפריה ומדורגות בדירוג חברתי-כלכלי נמוך, וכך להביא לצמצום הפערים הקיימים בין הרשויות האיתנות לבין הרשויות החלשות.</w:t>
      </w:r>
    </w:p>
    <w:p w14:paraId="702C7E54" w14:textId="77777777" w:rsidR="00EA10BD" w:rsidRDefault="00EA10BD" w:rsidP="006B5FFB">
      <w:pPr>
        <w:pStyle w:val="Hesber"/>
        <w:rPr>
          <w:sz w:val="26"/>
          <w:rtl/>
        </w:rPr>
      </w:pPr>
      <w:r>
        <w:rPr>
          <w:sz w:val="26"/>
          <w:rtl/>
        </w:rPr>
        <w:t xml:space="preserve">בהתאם לכך, מוצע להקים קרן מרכזית (להלן – הקרן), שאליה יעבירו הגופים הממשלתיים את סכומי הארנונה השנתיים בעד נכסיהם. </w:t>
      </w:r>
    </w:p>
    <w:p w14:paraId="75F7487C" w14:textId="4060050B" w:rsidR="00EA10BD" w:rsidRDefault="00EA10BD" w:rsidP="006B5FFB">
      <w:pPr>
        <w:pStyle w:val="Hesber"/>
        <w:rPr>
          <w:sz w:val="26"/>
          <w:rtl/>
        </w:rPr>
      </w:pPr>
      <w:r>
        <w:rPr>
          <w:sz w:val="26"/>
          <w:rtl/>
        </w:rPr>
        <w:t xml:space="preserve">הקרן שתוקם תהיה </w:t>
      </w:r>
      <w:r w:rsidR="005E65DE">
        <w:rPr>
          <w:rFonts w:hint="cs"/>
          <w:sz w:val="26"/>
          <w:rtl/>
        </w:rPr>
        <w:t>מופקדת</w:t>
      </w:r>
      <w:r>
        <w:rPr>
          <w:sz w:val="26"/>
          <w:rtl/>
        </w:rPr>
        <w:t xml:space="preserve"> על חלוקת הכספים בין כלל הרשויות המקומיות, בהתאם לכללי חלוקה קבועים ושקופים. נוסחת החלוקה ת</w:t>
      </w:r>
      <w:r w:rsidR="005E65DE">
        <w:rPr>
          <w:rFonts w:hint="cs"/>
          <w:sz w:val="26"/>
          <w:rtl/>
        </w:rPr>
        <w:t>ביא</w:t>
      </w:r>
      <w:r>
        <w:rPr>
          <w:sz w:val="26"/>
          <w:rtl/>
        </w:rPr>
        <w:t xml:space="preserve"> בחשבון את המדד החברתי-כלכלי, מדד הפריפריאליות, אחוזי גביית הארנונה הכללית בתחומה ואת מספר התושבים בכל רשות מקומית.</w:t>
      </w:r>
    </w:p>
    <w:p w14:paraId="2AA4B383" w14:textId="77777777" w:rsidR="00EA10BD" w:rsidRDefault="00EA10BD" w:rsidP="006B5FFB">
      <w:pPr>
        <w:pStyle w:val="Hesber"/>
        <w:rPr>
          <w:rtl/>
        </w:rPr>
      </w:pPr>
      <w:r w:rsidRPr="009C5E42">
        <w:rPr>
          <w:rtl/>
        </w:rPr>
        <w:t>הצע</w:t>
      </w:r>
      <w:r>
        <w:rPr>
          <w:rtl/>
        </w:rPr>
        <w:t>ת חוק זה</w:t>
      </w:r>
      <w:r>
        <w:rPr>
          <w:rFonts w:hint="cs"/>
          <w:rtl/>
        </w:rPr>
        <w:t>ה</w:t>
      </w:r>
      <w:r>
        <w:rPr>
          <w:rtl/>
        </w:rPr>
        <w:t xml:space="preserve"> הונח</w:t>
      </w:r>
      <w:r>
        <w:rPr>
          <w:rFonts w:hint="cs"/>
          <w:rtl/>
        </w:rPr>
        <w:t>ה</w:t>
      </w:r>
      <w:r w:rsidRPr="009C5E42">
        <w:rPr>
          <w:rtl/>
        </w:rPr>
        <w:t xml:space="preserve"> על שולחן הכנסת ה</w:t>
      </w:r>
      <w:r>
        <w:rPr>
          <w:rFonts w:hint="cs"/>
          <w:rtl/>
        </w:rPr>
        <w:t>תשע</w:t>
      </w:r>
      <w:r w:rsidRPr="009C5E42">
        <w:rPr>
          <w:rtl/>
        </w:rPr>
        <w:t>-עש</w:t>
      </w:r>
      <w:r>
        <w:rPr>
          <w:rtl/>
        </w:rPr>
        <w:t xml:space="preserve">רה על </w:t>
      </w:r>
      <w:r w:rsidRPr="009C5E42">
        <w:rPr>
          <w:rtl/>
        </w:rPr>
        <w:t>ידי חבר הכנסת חנא סוייד וקבוצת חברי הכנסת (</w:t>
      </w:r>
      <w:r w:rsidRPr="00BC105F">
        <w:rPr>
          <w:sz w:val="26"/>
          <w:rtl/>
        </w:rPr>
        <w:t>פ/2566/19</w:t>
      </w:r>
      <w:r w:rsidRPr="009C5E42">
        <w:rPr>
          <w:rtl/>
        </w:rPr>
        <w:t>).</w:t>
      </w:r>
    </w:p>
    <w:bookmarkEnd w:id="8"/>
    <w:p w14:paraId="7F6961CA" w14:textId="32B0347F" w:rsidR="002D1EE3" w:rsidRDefault="002D1EE3" w:rsidP="006B5FFB">
      <w:pPr>
        <w:pStyle w:val="HeadHatzaotHok"/>
        <w:spacing w:line="240" w:lineRule="auto"/>
        <w:rPr>
          <w:rtl/>
        </w:rPr>
      </w:pPr>
    </w:p>
    <w:p w14:paraId="3431FC6D" w14:textId="77777777" w:rsidR="00BA734A" w:rsidRPr="0022704F" w:rsidRDefault="00BA734A" w:rsidP="00827469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---------------------------------</w:t>
      </w:r>
    </w:p>
    <w:p w14:paraId="7CADB2AB" w14:textId="77777777" w:rsidR="00BA734A" w:rsidRPr="0022704F" w:rsidRDefault="00BA734A" w:rsidP="00827469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14:paraId="2EAC387E" w14:textId="77777777" w:rsidR="00BA734A" w:rsidRPr="0022704F" w:rsidRDefault="00BA734A" w:rsidP="00827469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14:paraId="200002AE" w14:textId="77777777" w:rsidR="00BA734A" w:rsidRPr="00935520" w:rsidRDefault="00BA734A" w:rsidP="004A4098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כ"ט באייר התשע"ה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18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5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15</w:t>
      </w:r>
    </w:p>
    <w:p w14:paraId="3B739CEF" w14:textId="77777777" w:rsidR="00BA734A" w:rsidRPr="004A4098" w:rsidRDefault="00BA734A" w:rsidP="00935520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</w:p>
    <w:p w14:paraId="7F6961CB" w14:textId="7135B3DA" w:rsidR="00E13C27" w:rsidRDefault="00E13C27" w:rsidP="00BA734A">
      <w:pPr>
        <w:spacing w:line="360" w:lineRule="auto"/>
        <w:rPr>
          <w:rtl/>
        </w:rPr>
      </w:pPr>
    </w:p>
    <w:sectPr w:rsidR="00E13C27" w:rsidSect="006B5FFB">
      <w:footerReference w:type="even" r:id="rId12"/>
      <w:footerReference w:type="default" r:id="rId13"/>
      <w:pgSz w:w="11907" w:h="16840" w:code="9"/>
      <w:pgMar w:top="851" w:right="1134" w:bottom="1135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961D3" w14:textId="77777777" w:rsidR="00C23B1A" w:rsidRDefault="00C23B1A">
      <w:r>
        <w:separator/>
      </w:r>
    </w:p>
  </w:endnote>
  <w:endnote w:type="continuationSeparator" w:id="0">
    <w:p w14:paraId="7F6961D4" w14:textId="77777777" w:rsidR="00C23B1A" w:rsidRDefault="00C2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MFOMedium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61D5" w14:textId="77777777"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1A0623" w:rsidRDefault="001A06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61D7" w14:textId="77777777"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6B5FFB">
      <w:rPr>
        <w:rStyle w:val="ab"/>
        <w:noProof/>
        <w:rtl/>
      </w:rPr>
      <w:t>4</w:t>
    </w:r>
    <w:r>
      <w:rPr>
        <w:rStyle w:val="ab"/>
        <w:rtl/>
      </w:rPr>
      <w:fldChar w:fldCharType="end"/>
    </w:r>
  </w:p>
  <w:p w14:paraId="7F6961D8" w14:textId="77777777" w:rsidR="001A0623" w:rsidRDefault="001A06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961D0" w14:textId="77777777" w:rsidR="00C23B1A" w:rsidRDefault="00C23B1A">
      <w:r>
        <w:separator/>
      </w:r>
    </w:p>
  </w:footnote>
  <w:footnote w:type="continuationSeparator" w:id="0">
    <w:p w14:paraId="7F6961D1" w14:textId="77777777" w:rsidR="00C23B1A" w:rsidRDefault="00C23B1A">
      <w:r>
        <w:continuationSeparator/>
      </w:r>
    </w:p>
  </w:footnote>
  <w:footnote w:type="continuationNotice" w:id="1">
    <w:p w14:paraId="7F6961D2" w14:textId="77777777" w:rsidR="00C23B1A" w:rsidRDefault="00C23B1A"/>
  </w:footnote>
  <w:footnote w:id="2">
    <w:p w14:paraId="0B8762D0" w14:textId="77777777" w:rsidR="00EA10BD" w:rsidRDefault="00EA10BD" w:rsidP="00EA10BD">
      <w:pPr>
        <w:pStyle w:val="a4"/>
      </w:pPr>
      <w:r>
        <w:rPr>
          <w:rStyle w:val="a6"/>
        </w:rPr>
        <w:footnoteRef/>
      </w:r>
      <w:r>
        <w:rPr>
          <w:rtl/>
        </w:rPr>
        <w:t xml:space="preserve"> ע"ר 1938, תוס' 1, עמ' (ע) 27, (א) 31.</w:t>
      </w:r>
    </w:p>
  </w:footnote>
  <w:footnote w:id="3">
    <w:p w14:paraId="63E67E35" w14:textId="77777777" w:rsidR="00EA10BD" w:rsidRDefault="00EA10BD" w:rsidP="00EA10BD">
      <w:pPr>
        <w:pStyle w:val="a4"/>
      </w:pPr>
      <w:r>
        <w:rPr>
          <w:rStyle w:val="a6"/>
        </w:rPr>
        <w:footnoteRef/>
      </w:r>
      <w:r>
        <w:rPr>
          <w:rtl/>
        </w:rPr>
        <w:t xml:space="preserve"> ס"ח התשנ"ג, עמ' 10.</w:t>
      </w:r>
    </w:p>
  </w:footnote>
  <w:footnote w:id="4">
    <w:p w14:paraId="1C849D62" w14:textId="77777777" w:rsidR="00EA10BD" w:rsidRDefault="00EA10BD" w:rsidP="00EA10BD">
      <w:pPr>
        <w:pStyle w:val="a4"/>
      </w:pPr>
      <w:r>
        <w:rPr>
          <w:rStyle w:val="a6"/>
        </w:rPr>
        <w:footnoteRef/>
      </w:r>
      <w:r>
        <w:rPr>
          <w:rtl/>
        </w:rPr>
        <w:t xml:space="preserve"> דיני מדינת ישראל, נוסח חדש 8, עמ' 197.</w:t>
      </w:r>
    </w:p>
  </w:footnote>
  <w:footnote w:id="5">
    <w:p w14:paraId="2696822F" w14:textId="77777777" w:rsidR="00EA10BD" w:rsidRDefault="00EA10BD" w:rsidP="00EA10BD">
      <w:pPr>
        <w:pStyle w:val="a4"/>
      </w:pPr>
      <w:r>
        <w:rPr>
          <w:rStyle w:val="a6"/>
        </w:rPr>
        <w:footnoteRef/>
      </w:r>
      <w:r>
        <w:rPr>
          <w:rtl/>
        </w:rPr>
        <w:t xml:space="preserve"> ס"ח התשמ"ה, עמ' 60.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C6891"/>
    <w:rsid w:val="00203A7F"/>
    <w:rsid w:val="002200A1"/>
    <w:rsid w:val="002362BF"/>
    <w:rsid w:val="00241B97"/>
    <w:rsid w:val="00246756"/>
    <w:rsid w:val="00251E58"/>
    <w:rsid w:val="00254605"/>
    <w:rsid w:val="002728B4"/>
    <w:rsid w:val="0027600C"/>
    <w:rsid w:val="00292712"/>
    <w:rsid w:val="002A487D"/>
    <w:rsid w:val="002C2E29"/>
    <w:rsid w:val="002D1EE3"/>
    <w:rsid w:val="002F1D80"/>
    <w:rsid w:val="003232A2"/>
    <w:rsid w:val="00325C14"/>
    <w:rsid w:val="003710F6"/>
    <w:rsid w:val="00386E88"/>
    <w:rsid w:val="00396585"/>
    <w:rsid w:val="003D74A0"/>
    <w:rsid w:val="004033D8"/>
    <w:rsid w:val="004073F0"/>
    <w:rsid w:val="00412A7D"/>
    <w:rsid w:val="00416B4D"/>
    <w:rsid w:val="00417CFC"/>
    <w:rsid w:val="004B24ED"/>
    <w:rsid w:val="004D2D82"/>
    <w:rsid w:val="004D3876"/>
    <w:rsid w:val="004E4552"/>
    <w:rsid w:val="00553C9D"/>
    <w:rsid w:val="00562A66"/>
    <w:rsid w:val="005729F1"/>
    <w:rsid w:val="005B064E"/>
    <w:rsid w:val="005D51AE"/>
    <w:rsid w:val="005E65DE"/>
    <w:rsid w:val="0062674B"/>
    <w:rsid w:val="006363B2"/>
    <w:rsid w:val="00644940"/>
    <w:rsid w:val="006818A9"/>
    <w:rsid w:val="006A2D81"/>
    <w:rsid w:val="006B5FFB"/>
    <w:rsid w:val="006C1D0D"/>
    <w:rsid w:val="0070601E"/>
    <w:rsid w:val="00712C72"/>
    <w:rsid w:val="00735FE9"/>
    <w:rsid w:val="00763CAA"/>
    <w:rsid w:val="00765F66"/>
    <w:rsid w:val="007C3FA6"/>
    <w:rsid w:val="007D585A"/>
    <w:rsid w:val="007D5A12"/>
    <w:rsid w:val="007E59F9"/>
    <w:rsid w:val="00810BCD"/>
    <w:rsid w:val="00812C98"/>
    <w:rsid w:val="00814D92"/>
    <w:rsid w:val="0083181D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2C35"/>
    <w:rsid w:val="008F6665"/>
    <w:rsid w:val="0091204F"/>
    <w:rsid w:val="009203DB"/>
    <w:rsid w:val="00923CD4"/>
    <w:rsid w:val="00943386"/>
    <w:rsid w:val="009456B6"/>
    <w:rsid w:val="00957589"/>
    <w:rsid w:val="00966D06"/>
    <w:rsid w:val="00982412"/>
    <w:rsid w:val="00983A8D"/>
    <w:rsid w:val="009A7257"/>
    <w:rsid w:val="009D6E0A"/>
    <w:rsid w:val="00A14672"/>
    <w:rsid w:val="00A26BD6"/>
    <w:rsid w:val="00A443CF"/>
    <w:rsid w:val="00A6611D"/>
    <w:rsid w:val="00A82CB7"/>
    <w:rsid w:val="00AA2F03"/>
    <w:rsid w:val="00AC36F7"/>
    <w:rsid w:val="00AC63A4"/>
    <w:rsid w:val="00AD239E"/>
    <w:rsid w:val="00B10265"/>
    <w:rsid w:val="00B21211"/>
    <w:rsid w:val="00B35784"/>
    <w:rsid w:val="00B733A7"/>
    <w:rsid w:val="00B975AD"/>
    <w:rsid w:val="00BA734A"/>
    <w:rsid w:val="00BC45FB"/>
    <w:rsid w:val="00BD3302"/>
    <w:rsid w:val="00BF0727"/>
    <w:rsid w:val="00BF148D"/>
    <w:rsid w:val="00C23B1A"/>
    <w:rsid w:val="00C310EB"/>
    <w:rsid w:val="00C9176A"/>
    <w:rsid w:val="00CF1AA2"/>
    <w:rsid w:val="00D63620"/>
    <w:rsid w:val="00D8410D"/>
    <w:rsid w:val="00D867D7"/>
    <w:rsid w:val="00DB7060"/>
    <w:rsid w:val="00DE3153"/>
    <w:rsid w:val="00E06736"/>
    <w:rsid w:val="00E13C27"/>
    <w:rsid w:val="00E33BBD"/>
    <w:rsid w:val="00E45103"/>
    <w:rsid w:val="00E665B9"/>
    <w:rsid w:val="00EA01E6"/>
    <w:rsid w:val="00EA10BD"/>
    <w:rsid w:val="00EA3DE8"/>
    <w:rsid w:val="00EA758F"/>
    <w:rsid w:val="00ED4A6F"/>
    <w:rsid w:val="00EF3A3A"/>
    <w:rsid w:val="00F40940"/>
    <w:rsid w:val="00F628D6"/>
    <w:rsid w:val="00F67051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727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F0727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F0727"/>
    <w:rPr>
      <w:sz w:val="36"/>
      <w:szCs w:val="52"/>
    </w:rPr>
  </w:style>
  <w:style w:type="paragraph" w:customStyle="1" w:styleId="Cover3-Haknesset">
    <w:name w:val="Cover 3-Haknesset"/>
    <w:basedOn w:val="Cover1-Reshumot"/>
    <w:rsid w:val="00BF0727"/>
    <w:rPr>
      <w:b/>
      <w:bCs/>
      <w:spacing w:val="60"/>
    </w:rPr>
  </w:style>
  <w:style w:type="paragraph" w:customStyle="1" w:styleId="Cover4-Date">
    <w:name w:val="Cover 4-Date"/>
    <w:basedOn w:val="a"/>
    <w:rsid w:val="00BF0727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F0727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F0727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F0727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F0727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F0727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F0727"/>
  </w:style>
  <w:style w:type="paragraph" w:customStyle="1" w:styleId="TableBlock">
    <w:name w:val="Table Block"/>
    <w:basedOn w:val="TableText"/>
    <w:rsid w:val="00BF0727"/>
    <w:pPr>
      <w:ind w:right="0"/>
      <w:jc w:val="both"/>
    </w:pPr>
  </w:style>
  <w:style w:type="paragraph" w:customStyle="1" w:styleId="TableHead">
    <w:name w:val="Table Head"/>
    <w:basedOn w:val="TableText"/>
    <w:rsid w:val="00BF0727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F0727"/>
  </w:style>
  <w:style w:type="paragraph" w:customStyle="1" w:styleId="Hesber">
    <w:name w:val="Hesber"/>
    <w:basedOn w:val="a"/>
    <w:rsid w:val="00BF0727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F0727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F0727"/>
    <w:rPr>
      <w:vertAlign w:val="superscript"/>
    </w:rPr>
  </w:style>
  <w:style w:type="paragraph" w:customStyle="1" w:styleId="HesberHeading">
    <w:name w:val="Hesber Heading"/>
    <w:basedOn w:val="Hesber"/>
    <w:rsid w:val="00BF0727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F0727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F0727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F0727"/>
    <w:rPr>
      <w:vertAlign w:val="superscript"/>
    </w:rPr>
  </w:style>
  <w:style w:type="paragraph" w:customStyle="1" w:styleId="TableBlockOutdent">
    <w:name w:val="Table BlockOutdent"/>
    <w:basedOn w:val="TableBlock"/>
    <w:rsid w:val="00BF0727"/>
    <w:pPr>
      <w:ind w:left="624" w:hanging="624"/>
    </w:pPr>
  </w:style>
  <w:style w:type="paragraph" w:styleId="a8">
    <w:name w:val="header"/>
    <w:basedOn w:val="a"/>
    <w:rsid w:val="00BF072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F0727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F0727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F0727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F0727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EA10BD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727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F0727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F0727"/>
    <w:rPr>
      <w:sz w:val="36"/>
      <w:szCs w:val="52"/>
    </w:rPr>
  </w:style>
  <w:style w:type="paragraph" w:customStyle="1" w:styleId="Cover3-Haknesset">
    <w:name w:val="Cover 3-Haknesset"/>
    <w:basedOn w:val="Cover1-Reshumot"/>
    <w:rsid w:val="00BF0727"/>
    <w:rPr>
      <w:b/>
      <w:bCs/>
      <w:spacing w:val="60"/>
    </w:rPr>
  </w:style>
  <w:style w:type="paragraph" w:customStyle="1" w:styleId="Cover4-Date">
    <w:name w:val="Cover 4-Date"/>
    <w:basedOn w:val="a"/>
    <w:rsid w:val="00BF0727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F0727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F0727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F0727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F0727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F0727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F0727"/>
  </w:style>
  <w:style w:type="paragraph" w:customStyle="1" w:styleId="TableBlock">
    <w:name w:val="Table Block"/>
    <w:basedOn w:val="TableText"/>
    <w:rsid w:val="00BF0727"/>
    <w:pPr>
      <w:ind w:right="0"/>
      <w:jc w:val="both"/>
    </w:pPr>
  </w:style>
  <w:style w:type="paragraph" w:customStyle="1" w:styleId="TableHead">
    <w:name w:val="Table Head"/>
    <w:basedOn w:val="TableText"/>
    <w:rsid w:val="00BF0727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F0727"/>
  </w:style>
  <w:style w:type="paragraph" w:customStyle="1" w:styleId="Hesber">
    <w:name w:val="Hesber"/>
    <w:basedOn w:val="a"/>
    <w:rsid w:val="00BF0727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F0727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F0727"/>
    <w:rPr>
      <w:vertAlign w:val="superscript"/>
    </w:rPr>
  </w:style>
  <w:style w:type="paragraph" w:customStyle="1" w:styleId="HesberHeading">
    <w:name w:val="Hesber Heading"/>
    <w:basedOn w:val="Hesber"/>
    <w:rsid w:val="00BF0727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F0727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F0727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F0727"/>
    <w:rPr>
      <w:vertAlign w:val="superscript"/>
    </w:rPr>
  </w:style>
  <w:style w:type="paragraph" w:customStyle="1" w:styleId="TableBlockOutdent">
    <w:name w:val="Table BlockOutdent"/>
    <w:basedOn w:val="TableBlock"/>
    <w:rsid w:val="00BF0727"/>
    <w:pPr>
      <w:ind w:left="624" w:hanging="624"/>
    </w:pPr>
  </w:style>
  <w:style w:type="paragraph" w:styleId="a8">
    <w:name w:val="header"/>
    <w:basedOn w:val="a"/>
    <w:rsid w:val="00BF072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F0727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F0727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F0727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F0727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EA10BD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AB714-D998-4E15-9650-094C9DE34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AF8AFC-CDB3-4CDC-9074-9541B803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788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10</cp:revision>
  <cp:lastPrinted>2015-05-14T10:41:00Z</cp:lastPrinted>
  <dcterms:created xsi:type="dcterms:W3CDTF">2015-03-26T08:06:00Z</dcterms:created>
  <dcterms:modified xsi:type="dcterms:W3CDTF">2015-05-14T10:41:00Z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0354fdee-f711-4d2a-9cf2-2d1c4d9ac92a</vt:lpwstr>
  </property>
  <property fmtid="{D5CDD505-2E9C-101B-9397-08002B2CF9AE}" pid="4" name="SanhedrinDocumentType">
    <vt:r8>10</vt:r8>
  </property>
  <property fmtid="{D5CDD505-2E9C-101B-9397-08002B2CF9AE}" pid="5" name="SanhedrinItemID">
    <vt:r8>563395</vt:r8>
  </property>
</Properties>
</file>