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3824E1">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פ/930/20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3824E1">
      <w:pPr>
        <w:pStyle w:val="HeadHatzaotHok"/>
        <w:rPr>
          <w:rtl/>
        </w:rPr>
      </w:pPr>
      <w:bookmarkStart w:id="7" w:name="LGS_Subject"/>
      <w:r>
        <w:rPr>
          <w:rFonts w:hint="cs"/>
          <w:rtl/>
        </w:rPr>
        <w:t>הצעת חוק האזרחים הוותיקים (תיקון – חניה חינם לאזרח ותיק שמלאו לו 70 שנים), התשע"ה–2015</w:t>
      </w:r>
      <w:bookmarkEnd w:id="7"/>
    </w:p>
    <w:p w14:paraId="7F6961AE" w14:textId="77777777" w:rsidR="00E13C27" w:rsidRDefault="00E13C27" w:rsidP="0000131B">
      <w:pPr>
        <w:pStyle w:val="HeadDivreiHesber"/>
        <w:spacing w:before="0" w:after="0" w:line="240" w:lineRule="auto"/>
        <w:rPr>
          <w:rtl/>
        </w:rPr>
      </w:pP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4650"/>
      </w:tblGrid>
      <w:tr w:rsidR="00EE691D" w14:paraId="42D4FF7F" w14:textId="77777777" w:rsidTr="00D63C7F">
        <w:trPr>
          <w:cantSplit/>
        </w:trPr>
        <w:tc>
          <w:tcPr>
            <w:tcW w:w="1871" w:type="dxa"/>
            <w:tcBorders>
              <w:top w:val="nil"/>
              <w:left w:val="nil"/>
              <w:bottom w:val="nil"/>
              <w:right w:val="nil"/>
            </w:tcBorders>
          </w:tcPr>
          <w:p w14:paraId="1BA7085E" w14:textId="77777777" w:rsidR="00EE691D" w:rsidRDefault="00EE691D" w:rsidP="00D63C7F">
            <w:pPr>
              <w:pStyle w:val="TableSideHeading"/>
            </w:pPr>
            <w:r>
              <w:rPr>
                <w:sz w:val="26"/>
                <w:rtl/>
              </w:rPr>
              <w:t>הוספת סעיף 9א</w:t>
            </w:r>
          </w:p>
        </w:tc>
        <w:tc>
          <w:tcPr>
            <w:tcW w:w="624" w:type="dxa"/>
            <w:tcBorders>
              <w:top w:val="nil"/>
              <w:left w:val="nil"/>
              <w:bottom w:val="nil"/>
              <w:right w:val="nil"/>
            </w:tcBorders>
          </w:tcPr>
          <w:p w14:paraId="71F8B30C" w14:textId="77777777" w:rsidR="00EE691D" w:rsidRDefault="00EE691D" w:rsidP="00D63C7F">
            <w:pPr>
              <w:pStyle w:val="TableText"/>
            </w:pPr>
            <w:r>
              <w:rPr>
                <w:sz w:val="26"/>
                <w:rtl/>
              </w:rPr>
              <w:t>1.</w:t>
            </w:r>
          </w:p>
        </w:tc>
        <w:tc>
          <w:tcPr>
            <w:tcW w:w="7146" w:type="dxa"/>
            <w:gridSpan w:val="5"/>
            <w:tcBorders>
              <w:top w:val="nil"/>
              <w:left w:val="nil"/>
              <w:bottom w:val="nil"/>
              <w:right w:val="nil"/>
            </w:tcBorders>
          </w:tcPr>
          <w:p w14:paraId="6CF9B656" w14:textId="77777777" w:rsidR="00EE691D" w:rsidRDefault="00EE691D" w:rsidP="00D63C7F">
            <w:pPr>
              <w:pStyle w:val="TableBlock"/>
            </w:pPr>
            <w:r>
              <w:rPr>
                <w:sz w:val="26"/>
                <w:rtl/>
              </w:rPr>
              <w:t>בחוק האזרחים הוותיקים, התש"ן–1989</w:t>
            </w:r>
            <w:r>
              <w:rPr>
                <w:rStyle w:val="a6"/>
                <w:sz w:val="26"/>
                <w:rtl/>
              </w:rPr>
              <w:footnoteReference w:id="2"/>
            </w:r>
            <w:r>
              <w:rPr>
                <w:sz w:val="26"/>
                <w:rtl/>
              </w:rPr>
              <w:t>, אחרי סעיף 9 יבוא:</w:t>
            </w:r>
          </w:p>
        </w:tc>
      </w:tr>
      <w:tr w:rsidR="00EE691D" w14:paraId="5920F646" w14:textId="77777777" w:rsidTr="00D63C7F">
        <w:trPr>
          <w:cantSplit/>
        </w:trPr>
        <w:tc>
          <w:tcPr>
            <w:tcW w:w="1871" w:type="dxa"/>
            <w:tcBorders>
              <w:top w:val="nil"/>
              <w:left w:val="nil"/>
              <w:bottom w:val="nil"/>
              <w:right w:val="nil"/>
            </w:tcBorders>
          </w:tcPr>
          <w:p w14:paraId="005A8787" w14:textId="77777777" w:rsidR="00EE691D" w:rsidRDefault="00EE691D" w:rsidP="00D63C7F">
            <w:pPr>
              <w:pStyle w:val="TableSideHeading"/>
            </w:pPr>
          </w:p>
        </w:tc>
        <w:tc>
          <w:tcPr>
            <w:tcW w:w="624" w:type="dxa"/>
            <w:tcBorders>
              <w:top w:val="nil"/>
              <w:left w:val="nil"/>
              <w:bottom w:val="nil"/>
              <w:right w:val="nil"/>
            </w:tcBorders>
          </w:tcPr>
          <w:p w14:paraId="2C0DF819" w14:textId="77777777" w:rsidR="00EE691D" w:rsidRDefault="00EE691D" w:rsidP="00D63C7F">
            <w:pPr>
              <w:pStyle w:val="TableText"/>
            </w:pPr>
          </w:p>
        </w:tc>
        <w:tc>
          <w:tcPr>
            <w:tcW w:w="1872" w:type="dxa"/>
            <w:gridSpan w:val="3"/>
            <w:tcBorders>
              <w:top w:val="nil"/>
              <w:left w:val="nil"/>
              <w:bottom w:val="nil"/>
              <w:right w:val="nil"/>
            </w:tcBorders>
          </w:tcPr>
          <w:p w14:paraId="2EF39773" w14:textId="77777777" w:rsidR="00EE691D" w:rsidRDefault="00EE691D" w:rsidP="00D63C7F">
            <w:pPr>
              <w:pStyle w:val="TableInnerSideHeading"/>
            </w:pPr>
            <w:r>
              <w:rPr>
                <w:sz w:val="26"/>
                <w:rtl/>
              </w:rPr>
              <w:t xml:space="preserve">"חניה חינם </w:t>
            </w:r>
            <w:r>
              <w:rPr>
                <w:sz w:val="26"/>
                <w:rtl/>
              </w:rPr>
              <w:br/>
              <w:t>לאזרח ותיק שמלאו לו 70 שנים</w:t>
            </w:r>
          </w:p>
        </w:tc>
        <w:tc>
          <w:tcPr>
            <w:tcW w:w="624" w:type="dxa"/>
            <w:tcBorders>
              <w:top w:val="nil"/>
              <w:left w:val="nil"/>
              <w:bottom w:val="nil"/>
              <w:right w:val="nil"/>
            </w:tcBorders>
          </w:tcPr>
          <w:p w14:paraId="5205D9C3" w14:textId="77777777" w:rsidR="00EE691D" w:rsidRDefault="00EE691D" w:rsidP="00D63C7F">
            <w:pPr>
              <w:pStyle w:val="TableText"/>
            </w:pPr>
            <w:r>
              <w:rPr>
                <w:sz w:val="26"/>
                <w:rtl/>
              </w:rPr>
              <w:t>9א.</w:t>
            </w:r>
          </w:p>
        </w:tc>
        <w:tc>
          <w:tcPr>
            <w:tcW w:w="4650" w:type="dxa"/>
            <w:tcBorders>
              <w:top w:val="nil"/>
              <w:left w:val="nil"/>
              <w:bottom w:val="nil"/>
              <w:right w:val="nil"/>
            </w:tcBorders>
          </w:tcPr>
          <w:p w14:paraId="457FF684" w14:textId="77777777" w:rsidR="00EE691D" w:rsidRDefault="00EE691D" w:rsidP="00D63C7F">
            <w:pPr>
              <w:pStyle w:val="TableBlock"/>
            </w:pPr>
            <w:r>
              <w:rPr>
                <w:sz w:val="26"/>
                <w:rtl/>
              </w:rPr>
              <w:t>(א)   אזרח ותיק שמלאו לו 70 שנים זכאי לחניה חינם בכל מקום חניה בתשלום שמעמידה לציבור  הרשות המקומית שבתחומה הוא מתגורר.</w:t>
            </w:r>
          </w:p>
        </w:tc>
      </w:tr>
      <w:tr w:rsidR="00EE691D" w14:paraId="401BEAC5" w14:textId="77777777" w:rsidTr="00D63C7F">
        <w:trPr>
          <w:cantSplit/>
        </w:trPr>
        <w:tc>
          <w:tcPr>
            <w:tcW w:w="1871" w:type="dxa"/>
            <w:tcBorders>
              <w:top w:val="nil"/>
              <w:left w:val="nil"/>
              <w:bottom w:val="nil"/>
              <w:right w:val="nil"/>
            </w:tcBorders>
          </w:tcPr>
          <w:p w14:paraId="6094D0D7" w14:textId="77777777" w:rsidR="00EE691D" w:rsidRDefault="00EE691D" w:rsidP="00D63C7F">
            <w:pPr>
              <w:pStyle w:val="TableSideHeading"/>
            </w:pPr>
          </w:p>
        </w:tc>
        <w:tc>
          <w:tcPr>
            <w:tcW w:w="624" w:type="dxa"/>
            <w:tcBorders>
              <w:top w:val="nil"/>
              <w:left w:val="nil"/>
              <w:bottom w:val="nil"/>
              <w:right w:val="nil"/>
            </w:tcBorders>
          </w:tcPr>
          <w:p w14:paraId="481CBA25" w14:textId="77777777" w:rsidR="00EE691D" w:rsidRDefault="00EE691D" w:rsidP="00D63C7F">
            <w:pPr>
              <w:pStyle w:val="TableText"/>
            </w:pPr>
          </w:p>
        </w:tc>
        <w:tc>
          <w:tcPr>
            <w:tcW w:w="624" w:type="dxa"/>
            <w:tcBorders>
              <w:top w:val="nil"/>
              <w:left w:val="nil"/>
              <w:bottom w:val="nil"/>
              <w:right w:val="nil"/>
            </w:tcBorders>
          </w:tcPr>
          <w:p w14:paraId="111E08D1" w14:textId="77777777" w:rsidR="00EE691D" w:rsidRDefault="00EE691D" w:rsidP="00D63C7F">
            <w:pPr>
              <w:pStyle w:val="TableText"/>
            </w:pPr>
          </w:p>
        </w:tc>
        <w:tc>
          <w:tcPr>
            <w:tcW w:w="624" w:type="dxa"/>
            <w:tcBorders>
              <w:top w:val="nil"/>
              <w:left w:val="nil"/>
              <w:bottom w:val="nil"/>
              <w:right w:val="nil"/>
            </w:tcBorders>
          </w:tcPr>
          <w:p w14:paraId="4844F891" w14:textId="77777777" w:rsidR="00EE691D" w:rsidRDefault="00EE691D" w:rsidP="00D63C7F">
            <w:pPr>
              <w:pStyle w:val="TableText"/>
            </w:pPr>
          </w:p>
        </w:tc>
        <w:tc>
          <w:tcPr>
            <w:tcW w:w="624" w:type="dxa"/>
            <w:tcBorders>
              <w:top w:val="nil"/>
              <w:left w:val="nil"/>
              <w:bottom w:val="nil"/>
              <w:right w:val="nil"/>
            </w:tcBorders>
          </w:tcPr>
          <w:p w14:paraId="1900A6D3" w14:textId="77777777" w:rsidR="00EE691D" w:rsidRDefault="00EE691D" w:rsidP="00D63C7F">
            <w:pPr>
              <w:pStyle w:val="TableText"/>
            </w:pPr>
          </w:p>
        </w:tc>
        <w:tc>
          <w:tcPr>
            <w:tcW w:w="624" w:type="dxa"/>
            <w:tcBorders>
              <w:top w:val="nil"/>
              <w:left w:val="nil"/>
              <w:bottom w:val="nil"/>
              <w:right w:val="nil"/>
            </w:tcBorders>
          </w:tcPr>
          <w:p w14:paraId="490C9F74" w14:textId="77777777" w:rsidR="00EE691D" w:rsidRDefault="00EE691D" w:rsidP="00D63C7F">
            <w:pPr>
              <w:pStyle w:val="TableText"/>
            </w:pPr>
          </w:p>
        </w:tc>
        <w:tc>
          <w:tcPr>
            <w:tcW w:w="4650" w:type="dxa"/>
            <w:tcBorders>
              <w:top w:val="nil"/>
              <w:left w:val="nil"/>
              <w:bottom w:val="nil"/>
              <w:right w:val="nil"/>
            </w:tcBorders>
          </w:tcPr>
          <w:p w14:paraId="044E04D4" w14:textId="77777777" w:rsidR="00EE691D" w:rsidRDefault="00EE691D" w:rsidP="00D63C7F">
            <w:pPr>
              <w:pStyle w:val="TableBlock"/>
              <w:rPr>
                <w:sz w:val="26"/>
                <w:rtl/>
              </w:rPr>
            </w:pPr>
            <w:r>
              <w:rPr>
                <w:sz w:val="26"/>
                <w:rtl/>
              </w:rPr>
              <w:t>(ב)</w:t>
            </w:r>
            <w:r>
              <w:rPr>
                <w:sz w:val="26"/>
                <w:rtl/>
              </w:rPr>
              <w:tab/>
              <w:t>השר יקבע הוראות בדבר תו לסימון הזכאות לפי סעיף זה ובדבר האגרה שתהיה הרשות המקומית רשאית לגבות בעד הנפקת תו כאמור, ובלבד שסכומה לא יעלה על 20 שקלים חדשים."</w:t>
            </w:r>
          </w:p>
        </w:tc>
      </w:tr>
    </w:tbl>
    <w:p w14:paraId="7F6961CA" w14:textId="77777777" w:rsidR="002D1EE3" w:rsidRDefault="002D1EE3" w:rsidP="002D1EE3">
      <w:pPr>
        <w:pStyle w:val="HeadDivreiHesber"/>
        <w:rPr>
          <w:rtl/>
        </w:rPr>
      </w:pPr>
      <w:r w:rsidRPr="0027450A">
        <w:rPr>
          <w:rFonts w:hint="cs"/>
          <w:rtl/>
        </w:rPr>
        <w:t>דברי הסבר</w:t>
      </w:r>
    </w:p>
    <w:p w14:paraId="7201CDD0" w14:textId="0E20CB98" w:rsidR="00EE691D" w:rsidRDefault="005840C7" w:rsidP="005840C7">
      <w:pPr>
        <w:pStyle w:val="Hesber"/>
        <w:rPr>
          <w:sz w:val="26"/>
          <w:rtl/>
        </w:rPr>
      </w:pPr>
      <w:r>
        <w:rPr>
          <w:rFonts w:hint="cs"/>
          <w:sz w:val="26"/>
          <w:rtl/>
        </w:rPr>
        <w:t>מוצע ל</w:t>
      </w:r>
      <w:r w:rsidR="00EE691D">
        <w:rPr>
          <w:sz w:val="26"/>
          <w:rtl/>
        </w:rPr>
        <w:t>העניק לאזרח ותיק שהגיע לגיל 70</w:t>
      </w:r>
      <w:r w:rsidR="00EE691D" w:rsidRPr="00030A0D">
        <w:rPr>
          <w:sz w:val="26"/>
          <w:rtl/>
        </w:rPr>
        <w:t xml:space="preserve"> </w:t>
      </w:r>
      <w:r w:rsidR="00EE691D">
        <w:rPr>
          <w:sz w:val="26"/>
          <w:rtl/>
        </w:rPr>
        <w:t>חניה חינם בכל מקום חניה בתשלום שמעמידה לציבור הרשות המקומית שבתחומה הוא מתגורר.</w:t>
      </w:r>
    </w:p>
    <w:p w14:paraId="5394425D" w14:textId="5E1DE4C0" w:rsidR="00EE691D" w:rsidRDefault="00EE691D" w:rsidP="00EE691D">
      <w:pPr>
        <w:pStyle w:val="Hesber"/>
        <w:rPr>
          <w:sz w:val="26"/>
          <w:rtl/>
        </w:rPr>
      </w:pPr>
      <w:r>
        <w:rPr>
          <w:sz w:val="26"/>
          <w:rtl/>
        </w:rPr>
        <w:t>רשויות מקומיות, בעיקר במרכז הארץ, כגון תל-אביב-יפו, רמת גן, ראשון לציון ורחובות מעניקות  כבר כיום חניה חינם במקומות חניה מוסדרים לתושביהן הקשישים (בדרך כלל מדובר בתושבים מעל גיל 70). דווקא בערי הפריפריה כגון טבריה וצפת, בהן המצב הכלכלי של הקשישים קשה יותר, לא ניתן  להם פטור מתשלום דמי חניה ו</w:t>
      </w:r>
      <w:r w:rsidR="005840C7">
        <w:rPr>
          <w:rFonts w:hint="cs"/>
          <w:sz w:val="26"/>
          <w:rtl/>
        </w:rPr>
        <w:t>ב</w:t>
      </w:r>
      <w:r>
        <w:rPr>
          <w:sz w:val="26"/>
          <w:rtl/>
        </w:rPr>
        <w:t>כך הם מופלים לרעה לעומת תושבי הערים שבהן הוחלט לתת פטור מתשלום דמי חניה</w:t>
      </w:r>
      <w:r w:rsidR="006A7798">
        <w:rPr>
          <w:rFonts w:hint="cs"/>
          <w:sz w:val="26"/>
          <w:rtl/>
        </w:rPr>
        <w:t xml:space="preserve"> כאמור</w:t>
      </w:r>
      <w:r>
        <w:rPr>
          <w:sz w:val="26"/>
          <w:rtl/>
        </w:rPr>
        <w:t>.</w:t>
      </w:r>
    </w:p>
    <w:p w14:paraId="79C2C472" w14:textId="77777777" w:rsidR="00EE691D" w:rsidRDefault="00EE691D" w:rsidP="00EE691D">
      <w:pPr>
        <w:pStyle w:val="Hesber"/>
        <w:rPr>
          <w:sz w:val="26"/>
          <w:rtl/>
        </w:rPr>
      </w:pPr>
      <w:r w:rsidRPr="00193B9F">
        <w:rPr>
          <w:sz w:val="26"/>
          <w:rtl/>
        </w:rPr>
        <w:t>לפיכך</w:t>
      </w:r>
      <w:r>
        <w:rPr>
          <w:sz w:val="26"/>
          <w:rtl/>
        </w:rPr>
        <w:t xml:space="preserve"> מוצע </w:t>
      </w:r>
      <w:r w:rsidRPr="00193B9F">
        <w:rPr>
          <w:sz w:val="26"/>
          <w:rtl/>
        </w:rPr>
        <w:t>ל</w:t>
      </w:r>
      <w:r>
        <w:rPr>
          <w:sz w:val="26"/>
          <w:rtl/>
        </w:rPr>
        <w:t>קבוע הוראה שתחול באופן אחיד על כלל האזרחים הוותיקים שהגיעו לגיל 70, שלפיה אזרח ותיק יהיה זכאי לפטור מתשלום בעד חניה במקומות חניה עירוניים בתשלום בתחום הרשות המקומית שבה הוא מתגורר. באמצעות קביעת הוראה זו, יתוקן העיוות של מתן פטור רק בחלק מהערים מדמי חניה לאוכלוסייה האמורה.</w:t>
      </w:r>
    </w:p>
    <w:p w14:paraId="3FF74160" w14:textId="77777777" w:rsidR="00EE691D" w:rsidRDefault="00EE691D" w:rsidP="00EE691D">
      <w:pPr>
        <w:pStyle w:val="Hesber"/>
        <w:rPr>
          <w:sz w:val="26"/>
          <w:rtl/>
        </w:rPr>
      </w:pPr>
      <w:r>
        <w:rPr>
          <w:sz w:val="26"/>
          <w:rtl/>
        </w:rPr>
        <w:lastRenderedPageBreak/>
        <w:t>התועלת שתצמח לקשישים ממתן פטור כאמור עולה על גריעת דמי החניה מקופת הרשות, וזאת, להבדיל מתשלומי קנסות שניתנים בגין חניה שלא כדין שההכנסה מהם לקופת המדינה משמעותית.</w:t>
      </w:r>
    </w:p>
    <w:p w14:paraId="0B93D260" w14:textId="77777777" w:rsidR="00EE691D" w:rsidRDefault="00EE691D" w:rsidP="00EE691D">
      <w:pPr>
        <w:pStyle w:val="Hesber"/>
        <w:rPr>
          <w:sz w:val="26"/>
          <w:rtl/>
        </w:rPr>
      </w:pPr>
      <w:r>
        <w:rPr>
          <w:sz w:val="26"/>
          <w:rtl/>
        </w:rPr>
        <w:t>כמו כן, יש לזכור כי מדובר באוכלוסייה מבוגרת שמספר בעלי רישיונות הנהיגה בה קטן יחסית.</w:t>
      </w:r>
    </w:p>
    <w:p w14:paraId="40FA5FD4" w14:textId="269FA4C3" w:rsidR="00EE691D" w:rsidRDefault="00EE691D" w:rsidP="005840C7">
      <w:pPr>
        <w:pStyle w:val="Hesber"/>
        <w:rPr>
          <w:sz w:val="26"/>
          <w:rtl/>
        </w:rPr>
      </w:pPr>
      <w:r>
        <w:rPr>
          <w:sz w:val="26"/>
          <w:rtl/>
        </w:rPr>
        <w:t>הצעת חוק דומ</w:t>
      </w:r>
      <w:r w:rsidR="00016D67">
        <w:rPr>
          <w:rFonts w:hint="cs"/>
          <w:sz w:val="26"/>
          <w:rtl/>
        </w:rPr>
        <w:t>ה</w:t>
      </w:r>
      <w:r>
        <w:rPr>
          <w:sz w:val="26"/>
          <w:rtl/>
        </w:rPr>
        <w:t xml:space="preserve"> בעיקר</w:t>
      </w:r>
      <w:r w:rsidR="00016D67">
        <w:rPr>
          <w:rFonts w:hint="cs"/>
          <w:sz w:val="26"/>
          <w:rtl/>
        </w:rPr>
        <w:t>ה</w:t>
      </w:r>
      <w:r>
        <w:rPr>
          <w:sz w:val="26"/>
          <w:rtl/>
        </w:rPr>
        <w:t xml:space="preserve"> הונח</w:t>
      </w:r>
      <w:r w:rsidR="00016D67">
        <w:rPr>
          <w:rFonts w:hint="cs"/>
          <w:sz w:val="26"/>
          <w:rtl/>
        </w:rPr>
        <w:t>ה</w:t>
      </w:r>
      <w:r>
        <w:rPr>
          <w:sz w:val="26"/>
          <w:rtl/>
        </w:rPr>
        <w:t xml:space="preserve"> על שולחן הכנסת התשע-עשרה על ידי חברת הכנסת איילת שקד וקבוצת חברי הכנסת (</w:t>
      </w:r>
      <w:r w:rsidRPr="00030A0D">
        <w:rPr>
          <w:sz w:val="26"/>
          <w:rtl/>
        </w:rPr>
        <w:t>פ/2206/19</w:t>
      </w:r>
      <w:r>
        <w:rPr>
          <w:sz w:val="26"/>
          <w:rtl/>
        </w:rPr>
        <w:t>).</w:t>
      </w:r>
    </w:p>
    <w:p w14:paraId="7F6961CB" w14:textId="4618E710" w:rsidR="00E13C27" w:rsidRDefault="00EE691D" w:rsidP="005840C7">
      <w:pPr>
        <w:pStyle w:val="Hesber"/>
        <w:rPr>
          <w:rFonts w:hint="cs"/>
          <w:rtl/>
        </w:rPr>
      </w:pPr>
      <w:r>
        <w:rPr>
          <w:rFonts w:hint="cs"/>
          <w:rtl/>
        </w:rPr>
        <w:t>הצע</w:t>
      </w:r>
      <w:r w:rsidR="005840C7">
        <w:rPr>
          <w:rFonts w:hint="cs"/>
          <w:rtl/>
        </w:rPr>
        <w:t>ו</w:t>
      </w:r>
      <w:r>
        <w:rPr>
          <w:rFonts w:hint="cs"/>
          <w:rtl/>
        </w:rPr>
        <w:t>ת חוק זה</w:t>
      </w:r>
      <w:r w:rsidR="005840C7">
        <w:rPr>
          <w:rFonts w:hint="cs"/>
          <w:rtl/>
        </w:rPr>
        <w:t>ות</w:t>
      </w:r>
      <w:r>
        <w:rPr>
          <w:rFonts w:hint="cs"/>
          <w:rtl/>
        </w:rPr>
        <w:t xml:space="preserve"> הונח</w:t>
      </w:r>
      <w:r w:rsidR="005840C7">
        <w:rPr>
          <w:rFonts w:hint="cs"/>
          <w:rtl/>
        </w:rPr>
        <w:t>ו</w:t>
      </w:r>
      <w:r>
        <w:rPr>
          <w:rFonts w:hint="cs"/>
          <w:rtl/>
        </w:rPr>
        <w:t xml:space="preserve"> </w:t>
      </w:r>
      <w:r w:rsidR="005840C7">
        <w:rPr>
          <w:sz w:val="26"/>
          <w:rtl/>
        </w:rPr>
        <w:t>על שולחן הכנסת השמונה-עשרה על ידי חבר הכנסת ציון פיניאן (פ/836/18) ו</w:t>
      </w:r>
      <w:r>
        <w:rPr>
          <w:rFonts w:hint="cs"/>
          <w:rtl/>
        </w:rPr>
        <w:t>על שולחן הכנסת התשע-עשרה על ידי חברת הכנסת שולי מועלם</w:t>
      </w:r>
      <w:r w:rsidR="005840C7">
        <w:rPr>
          <w:rFonts w:hint="cs"/>
          <w:rtl/>
        </w:rPr>
        <w:t>-רפאלי</w:t>
      </w:r>
      <w:r>
        <w:rPr>
          <w:rFonts w:hint="cs"/>
          <w:rtl/>
        </w:rPr>
        <w:t xml:space="preserve"> וקבוצת חברי </w:t>
      </w:r>
      <w:r w:rsidR="003824E1">
        <w:rPr>
          <w:rFonts w:hint="cs"/>
          <w:rtl/>
        </w:rPr>
        <w:t>ה</w:t>
      </w:r>
      <w:r>
        <w:rPr>
          <w:rFonts w:hint="cs"/>
          <w:rtl/>
        </w:rPr>
        <w:t>כנסת (פ/2241/19).</w:t>
      </w:r>
    </w:p>
    <w:p w14:paraId="48D68B7D" w14:textId="77C4F715" w:rsidR="001E67E3" w:rsidRDefault="001E67E3" w:rsidP="005840C7">
      <w:pPr>
        <w:pStyle w:val="Hesber"/>
        <w:rPr>
          <w:rFonts w:hint="cs"/>
          <w:rtl/>
        </w:rPr>
      </w:pPr>
    </w:p>
    <w:p w14:paraId="7A646007" w14:textId="77777777" w:rsidR="001E67E3" w:rsidRDefault="001E67E3" w:rsidP="005840C7">
      <w:pPr>
        <w:pStyle w:val="Hesber"/>
        <w:rPr>
          <w:rFonts w:hint="cs"/>
          <w:rtl/>
        </w:rPr>
      </w:pPr>
    </w:p>
    <w:p w14:paraId="070142A6" w14:textId="77777777" w:rsidR="001E67E3" w:rsidRDefault="001E67E3" w:rsidP="005840C7">
      <w:pPr>
        <w:pStyle w:val="Hesber"/>
        <w:rPr>
          <w:rFonts w:hint="cs"/>
          <w:rtl/>
        </w:rPr>
      </w:pPr>
    </w:p>
    <w:p w14:paraId="10352245" w14:textId="77777777" w:rsidR="001E67E3" w:rsidRDefault="001E67E3" w:rsidP="005840C7">
      <w:pPr>
        <w:pStyle w:val="Hesber"/>
        <w:rPr>
          <w:rtl/>
        </w:rPr>
      </w:pPr>
      <w:bookmarkStart w:id="8" w:name="_GoBack"/>
      <w:bookmarkEnd w:id="8"/>
    </w:p>
    <w:p w14:paraId="30467F45" w14:textId="77777777" w:rsidR="003824E1" w:rsidRPr="0022704F" w:rsidRDefault="003824E1"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1B8D405A" w14:textId="77777777" w:rsidR="003824E1" w:rsidRPr="0022704F" w:rsidRDefault="003824E1"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4EA7EB6" w14:textId="77777777" w:rsidR="003824E1" w:rsidRPr="0022704F" w:rsidRDefault="003824E1"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030BC092" w14:textId="77777777" w:rsidR="003824E1" w:rsidRPr="00935520" w:rsidRDefault="003824E1" w:rsidP="004A4098">
      <w:pPr>
        <w:spacing w:before="0" w:line="360"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כ"ט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18</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74E75A35" w14:textId="77777777" w:rsidR="003824E1" w:rsidRPr="004A4098" w:rsidRDefault="003824E1" w:rsidP="00935520">
      <w:pPr>
        <w:ind w:left="340" w:firstLine="0"/>
        <w:rPr>
          <w:rFonts w:ascii="Arial" w:eastAsia="Arial Unicode MS" w:hAnsi="Arial" w:cs="David"/>
          <w:snapToGrid w:val="0"/>
          <w:spacing w:val="0"/>
          <w:sz w:val="20"/>
          <w:szCs w:val="26"/>
          <w:rtl/>
        </w:rPr>
      </w:pPr>
    </w:p>
    <w:p w14:paraId="43524474" w14:textId="77777777" w:rsidR="003824E1" w:rsidRDefault="003824E1" w:rsidP="005840C7">
      <w:pPr>
        <w:pStyle w:val="Hesber"/>
        <w:rPr>
          <w:rtl/>
        </w:rPr>
      </w:pPr>
    </w:p>
    <w:sectPr w:rsidR="003824E1"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E67E3">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0A0A526C" w14:textId="77777777" w:rsidR="00EE691D" w:rsidRDefault="00EE691D" w:rsidP="00EE691D">
      <w:pPr>
        <w:pStyle w:val="a4"/>
        <w:rPr>
          <w:rtl/>
        </w:rPr>
      </w:pPr>
      <w:r>
        <w:rPr>
          <w:rStyle w:val="a6"/>
        </w:rPr>
        <w:footnoteRef/>
      </w:r>
      <w:r>
        <w:rPr>
          <w:sz w:val="20"/>
          <w:rtl/>
        </w:rPr>
        <w:t xml:space="preserve"> ס"ח התש"ן, עמ' 26.</w:t>
      </w:r>
    </w:p>
    <w:p w14:paraId="4908BE51" w14:textId="77777777" w:rsidR="00EE691D" w:rsidRDefault="00EE691D" w:rsidP="00EE691D">
      <w:pPr>
        <w:pStyle w:val="a4"/>
        <w:rPr>
          <w:rtl/>
        </w:rPr>
      </w:pPr>
    </w:p>
    <w:p w14:paraId="6F7A1565" w14:textId="77777777" w:rsidR="00EE691D" w:rsidRDefault="00EE691D" w:rsidP="00EE691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16D67"/>
    <w:rsid w:val="0007681A"/>
    <w:rsid w:val="000A542E"/>
    <w:rsid w:val="00102B6B"/>
    <w:rsid w:val="001052D4"/>
    <w:rsid w:val="0010644B"/>
    <w:rsid w:val="001207F8"/>
    <w:rsid w:val="00121924"/>
    <w:rsid w:val="001279A8"/>
    <w:rsid w:val="0014195F"/>
    <w:rsid w:val="00152609"/>
    <w:rsid w:val="00153E1B"/>
    <w:rsid w:val="001A0623"/>
    <w:rsid w:val="001C23B0"/>
    <w:rsid w:val="001E67E3"/>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24E1"/>
    <w:rsid w:val="00386E88"/>
    <w:rsid w:val="00396585"/>
    <w:rsid w:val="003D74A0"/>
    <w:rsid w:val="004033D8"/>
    <w:rsid w:val="004073F0"/>
    <w:rsid w:val="00412A7D"/>
    <w:rsid w:val="00416B4D"/>
    <w:rsid w:val="00417CFC"/>
    <w:rsid w:val="004B24ED"/>
    <w:rsid w:val="004D2D82"/>
    <w:rsid w:val="004D3876"/>
    <w:rsid w:val="004E4552"/>
    <w:rsid w:val="00553C9D"/>
    <w:rsid w:val="00562A66"/>
    <w:rsid w:val="005840C7"/>
    <w:rsid w:val="005B064E"/>
    <w:rsid w:val="005D51AE"/>
    <w:rsid w:val="0062674B"/>
    <w:rsid w:val="006363B2"/>
    <w:rsid w:val="00644940"/>
    <w:rsid w:val="006818A9"/>
    <w:rsid w:val="006A2D81"/>
    <w:rsid w:val="006A7798"/>
    <w:rsid w:val="006C1D0D"/>
    <w:rsid w:val="0070601E"/>
    <w:rsid w:val="00712C72"/>
    <w:rsid w:val="00735FE9"/>
    <w:rsid w:val="00763CAA"/>
    <w:rsid w:val="00765F66"/>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9176A"/>
    <w:rsid w:val="00CF1AA2"/>
    <w:rsid w:val="00D63620"/>
    <w:rsid w:val="00D8410D"/>
    <w:rsid w:val="00D867D7"/>
    <w:rsid w:val="00DB7060"/>
    <w:rsid w:val="00DE3153"/>
    <w:rsid w:val="00E06736"/>
    <w:rsid w:val="00E13C27"/>
    <w:rsid w:val="00E33BBD"/>
    <w:rsid w:val="00E45103"/>
    <w:rsid w:val="00E665B9"/>
    <w:rsid w:val="00EA01E6"/>
    <w:rsid w:val="00EA3DE8"/>
    <w:rsid w:val="00EA758F"/>
    <w:rsid w:val="00ED4A6F"/>
    <w:rsid w:val="00EE691D"/>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uiPriority w:val="99"/>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locked/>
    <w:rsid w:val="00EE691D"/>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uiPriority w:val="99"/>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locked/>
    <w:rsid w:val="00EE691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800B-6953-4DDF-BA1D-A29193850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C396D1A3-6136-40AE-912D-3A4974EA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1687</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2015-05-14T08:22:00Z</cp:lastPrinted>
  <dcterms:created xsi:type="dcterms:W3CDTF">2015-03-26T08:06:00Z</dcterms:created>
  <dcterms:modified xsi:type="dcterms:W3CDTF">2015-05-14T08:22:00Z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563715</vt:r8>
  </property>
</Properties>
</file>