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F6961A1" w14:textId="77777777" w:rsidR="002C2E29" w:rsidRPr="0000131B" w:rsidRDefault="004033D8" w:rsidP="00A443CF">
      <w:pPr>
        <w:pStyle w:val="HeadHatzaotHok"/>
        <w:jc w:val="right"/>
        <w:rPr>
          <w:b w:val="0"/>
          <w:bCs w:val="0"/>
          <w:szCs w:val="20"/>
        </w:rPr>
      </w:pPr>
      <w:r w:rsidRPr="0000131B">
        <w:rPr>
          <w:rFonts w:hint="cs"/>
          <w:b w:val="0"/>
          <w:bCs w:val="0"/>
          <w:szCs w:val="20"/>
          <w:rtl/>
        </w:rPr>
        <w:t xml:space="preserve">מספר פנימי: </w:t>
      </w:r>
      <w:bookmarkStart w:id="0" w:name="LGS_Internal_ID"/>
      <w:r>
        <w:rPr>
          <w:rFonts w:hint="cs"/>
          <w:b w:val="0"/>
          <w:bCs w:val="0"/>
          <w:szCs w:val="20"/>
          <w:rtl/>
        </w:rPr>
        <w:t>563719</w:t>
      </w:r>
      <w:bookmarkEnd w:id="0"/>
    </w:p>
    <w:p w14:paraId="7F6961A2" w14:textId="53D639AE" w:rsidR="00E13C27" w:rsidRPr="00DB7060" w:rsidRDefault="00E13C27" w:rsidP="00A443CF">
      <w:pPr>
        <w:pStyle w:val="HeadHatzaotHok"/>
        <w:rPr>
          <w:sz w:val="28"/>
          <w:szCs w:val="28"/>
          <w:rtl/>
        </w:rPr>
      </w:pPr>
      <w:r w:rsidRPr="00DB7060">
        <w:rPr>
          <w:rFonts w:hint="cs"/>
          <w:sz w:val="28"/>
          <w:szCs w:val="28"/>
          <w:rtl/>
        </w:rPr>
        <w:t xml:space="preserve">הכנסת </w:t>
      </w:r>
      <w:bookmarkStart w:id="1" w:name="LGS_Knesset_Num"/>
      <w:r>
        <w:rPr>
          <w:rFonts w:hint="cs"/>
          <w:sz w:val="28"/>
          <w:szCs w:val="28"/>
          <w:rtl/>
        </w:rPr>
        <w:t>העשרים</w:t>
      </w:r>
      <w:bookmarkEnd w:id="1"/>
    </w:p>
    <w:p w14:paraId="7F6961A3" w14:textId="77777777" w:rsidR="00E13C27" w:rsidRPr="00F67051" w:rsidRDefault="00E13C27" w:rsidP="00E13C27">
      <w:pPr>
        <w:rPr>
          <w:rFonts w:cs="David"/>
          <w:b/>
          <w:bCs/>
          <w:sz w:val="26"/>
          <w:szCs w:val="26"/>
          <w:rtl/>
        </w:rPr>
      </w:pPr>
    </w:p>
    <w:p w14:paraId="7F6961A6" w14:textId="77777777" w:rsidR="00E13C27" w:rsidRDefault="008F6665" w:rsidP="00CF1AA2">
      <w:pPr>
        <w:pStyle w:val="David"/>
        <w:ind w:left="3544"/>
        <w:rPr>
          <w:b/>
          <w:bCs/>
          <w:rtl/>
        </w:rPr>
      </w:pPr>
      <w:bookmarkStart w:id="2" w:name="LGS_Initiators_List"/>
      <w:r>
        <w:rPr>
          <w:b/>
          <w:bCs/>
          <w:rtl/>
        </w:rPr>
        <w:t>יוזם:</w:t>
      </w:r>
      <w:r>
        <w:tab/>
      </w:r>
      <w:r>
        <w:rPr>
          <w:b/>
          <w:bCs/>
          <w:rtl/>
        </w:rPr>
        <w:t xml:space="preserve">      חבר הכנסת</w:t>
      </w:r>
      <w:bookmarkEnd w:id="2"/>
      <w:r w:rsidR="00B35784" w:rsidRPr="00F67051">
        <w:rPr>
          <w:b/>
          <w:bCs/>
        </w:rPr>
        <w:tab/>
      </w:r>
      <w:bookmarkStart w:id="3" w:name="LGS_PM_Names"/>
      <w:r>
        <w:rPr>
          <w:rFonts w:hint="cs"/>
          <w:b/>
          <w:bCs/>
          <w:rtl/>
        </w:rPr>
        <w:t>ינון מגל</w:t>
      </w:r>
      <w:bookmarkEnd w:id="3"/>
    </w:p>
    <w:p w14:paraId="7F6961AA" w14:textId="77777777" w:rsidR="00E13C27" w:rsidRPr="00CF1AA2" w:rsidRDefault="007D585A" w:rsidP="00CF1AA2">
      <w:pPr>
        <w:pStyle w:val="David"/>
        <w:ind w:left="3544"/>
        <w:rPr>
          <w:b/>
          <w:bCs/>
          <w:rtl/>
        </w:rPr>
      </w:pPr>
      <w:bookmarkStart w:id="4" w:name="LGS_Join_List"/>
      <w:r>
        <w:rPr>
          <w:rtl/>
        </w:rPr>
        <w:t xml:space="preserve"> </w:t>
      </w:r>
      <w:bookmarkEnd w:id="4"/>
      <w:r w:rsidR="002200A1" w:rsidRPr="00CF1AA2">
        <w:rPr>
          <w:rFonts w:hint="cs"/>
          <w:rtl/>
        </w:rPr>
        <w:tab/>
      </w:r>
      <w:bookmarkStart w:id="5" w:name="LGS_PM_NamesJoin"/>
      <w:r>
        <w:rPr>
          <w:rFonts w:hint="cs"/>
          <w:rtl/>
        </w:rPr>
        <w:t xml:space="preserve"> </w:t>
      </w:r>
      <w:bookmarkEnd w:id="5"/>
    </w:p>
    <w:p w14:paraId="7F6961AB" w14:textId="1A02760E" w:rsidR="00E13C27" w:rsidRPr="00E06736" w:rsidRDefault="0014195F" w:rsidP="00416B4D">
      <w:pPr>
        <w:pStyle w:val="David"/>
        <w:ind w:left="3544"/>
        <w:rPr>
          <w:rtl/>
        </w:rPr>
      </w:pPr>
      <w:r w:rsidRPr="00CF1AA2">
        <w:rPr>
          <w:b/>
          <w:bCs/>
          <w:noProof/>
          <w:rtl/>
          <w:lang w:eastAsia="en-US"/>
        </w:rPr>
        <mc:AlternateContent>
          <mc:Choice Requires="wps">
            <w:drawing>
              <wp:anchor distT="0" distB="0" distL="114300" distR="114300" simplePos="0" relativeHeight="251658752" behindDoc="0" locked="0" layoutInCell="1" allowOverlap="1" wp14:anchorId="7F6961CE" wp14:editId="7F6961CF">
                <wp:simplePos x="0" y="0"/>
                <wp:positionH relativeFrom="column">
                  <wp:posOffset>1270</wp:posOffset>
                </wp:positionH>
                <wp:positionV relativeFrom="paragraph">
                  <wp:posOffset>47625</wp:posOffset>
                </wp:positionV>
                <wp:extent cx="3879215" cy="17145"/>
                <wp:effectExtent l="0" t="0" r="0" b="0"/>
                <wp:wrapNone/>
                <wp:docPr id="1" name="Freeform 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879215" cy="17145"/>
                        </a:xfrm>
                        <a:custGeom>
                          <a:avLst/>
                          <a:gdLst>
                            <a:gd name="T0" fmla="*/ 0 w 6109"/>
                            <a:gd name="T1" fmla="*/ 27 h 27"/>
                            <a:gd name="T2" fmla="*/ 6109 w 6109"/>
                            <a:gd name="T3" fmla="*/ 0 h 27"/>
                          </a:gdLst>
                          <a:ahLst/>
                          <a:cxnLst>
                            <a:cxn ang="0">
                              <a:pos x="T0" y="T1"/>
                            </a:cxn>
                            <a:cxn ang="0">
                              <a:pos x="T2" y="T3"/>
                            </a:cxn>
                          </a:cxnLst>
                          <a:rect l="0" t="0" r="r" b="b"/>
                          <a:pathLst>
                            <a:path w="6109" h="27">
                              <a:moveTo>
                                <a:pt x="0" y="27"/>
                              </a:moveTo>
                              <a:lnTo>
                                <a:pt x="6109"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xmlns:a14="http://schemas.microsoft.com/office/drawing/2010/main" xmlns:a="http://schemas.openxmlformats.org/drawingml/2006/main">
            <w:pict>
              <v:polyline id="Freeform 7" style="position:absolute;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coordsize="6109,27" o:spid="_x0000_s1026" filled="f" points=".1pt,5.1pt,305.55pt,3.75pt" w14:anchorId="21D2837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">
                <v:path arrowok="t" o:connecttype="custom" o:connectlocs="0,17145;3879215,0" o:connectangles="0,0"/>
              </v:polyline>
            </w:pict>
          </mc:Fallback>
        </mc:AlternateContent>
      </w:r>
      <w:r w:rsidR="00E13C27" w:rsidRPr="00E06736">
        <w:rPr>
          <w:rFonts w:hint="cs"/>
          <w:rtl/>
        </w:rPr>
        <w:tab/>
      </w:r>
      <w:r w:rsidR="00416B4D">
        <w:tab/>
      </w:r>
      <w:r w:rsidR="00FA5E88">
        <w:tab/>
      </w:r>
      <w:r w:rsidR="00E13C27" w:rsidRPr="00E06736">
        <w:rPr>
          <w:rFonts w:hint="cs"/>
          <w:rtl/>
        </w:rPr>
        <w:tab/>
      </w:r>
      <w:r w:rsidR="00E06736" w:rsidRPr="00E06736">
        <w:tab/>
      </w:r>
      <w:bookmarkStart w:id="6" w:name="Private_Number"/>
      <w:r>
        <w:rPr>
          <w:rFonts w:hint="cs"/>
          <w:rtl/>
        </w:rPr>
        <w:t>פ/624/20</w:t>
      </w:r>
      <w:bookmarkEnd w:id="6"/>
      <w:r w:rsidR="00E13C27" w:rsidRPr="00E06736">
        <w:rPr>
          <w:rFonts w:hint="cs"/>
          <w:rtl/>
        </w:rPr>
        <w:tab/>
      </w:r>
      <w:r w:rsidR="00E13C27" w:rsidRPr="00E06736">
        <w:rPr>
          <w:rFonts w:hint="cs"/>
          <w:rtl/>
        </w:rPr>
        <w:tab/>
      </w:r>
      <w:r w:rsidR="00E13C27" w:rsidRPr="00E06736">
        <w:rPr>
          <w:rFonts w:hint="cs"/>
          <w:rtl/>
        </w:rPr>
        <w:tab/>
      </w:r>
    </w:p>
    <w:p w14:paraId="7F6961AC" w14:textId="77777777" w:rsidR="00E13C27" w:rsidRDefault="00E13C27" w:rsidP="00E13C27">
      <w:pPr>
        <w:spacing w:before="0" w:line="360" w:lineRule="auto"/>
        <w:ind w:left="2880" w:firstLine="720"/>
        <w:rPr>
          <w:rFonts w:cs="David"/>
          <w:sz w:val="26"/>
          <w:szCs w:val="26"/>
          <w:rtl/>
        </w:rPr>
      </w:pPr>
    </w:p>
    <w:p w14:paraId="7F6961AD" w14:textId="77777777" w:rsidR="00E13C27" w:rsidRPr="00F67051" w:rsidRDefault="00A443CF" w:rsidP="00A443CF">
      <w:pPr>
        <w:pStyle w:val="HeadHatzaotHok"/>
        <w:spacing w:line="240" w:lineRule="auto"/>
        <w:rPr>
          <w:rtl/>
        </w:rPr>
      </w:pPr>
      <w:bookmarkStart w:id="7" w:name="LGS_Subject"/>
      <w:r>
        <w:rPr>
          <w:rFonts w:hint="cs"/>
          <w:rtl/>
        </w:rPr>
        <w:t xml:space="preserve">הצעת חוק סדר הדין הפלילי (חקירת חשודים) (תיקון – יידוע זכויות חשודים), התשע"ה–2015 </w:t>
      </w:r>
      <w:bookmarkEnd w:id="7"/>
    </w:p>
    <w:p w14:paraId="0131A406" w14:textId="77777777" w:rsidR="00CE3F64" w:rsidRDefault="00CE3F64" w:rsidP="00CE3F64">
      <w:pPr>
        <w:pStyle w:val="HeadDivreiHesber"/>
        <w:spacing w:before="0" w:after="0" w:line="240" w:lineRule="auto"/>
        <w:rPr>
          <w:rtl/>
        </w:rPr>
      </w:pPr>
    </w:p>
    <w:tbl>
      <w:tblPr>
        <w:bidiVisual/>
        <w:tblW w:w="9638" w:type="dxa"/>
        <w:tblLayout w:type="fixed"/>
        <w:tblCellMar>
          <w:top w:w="57" w:type="dxa"/>
          <w:left w:w="0" w:type="dxa"/>
          <w:bottom w:w="57" w:type="dxa"/>
          <w:right w:w="0" w:type="dxa"/>
        </w:tblCellMar>
        <w:tblLook w:val="01E0" w:firstRow="1" w:lastRow="1" w:firstColumn="1" w:lastColumn="1" w:noHBand="0" w:noVBand="0"/>
      </w:tblPr>
      <w:tblGrid>
        <w:gridCol w:w="1871"/>
        <w:gridCol w:w="624"/>
        <w:gridCol w:w="624"/>
        <w:gridCol w:w="624"/>
        <w:gridCol w:w="624"/>
        <w:gridCol w:w="624"/>
        <w:gridCol w:w="4647"/>
      </w:tblGrid>
      <w:tr w:rsidR="00CE3F64" w14:paraId="0F10CE17" w14:textId="77777777" w:rsidTr="00763F8D">
        <w:trPr>
          <w:cantSplit/>
        </w:trPr>
        <w:tc>
          <w:tcPr>
            <w:tcW w:w="1871" w:type="dxa"/>
          </w:tcPr>
          <w:p w14:paraId="686E2290" w14:textId="77777777" w:rsidR="00CE3F64" w:rsidRDefault="00CE3F64" w:rsidP="00763F8D">
            <w:pPr>
              <w:pStyle w:val="TableSideHeading"/>
              <w:keepLines w:val="0"/>
            </w:pPr>
            <w:r>
              <w:rPr>
                <w:rtl/>
              </w:rPr>
              <w:t>הוספת סעיף 1א</w:t>
            </w:r>
          </w:p>
        </w:tc>
        <w:tc>
          <w:tcPr>
            <w:tcW w:w="624" w:type="dxa"/>
          </w:tcPr>
          <w:p w14:paraId="6430EAD8" w14:textId="77777777" w:rsidR="00CE3F64" w:rsidRDefault="00CE3F64" w:rsidP="00763F8D">
            <w:pPr>
              <w:pStyle w:val="TableText"/>
              <w:keepLines w:val="0"/>
            </w:pPr>
            <w:r>
              <w:rPr>
                <w:rtl/>
              </w:rPr>
              <w:t>1.</w:t>
            </w:r>
          </w:p>
        </w:tc>
        <w:tc>
          <w:tcPr>
            <w:tcW w:w="7143" w:type="dxa"/>
            <w:gridSpan w:val="5"/>
          </w:tcPr>
          <w:p w14:paraId="43AE416D" w14:textId="77777777" w:rsidR="00CE3F64" w:rsidRPr="00C34DE2" w:rsidRDefault="00CE3F64" w:rsidP="00763F8D">
            <w:pPr>
              <w:pStyle w:val="TableBlock"/>
            </w:pPr>
            <w:r>
              <w:rPr>
                <w:rtl/>
              </w:rPr>
              <w:t>בחוק סדר הדין הפלילי (חקירת חשודים), התשס"ב–2002</w:t>
            </w:r>
            <w:r>
              <w:rPr>
                <w:rStyle w:val="a6"/>
                <w:rtl/>
              </w:rPr>
              <w:footnoteReference w:id="2"/>
            </w:r>
            <w:r>
              <w:rPr>
                <w:rtl/>
              </w:rPr>
              <w:t>, אחרי סעיף 1, יבוא:</w:t>
            </w:r>
          </w:p>
        </w:tc>
      </w:tr>
      <w:tr w:rsidR="00CE3F64" w14:paraId="548A8295" w14:textId="77777777" w:rsidTr="00763F8D">
        <w:trPr>
          <w:cantSplit/>
        </w:trPr>
        <w:tc>
          <w:tcPr>
            <w:tcW w:w="1871" w:type="dxa"/>
          </w:tcPr>
          <w:p w14:paraId="12BEF384" w14:textId="77777777" w:rsidR="00CE3F64" w:rsidRDefault="00CE3F64" w:rsidP="00763F8D">
            <w:pPr>
              <w:pStyle w:val="TableSideHeading"/>
              <w:keepLines w:val="0"/>
            </w:pPr>
          </w:p>
        </w:tc>
        <w:tc>
          <w:tcPr>
            <w:tcW w:w="624" w:type="dxa"/>
          </w:tcPr>
          <w:p w14:paraId="4290DA68" w14:textId="77777777" w:rsidR="00CE3F64" w:rsidRDefault="00CE3F64" w:rsidP="00763F8D">
            <w:pPr>
              <w:pStyle w:val="TableText"/>
              <w:keepLines w:val="0"/>
            </w:pPr>
          </w:p>
        </w:tc>
        <w:tc>
          <w:tcPr>
            <w:tcW w:w="1872" w:type="dxa"/>
            <w:gridSpan w:val="3"/>
          </w:tcPr>
          <w:p w14:paraId="4A179E40" w14:textId="77777777" w:rsidR="00CE3F64" w:rsidRDefault="00CE3F64" w:rsidP="00763F8D">
            <w:pPr>
              <w:pStyle w:val="TableInnerSideHeading"/>
            </w:pPr>
            <w:r>
              <w:rPr>
                <w:rtl/>
              </w:rPr>
              <w:t>"הודעה לחשוד על זכויותיו</w:t>
            </w:r>
          </w:p>
        </w:tc>
        <w:tc>
          <w:tcPr>
            <w:tcW w:w="624" w:type="dxa"/>
          </w:tcPr>
          <w:p w14:paraId="071EC842" w14:textId="77777777" w:rsidR="00CE3F64" w:rsidRPr="00BE73B0" w:rsidRDefault="00CE3F64" w:rsidP="00763F8D">
            <w:pPr>
              <w:pStyle w:val="TableText"/>
              <w:ind w:right="0"/>
              <w:jc w:val="both"/>
            </w:pPr>
            <w:r w:rsidRPr="00BE73B0">
              <w:rPr>
                <w:rtl/>
              </w:rPr>
              <w:t>1א.</w:t>
            </w:r>
          </w:p>
        </w:tc>
        <w:tc>
          <w:tcPr>
            <w:tcW w:w="4647" w:type="dxa"/>
          </w:tcPr>
          <w:p w14:paraId="42F538A2" w14:textId="77777777" w:rsidR="00CE3F64" w:rsidRPr="003E3057" w:rsidRDefault="00CE3F64" w:rsidP="00763F8D">
            <w:pPr>
              <w:pStyle w:val="TableBlock"/>
            </w:pPr>
            <w:r>
              <w:rPr>
                <w:rtl/>
              </w:rPr>
              <w:t>(א)</w:t>
            </w:r>
            <w:r>
              <w:rPr>
                <w:rtl/>
              </w:rPr>
              <w:tab/>
            </w:r>
            <w:r w:rsidRPr="003E3057">
              <w:rPr>
                <w:rtl/>
              </w:rPr>
              <w:t>לפני תחילת חקירת חשוד יבהיר חוקר לחשוד, ככל הניתן בנסיבות הענ</w:t>
            </w:r>
            <w:r>
              <w:rPr>
                <w:rtl/>
              </w:rPr>
              <w:t>י</w:t>
            </w:r>
            <w:r w:rsidRPr="003E3057">
              <w:rPr>
                <w:rtl/>
              </w:rPr>
              <w:t>ין</w:t>
            </w:r>
            <w:r>
              <w:rPr>
                <w:rtl/>
              </w:rPr>
              <w:t>,</w:t>
            </w:r>
            <w:r w:rsidRPr="003E3057">
              <w:rPr>
                <w:rtl/>
              </w:rPr>
              <w:t xml:space="preserve"> בשפה אשר אותה הוא דובר, את עיקרי העובדות בדבר החשד המיוחס לו וכן ימסור לו </w:t>
            </w:r>
            <w:r>
              <w:rPr>
                <w:rtl/>
              </w:rPr>
              <w:t xml:space="preserve">בעל פה </w:t>
            </w:r>
            <w:r w:rsidRPr="003E3057">
              <w:rPr>
                <w:rtl/>
              </w:rPr>
              <w:t xml:space="preserve">הודעה בנוסח הבא: "זכותך לא לומר דבר, דבריך יתועדו ועשויים לשמש כראיה בבית משפט, ואולם דע כי בית </w:t>
            </w:r>
            <w:r>
              <w:rPr>
                <w:rtl/>
              </w:rPr>
              <w:t>משפט יוכל להביא בחשבון את שתיקתך</w:t>
            </w:r>
            <w:r w:rsidRPr="003E3057">
              <w:rPr>
                <w:rtl/>
              </w:rPr>
              <w:t>. זכותך להיוועץ בעורך דין לפני חקירתך, בכפוף למגבלות הקבועות בחוק, וזכותך להיוועץ ב</w:t>
            </w:r>
            <w:r>
              <w:rPr>
                <w:rtl/>
              </w:rPr>
              <w:t>סניגור ציבורי אם אתה חסר אמצעים או</w:t>
            </w:r>
            <w:r w:rsidRPr="003E3057">
              <w:rPr>
                <w:rtl/>
              </w:rPr>
              <w:t xml:space="preserve"> זכאי לכך על פי החוק</w:t>
            </w:r>
            <w:r>
              <w:rPr>
                <w:rFonts w:hint="cs"/>
                <w:rtl/>
              </w:rPr>
              <w:t>;</w:t>
            </w:r>
            <w:r>
              <w:rPr>
                <w:rtl/>
              </w:rPr>
              <w:t xml:space="preserve"> זכויות אלה להן אתה זכאי וזכויות נוספות מפורטות בדף שזכותך להחזיק בו</w:t>
            </w:r>
            <w:r w:rsidRPr="003E3057">
              <w:rPr>
                <w:rtl/>
              </w:rPr>
              <w:t>" (בסעיף זה –</w:t>
            </w:r>
            <w:r>
              <w:rPr>
                <w:rtl/>
              </w:rPr>
              <w:t xml:space="preserve"> </w:t>
            </w:r>
            <w:r w:rsidRPr="003E3057">
              <w:rPr>
                <w:rtl/>
              </w:rPr>
              <w:t>הודעה</w:t>
            </w:r>
            <w:r>
              <w:rPr>
                <w:rtl/>
              </w:rPr>
              <w:t xml:space="preserve"> בעל פה</w:t>
            </w:r>
            <w:r w:rsidRPr="003E3057">
              <w:rPr>
                <w:rtl/>
              </w:rPr>
              <w:t>).</w:t>
            </w:r>
          </w:p>
        </w:tc>
      </w:tr>
      <w:tr w:rsidR="00CE3F64" w14:paraId="6365810D" w14:textId="77777777" w:rsidTr="00763F8D">
        <w:trPr>
          <w:cantSplit/>
        </w:trPr>
        <w:tc>
          <w:tcPr>
            <w:tcW w:w="1871" w:type="dxa"/>
          </w:tcPr>
          <w:p w14:paraId="60C05EE6" w14:textId="77777777" w:rsidR="00CE3F64" w:rsidRDefault="00CE3F64" w:rsidP="00763F8D">
            <w:pPr>
              <w:pStyle w:val="TableSideHeading"/>
            </w:pPr>
          </w:p>
        </w:tc>
        <w:tc>
          <w:tcPr>
            <w:tcW w:w="624" w:type="dxa"/>
          </w:tcPr>
          <w:p w14:paraId="4F05966A" w14:textId="77777777" w:rsidR="00CE3F64" w:rsidRDefault="00CE3F64" w:rsidP="00763F8D">
            <w:pPr>
              <w:pStyle w:val="TableText"/>
            </w:pPr>
          </w:p>
        </w:tc>
        <w:tc>
          <w:tcPr>
            <w:tcW w:w="624" w:type="dxa"/>
          </w:tcPr>
          <w:p w14:paraId="246839D3" w14:textId="77777777" w:rsidR="00CE3F64" w:rsidRDefault="00CE3F64" w:rsidP="00763F8D">
            <w:pPr>
              <w:pStyle w:val="TableText"/>
            </w:pPr>
          </w:p>
        </w:tc>
        <w:tc>
          <w:tcPr>
            <w:tcW w:w="624" w:type="dxa"/>
          </w:tcPr>
          <w:p w14:paraId="4D7F1AE9" w14:textId="77777777" w:rsidR="00CE3F64" w:rsidRDefault="00CE3F64" w:rsidP="00763F8D">
            <w:pPr>
              <w:pStyle w:val="TableText"/>
            </w:pPr>
          </w:p>
        </w:tc>
        <w:tc>
          <w:tcPr>
            <w:tcW w:w="624" w:type="dxa"/>
          </w:tcPr>
          <w:p w14:paraId="20382C85" w14:textId="77777777" w:rsidR="00CE3F64" w:rsidRDefault="00CE3F64" w:rsidP="00763F8D">
            <w:pPr>
              <w:pStyle w:val="TableText"/>
            </w:pPr>
          </w:p>
        </w:tc>
        <w:tc>
          <w:tcPr>
            <w:tcW w:w="624" w:type="dxa"/>
          </w:tcPr>
          <w:p w14:paraId="2610B5EC" w14:textId="77777777" w:rsidR="00CE3F64" w:rsidRDefault="00CE3F64" w:rsidP="00763F8D">
            <w:pPr>
              <w:pStyle w:val="TableText"/>
            </w:pPr>
          </w:p>
        </w:tc>
        <w:tc>
          <w:tcPr>
            <w:tcW w:w="4647" w:type="dxa"/>
          </w:tcPr>
          <w:p w14:paraId="6A1FDCC6" w14:textId="77777777" w:rsidR="00CE3F64" w:rsidRDefault="00CE3F64" w:rsidP="00763F8D">
            <w:pPr>
              <w:pStyle w:val="TableBlock"/>
            </w:pPr>
            <w:r>
              <w:rPr>
                <w:rtl/>
              </w:rPr>
              <w:t>(ב)</w:t>
            </w:r>
            <w:r>
              <w:rPr>
                <w:rtl/>
              </w:rPr>
              <w:tab/>
              <w:t xml:space="preserve">בתום מסירת ההודעה בעל פה, ימסור חוקר לחשוד הודעה בכתב, </w:t>
            </w:r>
            <w:r w:rsidRPr="003E3057">
              <w:rPr>
                <w:rtl/>
              </w:rPr>
              <w:t>ככל הניתן בנסיבות העני</w:t>
            </w:r>
            <w:r>
              <w:rPr>
                <w:rtl/>
              </w:rPr>
              <w:t>י</w:t>
            </w:r>
            <w:r w:rsidRPr="003E3057">
              <w:rPr>
                <w:rtl/>
              </w:rPr>
              <w:t>ן</w:t>
            </w:r>
            <w:r>
              <w:rPr>
                <w:rtl/>
              </w:rPr>
              <w:t xml:space="preserve">, בשפה אשר אותה </w:t>
            </w:r>
            <w:r w:rsidRPr="003E3057">
              <w:rPr>
                <w:rtl/>
              </w:rPr>
              <w:t>דובר</w:t>
            </w:r>
            <w:r>
              <w:rPr>
                <w:rtl/>
              </w:rPr>
              <w:t xml:space="preserve"> החשוד, המפרטת את זכויותיו המנויות בסעיף קטן (א), ובנוסף לכך את עיקרי זכויותיו הנוגעות להליך החקירה ועיקרי סמכויותיה של הרשות החוקרת ביחס אליו (בסעיף זה – הודעה בכתב).   </w:t>
            </w:r>
          </w:p>
        </w:tc>
      </w:tr>
      <w:tr w:rsidR="00CE3F64" w14:paraId="5B5C8805" w14:textId="77777777" w:rsidTr="00763F8D">
        <w:trPr>
          <w:cantSplit/>
        </w:trPr>
        <w:tc>
          <w:tcPr>
            <w:tcW w:w="1871" w:type="dxa"/>
          </w:tcPr>
          <w:p w14:paraId="4814C9DB" w14:textId="77777777" w:rsidR="00CE3F64" w:rsidRDefault="00CE3F64" w:rsidP="00763F8D">
            <w:pPr>
              <w:pStyle w:val="TableSideHeading"/>
            </w:pPr>
          </w:p>
        </w:tc>
        <w:tc>
          <w:tcPr>
            <w:tcW w:w="624" w:type="dxa"/>
          </w:tcPr>
          <w:p w14:paraId="6090B33E" w14:textId="77777777" w:rsidR="00CE3F64" w:rsidRDefault="00CE3F64" w:rsidP="00763F8D">
            <w:pPr>
              <w:pStyle w:val="TableText"/>
            </w:pPr>
          </w:p>
        </w:tc>
        <w:tc>
          <w:tcPr>
            <w:tcW w:w="624" w:type="dxa"/>
          </w:tcPr>
          <w:p w14:paraId="2A3945D0" w14:textId="77777777" w:rsidR="00CE3F64" w:rsidRDefault="00CE3F64" w:rsidP="00763F8D">
            <w:pPr>
              <w:pStyle w:val="TableText"/>
            </w:pPr>
          </w:p>
        </w:tc>
        <w:tc>
          <w:tcPr>
            <w:tcW w:w="624" w:type="dxa"/>
          </w:tcPr>
          <w:p w14:paraId="723812CD" w14:textId="77777777" w:rsidR="00CE3F64" w:rsidRDefault="00CE3F64" w:rsidP="00763F8D">
            <w:pPr>
              <w:pStyle w:val="TableText"/>
            </w:pPr>
          </w:p>
        </w:tc>
        <w:tc>
          <w:tcPr>
            <w:tcW w:w="624" w:type="dxa"/>
          </w:tcPr>
          <w:p w14:paraId="6C36454C" w14:textId="77777777" w:rsidR="00CE3F64" w:rsidRDefault="00CE3F64" w:rsidP="00763F8D">
            <w:pPr>
              <w:pStyle w:val="TableText"/>
            </w:pPr>
          </w:p>
        </w:tc>
        <w:tc>
          <w:tcPr>
            <w:tcW w:w="624" w:type="dxa"/>
          </w:tcPr>
          <w:p w14:paraId="790D53FD" w14:textId="77777777" w:rsidR="00CE3F64" w:rsidRDefault="00CE3F64" w:rsidP="00763F8D">
            <w:pPr>
              <w:pStyle w:val="TableText"/>
            </w:pPr>
          </w:p>
        </w:tc>
        <w:tc>
          <w:tcPr>
            <w:tcW w:w="4647" w:type="dxa"/>
          </w:tcPr>
          <w:p w14:paraId="0F5C19F5" w14:textId="77777777" w:rsidR="00CE3F64" w:rsidRDefault="00CE3F64" w:rsidP="00763F8D">
            <w:pPr>
              <w:pStyle w:val="TableBlock"/>
              <w:rPr>
                <w:rtl/>
              </w:rPr>
            </w:pPr>
            <w:r>
              <w:rPr>
                <w:rtl/>
              </w:rPr>
              <w:t>(ג)</w:t>
            </w:r>
            <w:r>
              <w:rPr>
                <w:rtl/>
              </w:rPr>
              <w:tab/>
            </w:r>
            <w:r w:rsidRPr="003E3057">
              <w:rPr>
                <w:rtl/>
              </w:rPr>
              <w:t>הופסקה החקי</w:t>
            </w:r>
            <w:r>
              <w:rPr>
                <w:rtl/>
              </w:rPr>
              <w:t>רה, יחזור החוקר וימסור את ההודעות</w:t>
            </w:r>
            <w:r w:rsidRPr="003E3057">
              <w:rPr>
                <w:rtl/>
              </w:rPr>
              <w:t xml:space="preserve"> </w:t>
            </w:r>
            <w:r>
              <w:rPr>
                <w:rtl/>
              </w:rPr>
              <w:t>בעל פה ובכתב עם חידושה;</w:t>
            </w:r>
            <w:r w:rsidRPr="003E3057">
              <w:rPr>
                <w:rtl/>
              </w:rPr>
              <w:t xml:space="preserve"> חובה זו לא תחול על הפסקה שהתקיימה במהלך גביית אותה הודעה באותו יום.</w:t>
            </w:r>
          </w:p>
        </w:tc>
      </w:tr>
      <w:tr w:rsidR="00CE3F64" w14:paraId="7EEAED99" w14:textId="77777777" w:rsidTr="00763F8D">
        <w:trPr>
          <w:cantSplit/>
        </w:trPr>
        <w:tc>
          <w:tcPr>
            <w:tcW w:w="1871" w:type="dxa"/>
          </w:tcPr>
          <w:p w14:paraId="07DB149E" w14:textId="77777777" w:rsidR="00CE3F64" w:rsidRDefault="00CE3F64" w:rsidP="00763F8D">
            <w:pPr>
              <w:pStyle w:val="TableSideHeading"/>
            </w:pPr>
          </w:p>
        </w:tc>
        <w:tc>
          <w:tcPr>
            <w:tcW w:w="624" w:type="dxa"/>
          </w:tcPr>
          <w:p w14:paraId="7AB29AFB" w14:textId="77777777" w:rsidR="00CE3F64" w:rsidRDefault="00CE3F64" w:rsidP="00763F8D">
            <w:pPr>
              <w:pStyle w:val="TableText"/>
            </w:pPr>
          </w:p>
        </w:tc>
        <w:tc>
          <w:tcPr>
            <w:tcW w:w="624" w:type="dxa"/>
          </w:tcPr>
          <w:p w14:paraId="30F0881E" w14:textId="77777777" w:rsidR="00CE3F64" w:rsidRDefault="00CE3F64" w:rsidP="00763F8D">
            <w:pPr>
              <w:pStyle w:val="TableText"/>
            </w:pPr>
          </w:p>
        </w:tc>
        <w:tc>
          <w:tcPr>
            <w:tcW w:w="624" w:type="dxa"/>
          </w:tcPr>
          <w:p w14:paraId="16A2C72F" w14:textId="77777777" w:rsidR="00CE3F64" w:rsidRDefault="00CE3F64" w:rsidP="00763F8D">
            <w:pPr>
              <w:pStyle w:val="TableText"/>
            </w:pPr>
          </w:p>
        </w:tc>
        <w:tc>
          <w:tcPr>
            <w:tcW w:w="624" w:type="dxa"/>
          </w:tcPr>
          <w:p w14:paraId="7DC01935" w14:textId="77777777" w:rsidR="00CE3F64" w:rsidRDefault="00CE3F64" w:rsidP="00763F8D">
            <w:pPr>
              <w:pStyle w:val="TableText"/>
            </w:pPr>
          </w:p>
        </w:tc>
        <w:tc>
          <w:tcPr>
            <w:tcW w:w="624" w:type="dxa"/>
          </w:tcPr>
          <w:p w14:paraId="4D93FCDD" w14:textId="77777777" w:rsidR="00CE3F64" w:rsidRDefault="00CE3F64" w:rsidP="00763F8D">
            <w:pPr>
              <w:pStyle w:val="TableText"/>
            </w:pPr>
          </w:p>
        </w:tc>
        <w:tc>
          <w:tcPr>
            <w:tcW w:w="4647" w:type="dxa"/>
          </w:tcPr>
          <w:p w14:paraId="415898CE" w14:textId="77777777" w:rsidR="00CE3F64" w:rsidRDefault="00CE3F64" w:rsidP="00763F8D">
            <w:pPr>
              <w:pStyle w:val="TableBlock"/>
            </w:pPr>
            <w:r>
              <w:rPr>
                <w:rtl/>
              </w:rPr>
              <w:t>(ד)</w:t>
            </w:r>
            <w:r>
              <w:rPr>
                <w:rtl/>
              </w:rPr>
              <w:tab/>
            </w:r>
            <w:r w:rsidRPr="003E3057">
              <w:rPr>
                <w:rtl/>
              </w:rPr>
              <w:t>התגבש אצל החוקר, תוך כדי החקירה, חשד סביר שנח</w:t>
            </w:r>
            <w:r>
              <w:rPr>
                <w:rtl/>
              </w:rPr>
              <w:t>קר עבר עבירה, ימסור לו את ההודעות בעל פה ובכתב</w:t>
            </w:r>
            <w:r w:rsidRPr="003E3057">
              <w:rPr>
                <w:rtl/>
              </w:rPr>
              <w:t xml:space="preserve"> בהזדמנות הראשונה.</w:t>
            </w:r>
          </w:p>
        </w:tc>
      </w:tr>
      <w:tr w:rsidR="00CE3F64" w14:paraId="2E370BAC" w14:textId="77777777" w:rsidTr="00763F8D">
        <w:trPr>
          <w:cantSplit/>
        </w:trPr>
        <w:tc>
          <w:tcPr>
            <w:tcW w:w="1871" w:type="dxa"/>
          </w:tcPr>
          <w:p w14:paraId="15AA13D3" w14:textId="77777777" w:rsidR="00CE3F64" w:rsidRDefault="00CE3F64" w:rsidP="00763F8D">
            <w:pPr>
              <w:pStyle w:val="TableSideHeading"/>
            </w:pPr>
          </w:p>
        </w:tc>
        <w:tc>
          <w:tcPr>
            <w:tcW w:w="624" w:type="dxa"/>
          </w:tcPr>
          <w:p w14:paraId="38C74844" w14:textId="77777777" w:rsidR="00CE3F64" w:rsidRDefault="00CE3F64" w:rsidP="00763F8D">
            <w:pPr>
              <w:pStyle w:val="TableText"/>
            </w:pPr>
          </w:p>
        </w:tc>
        <w:tc>
          <w:tcPr>
            <w:tcW w:w="624" w:type="dxa"/>
          </w:tcPr>
          <w:p w14:paraId="502C1E89" w14:textId="77777777" w:rsidR="00CE3F64" w:rsidRDefault="00CE3F64" w:rsidP="00763F8D">
            <w:pPr>
              <w:pStyle w:val="TableText"/>
            </w:pPr>
          </w:p>
        </w:tc>
        <w:tc>
          <w:tcPr>
            <w:tcW w:w="624" w:type="dxa"/>
          </w:tcPr>
          <w:p w14:paraId="479C52B3" w14:textId="77777777" w:rsidR="00CE3F64" w:rsidRDefault="00CE3F64" w:rsidP="00763F8D">
            <w:pPr>
              <w:pStyle w:val="TableText"/>
            </w:pPr>
          </w:p>
        </w:tc>
        <w:tc>
          <w:tcPr>
            <w:tcW w:w="624" w:type="dxa"/>
          </w:tcPr>
          <w:p w14:paraId="531D6A34" w14:textId="77777777" w:rsidR="00CE3F64" w:rsidRDefault="00CE3F64" w:rsidP="00763F8D">
            <w:pPr>
              <w:pStyle w:val="TableText"/>
            </w:pPr>
          </w:p>
        </w:tc>
        <w:tc>
          <w:tcPr>
            <w:tcW w:w="624" w:type="dxa"/>
          </w:tcPr>
          <w:p w14:paraId="2A802A2E" w14:textId="77777777" w:rsidR="00CE3F64" w:rsidRDefault="00CE3F64" w:rsidP="00763F8D">
            <w:pPr>
              <w:pStyle w:val="TableText"/>
            </w:pPr>
          </w:p>
        </w:tc>
        <w:tc>
          <w:tcPr>
            <w:tcW w:w="4647" w:type="dxa"/>
          </w:tcPr>
          <w:p w14:paraId="11DEDFA9" w14:textId="77777777" w:rsidR="00CE3F64" w:rsidRPr="008C0B5C" w:rsidRDefault="00CE3F64" w:rsidP="00763F8D">
            <w:pPr>
              <w:pStyle w:val="TableBlock"/>
              <w:rPr>
                <w:rtl/>
              </w:rPr>
            </w:pPr>
            <w:r w:rsidRPr="008C0B5C">
              <w:rPr>
                <w:rtl/>
              </w:rPr>
              <w:t>(</w:t>
            </w:r>
            <w:r>
              <w:rPr>
                <w:rtl/>
              </w:rPr>
              <w:t>ה</w:t>
            </w:r>
            <w:r w:rsidRPr="008C0B5C">
              <w:rPr>
                <w:rtl/>
              </w:rPr>
              <w:t>)</w:t>
            </w:r>
            <w:r w:rsidRPr="008C0B5C">
              <w:rPr>
                <w:rtl/>
              </w:rPr>
              <w:tab/>
            </w:r>
            <w:r>
              <w:rPr>
                <w:rtl/>
              </w:rPr>
              <w:t>השר לביטחון הפנים,</w:t>
            </w:r>
            <w:r w:rsidRPr="008C0B5C">
              <w:rPr>
                <w:rtl/>
              </w:rPr>
              <w:t xml:space="preserve"> באישור ועדת הח</w:t>
            </w:r>
            <w:r>
              <w:rPr>
                <w:rtl/>
              </w:rPr>
              <w:t>וקה חוק ומשפט של הכנסת, יקבע את נוסח ה</w:t>
            </w:r>
            <w:r w:rsidRPr="008C0B5C">
              <w:rPr>
                <w:rtl/>
              </w:rPr>
              <w:t xml:space="preserve">הודעה בכתב האמורה בסעיף </w:t>
            </w:r>
            <w:r>
              <w:rPr>
                <w:rtl/>
              </w:rPr>
              <w:t xml:space="preserve">קטן </w:t>
            </w:r>
            <w:r w:rsidRPr="008C0B5C">
              <w:rPr>
                <w:rtl/>
              </w:rPr>
              <w:t>(ב)</w:t>
            </w:r>
            <w:r>
              <w:rPr>
                <w:rtl/>
              </w:rPr>
              <w:t xml:space="preserve"> וכללים לפרסומה בתחנות המשטרה."</w:t>
            </w:r>
          </w:p>
        </w:tc>
      </w:tr>
    </w:tbl>
    <w:p w14:paraId="10C77E95" w14:textId="77777777" w:rsidR="00CE3F64" w:rsidRDefault="00CE3F64" w:rsidP="00CE3F64">
      <w:pPr>
        <w:pStyle w:val="HeadDivreiHesber"/>
        <w:rPr>
          <w:rtl/>
        </w:rPr>
      </w:pPr>
      <w:r w:rsidRPr="0027450A">
        <w:rPr>
          <w:rFonts w:hint="cs"/>
          <w:rtl/>
        </w:rPr>
        <w:t>דברי הסבר</w:t>
      </w:r>
    </w:p>
    <w:p w14:paraId="504FDD57" w14:textId="77777777" w:rsidR="00CE3F64" w:rsidRPr="00BE73B0" w:rsidRDefault="00CE3F64" w:rsidP="00CE3F64">
      <w:pPr>
        <w:pStyle w:val="Hesber"/>
        <w:rPr>
          <w:rtl/>
        </w:rPr>
      </w:pPr>
      <w:r w:rsidRPr="00BE73B0">
        <w:rPr>
          <w:rtl/>
        </w:rPr>
        <w:t>שלביו השונים של ההליך הפלי</w:t>
      </w:r>
      <w:r>
        <w:rPr>
          <w:rtl/>
        </w:rPr>
        <w:t>לי, החל משלב החקירה הפלילית, ע</w:t>
      </w:r>
      <w:r>
        <w:rPr>
          <w:rFonts w:hint="cs"/>
          <w:rtl/>
        </w:rPr>
        <w:t>ו</w:t>
      </w:r>
      <w:r>
        <w:rPr>
          <w:rtl/>
        </w:rPr>
        <w:t>ב</w:t>
      </w:r>
      <w:r w:rsidRPr="00BE73B0">
        <w:rPr>
          <w:rtl/>
        </w:rPr>
        <w:t>ר בניהול המשפט וכלה בענישה, מחייבים איזון מתמיד בין השימוש</w:t>
      </w:r>
      <w:r>
        <w:rPr>
          <w:rtl/>
        </w:rPr>
        <w:t xml:space="preserve"> בכוח השלטוני הנדרש לאכיפת החוק</w:t>
      </w:r>
      <w:r w:rsidRPr="00BE73B0">
        <w:rPr>
          <w:rtl/>
        </w:rPr>
        <w:t xml:space="preserve"> לבין ההגנה על זכויות היסוד של החשוד, הנאשם והאסיר. איזון זה מבטיח הן את ההגנה הראויה על זכויות האדם והן את שמירת הלגיטימיות הציבורית של ההליך הפלילי כולו. </w:t>
      </w:r>
    </w:p>
    <w:p w14:paraId="22EB29D3" w14:textId="77777777" w:rsidR="00CE3F64" w:rsidRPr="00BE73B0" w:rsidRDefault="00CE3F64" w:rsidP="00CE3F64">
      <w:pPr>
        <w:pStyle w:val="Hesber"/>
        <w:rPr>
          <w:rtl/>
        </w:rPr>
      </w:pPr>
      <w:r w:rsidRPr="00BE73B0">
        <w:rPr>
          <w:rtl/>
        </w:rPr>
        <w:t>החובה לאזן בין הצורך הציבורי להילחם בפשיעה לבין שמירה על זכויות הפרט יוצרת מתח פנימי מובנה ונוסחת ההפעלה המאזנת בין הערכים השונים משתנה ממקום למקום ומזמן לזמן. בשנים האחרונות שיט</w:t>
      </w:r>
      <w:r>
        <w:rPr>
          <w:rtl/>
        </w:rPr>
        <w:t xml:space="preserve">ות משפט רבות הפנימו את העיקרון </w:t>
      </w:r>
      <w:r w:rsidRPr="00BE73B0">
        <w:rPr>
          <w:rtl/>
        </w:rPr>
        <w:t>לפיו היכרותו של החשוד עם זכויותיו משמשת תנאי סף לשמירתן של אלה, שכן מי שאינו מודע לקיומה של זכות, לעולם לא יוכל לנסות ולממש אותה.</w:t>
      </w:r>
    </w:p>
    <w:p w14:paraId="32B0479D" w14:textId="77777777" w:rsidR="00CE3F64" w:rsidRPr="00BE73B0" w:rsidRDefault="00CE3F64" w:rsidP="00CE3F64">
      <w:pPr>
        <w:pStyle w:val="Hesber"/>
        <w:rPr>
          <w:rtl/>
        </w:rPr>
      </w:pPr>
      <w:r>
        <w:rPr>
          <w:rtl/>
        </w:rPr>
        <w:t>בשנת 2012</w:t>
      </w:r>
      <w:r w:rsidRPr="00BE73B0">
        <w:rPr>
          <w:rtl/>
        </w:rPr>
        <w:t xml:space="preserve"> ניסחה מועצת האיחוד האירופי יחד עם הפרלמנט האירופי דירקטיבה הקובעת את החובות המינימאליות של המדינות החברות באיחוד האירופי בכל הנוגע ליידוע חשודים ונאשמים בדבר הזכויות הפרוצדוראליות המגיעות להם. הוראה זו, המחייבת כאמור את כלל המדינות באירופה</w:t>
      </w:r>
      <w:r>
        <w:rPr>
          <w:rFonts w:hint="cs"/>
          <w:rtl/>
        </w:rPr>
        <w:t>,</w:t>
      </w:r>
      <w:r w:rsidRPr="00BE73B0">
        <w:rPr>
          <w:rtl/>
        </w:rPr>
        <w:t xml:space="preserve"> קובעת כי על המדינות לספק לחשוד מידע בדבר קיומן של חמש זכויות: הזכות להיוועץ בעורך דין; הזכות לקבל סיוע משפטי והתנאים לקבלתו של סיוע שכזה; הזכות לקבל מידע בהיר ומובן בכל הנוגע לאישומים או לחשדות המועלים נגד החשוד; הזכות לקבל הסברים ותרגום של מידע הנוגע להליך הפלילי; זכות השתיקה. כן קובעת הדירקטיבה שאת המידע יש לספק לחשוד בעל פה או בכתב, בשפה פשוטה ונגישה, בהתחשב בצרכיו הייחודיים של חשוד או נאשם פגיע וכי לחשוד הנתון במעצר יש לספק כתב זכויות, לתת ל</w:t>
      </w:r>
      <w:r>
        <w:rPr>
          <w:rtl/>
        </w:rPr>
        <w:t>ו הזדמנות לקרוא ולהבין את תוכנו</w:t>
      </w:r>
      <w:r w:rsidRPr="00BE73B0">
        <w:rPr>
          <w:rtl/>
        </w:rPr>
        <w:t xml:space="preserve"> ולאפשר לו לשמור את כתב הזכויות בחזקתו במשך כל תקופת המעצר.</w:t>
      </w:r>
    </w:p>
    <w:p w14:paraId="2FB82236" w14:textId="77777777" w:rsidR="00CE3F64" w:rsidRPr="00BE73B0" w:rsidRDefault="00CE3F64" w:rsidP="00CE3F64">
      <w:pPr>
        <w:pStyle w:val="Hesber"/>
        <w:rPr>
          <w:rtl/>
        </w:rPr>
      </w:pPr>
      <w:r w:rsidRPr="00BE73B0">
        <w:rPr>
          <w:rtl/>
        </w:rPr>
        <w:t xml:space="preserve">על פי הדירקטיבה האירופאית, על המדינות החברות לאמץ הסדרי חקיקה מדינתיים לשם אימוץ הוראות הדירקטיבה עד לתחילת יוני 2014 ולמעשה כבר היום, ברוב מדינות האיחוד האירופי מקובל ליידע חשודים על זכויותיהם באמצעות מסמך כתוב. במדינות כמו איטליה, גרמניה, הולנד סקוטלנד ופולין, החובה ליידע את החשוד על זכויותיו באמצעות כתב זכויות המוגש לעיונו של החשוד מוסדרת כבר היום בחקיקה ראשית קיימת, או כזו שעומדת המוסדרת בימים אלה באמצעות הליך חקיקה. </w:t>
      </w:r>
    </w:p>
    <w:p w14:paraId="460532BB" w14:textId="77777777" w:rsidR="00CE3F64" w:rsidRPr="00BE73B0" w:rsidRDefault="00CE3F64" w:rsidP="00CE3F64">
      <w:pPr>
        <w:pStyle w:val="Hesber"/>
        <w:rPr>
          <w:rtl/>
        </w:rPr>
      </w:pPr>
      <w:r w:rsidRPr="00BE73B0">
        <w:rPr>
          <w:rtl/>
        </w:rPr>
        <w:t xml:space="preserve">העיקרון המגולם בזכותו של החשוד לקבל לידיו מסמך כתוב, ואשר עומד בפני שיטות משפט אלה,  </w:t>
      </w:r>
      <w:r w:rsidRPr="00BE73B0">
        <w:rPr>
          <w:rtl/>
        </w:rPr>
        <w:lastRenderedPageBreak/>
        <w:t>הוא שרק בדרך זו יוצאת הרשות החוקרת ידי חובת יידוע החשוד בדבר זכויותיו, באופן שלם ואמיתי. הודעה חד פעמית הנמסרת לחשוד בעל פה, בזמן שזה נתון במצב נפשי קשה בשל החקירה המתקיימת נגדו ומבקשת להביא להרשעתו</w:t>
      </w:r>
      <w:r>
        <w:rPr>
          <w:rFonts w:hint="cs"/>
          <w:rtl/>
        </w:rPr>
        <w:t>,</w:t>
      </w:r>
      <w:r w:rsidRPr="00BE73B0">
        <w:rPr>
          <w:rtl/>
        </w:rPr>
        <w:t xml:space="preserve"> אינה יכולה להיחשב להודעה אפקטיבית וחייבת להיות מלווה בהודעה כתובה.  </w:t>
      </w:r>
    </w:p>
    <w:p w14:paraId="507803DA" w14:textId="77777777" w:rsidR="00CE3F64" w:rsidRPr="00BE73B0" w:rsidRDefault="00CE3F64" w:rsidP="00CE3F64">
      <w:pPr>
        <w:pStyle w:val="Hesber"/>
        <w:rPr>
          <w:rtl/>
        </w:rPr>
      </w:pPr>
      <w:r w:rsidRPr="00BE73B0">
        <w:rPr>
          <w:rtl/>
        </w:rPr>
        <w:t xml:space="preserve">רק כאשר מסמך כתוב נותר בידי החשוד קיימת אפשרות ממשית עבור החשוד לעיין בו, ללמוד את האמור בו ולהבין את זכויותיו וחובותיו. </w:t>
      </w:r>
    </w:p>
    <w:p w14:paraId="2738ACD2" w14:textId="77777777" w:rsidR="00CE3F64" w:rsidRPr="00BE73B0" w:rsidRDefault="00CE3F64" w:rsidP="00CE3F64">
      <w:pPr>
        <w:pStyle w:val="Hesber"/>
        <w:rPr>
          <w:rtl/>
        </w:rPr>
      </w:pPr>
      <w:r w:rsidRPr="00BE73B0">
        <w:rPr>
          <w:rtl/>
        </w:rPr>
        <w:t xml:space="preserve">בישראל, לעומת זאת, ההסדר הסטטוטורי הנוגע ליידוע החשוד בדבר זכויותיו, לוקה בחסר. הוא נוגע להיקף קטן יחסית של זכויות ומגן על מימושן בצורה שאינה מספקת. כך למשל, החובה ליידע אזרח החשוד בביצוע עבירה על זכותו לשתוק בחקירה נלמדת מכוחה של הפסיקה בלבד ולא מכוחו של הסדר סטטוטורי. זכותו של חשוד לקבל סיוע משפטי נקבעה אומנם בסעיף 19 לחוק הסנגוריה הציבורית, התשנ"ה–1995, ולפיו "נעצר אדם והובא לתחנת משטרה או למתקן של רשות חוקרת על פי דין, או שהוא חשוד בביצוע עבירה, יודיע לו הממונה על התחנה או על החקירה, בהקדם האפשרי, כי באפשרותו לבקש מינוי סנגור ציבורי אם הוא זכאי לכך לפי חוק זה", אלא שנוסח זה נמסר לחשוד בעל פה ולא בכתב, עניין שיש בו כדי לפגוע באפקטיביות ההודעה. </w:t>
      </w:r>
    </w:p>
    <w:p w14:paraId="444AB9F9" w14:textId="77777777" w:rsidR="00CE3F64" w:rsidRPr="00BE73B0" w:rsidRDefault="00CE3F64" w:rsidP="00CE3F64">
      <w:pPr>
        <w:pStyle w:val="Hesber"/>
        <w:rPr>
          <w:rtl/>
        </w:rPr>
      </w:pPr>
      <w:r w:rsidRPr="00BE73B0">
        <w:rPr>
          <w:rtl/>
        </w:rPr>
        <w:t xml:space="preserve">אמנם, בשנת 2002 נחקק חוק סדר הדין הפלילי (חקירת חשודים), התשס"ב–2002, ונקבע בו כי "השר לביטחון הפנים, בהתייעצות עם שר המשפטים ובאישור ועדת החוקה חוק ומשפט של הכנסת, יקבע כללים לעניין ניהול חקירת חשוד, ובכלל זה חובות ואיסורים המוטלים על חוקר משטרה ודרכי פיקוח על קיומם של כללים החלים על חקירת חשוד", ואולם, כללים כאמור מעולם לא הותקנו. הסדר לקוי זה פוגע אנושות בזכותו של החשוד להליך הוגן, עניין שיש בו כדי להגביר את סיכויי הרשעתו ושלילת חירותו, וכן פוגע הוא בכבודו של החשוד ובאוטונומיה האישית שלו בשעה שהפגיעה בזכויותיו נעשית בלי שהוא כלל מודע לסמכויותיה של המשטרה וליכולת שלו לדרוש כי הליך החקירה יתקיים על פי הקבוע חוק. </w:t>
      </w:r>
    </w:p>
    <w:p w14:paraId="01CD5C74" w14:textId="77777777" w:rsidR="00CE3F64" w:rsidRPr="00BE73B0" w:rsidRDefault="00CE3F64" w:rsidP="00CE3F64">
      <w:pPr>
        <w:pStyle w:val="Hesber"/>
        <w:rPr>
          <w:rtl/>
        </w:rPr>
      </w:pPr>
      <w:r w:rsidRPr="00BE73B0">
        <w:rPr>
          <w:rtl/>
        </w:rPr>
        <w:t>הצעת החוק מבקשת לקבוע בחקיקה ראשית את ההסדר הסטטוטורי המחייב את הרשות החוקרת למסור לחשוד בביצוע עבירה הודעה בעל פה ובכתב. על פי ההצעה</w:t>
      </w:r>
      <w:r>
        <w:rPr>
          <w:rFonts w:hint="cs"/>
          <w:rtl/>
        </w:rPr>
        <w:t>,</w:t>
      </w:r>
      <w:r w:rsidRPr="00BE73B0">
        <w:rPr>
          <w:rtl/>
        </w:rPr>
        <w:t xml:space="preserve"> המידע הבסיסי בדבר זכותו של חשוד לשתיקה ו</w:t>
      </w:r>
      <w:r>
        <w:rPr>
          <w:rFonts w:hint="cs"/>
          <w:rtl/>
        </w:rPr>
        <w:t>ל</w:t>
      </w:r>
      <w:r w:rsidRPr="00BE73B0">
        <w:rPr>
          <w:rtl/>
        </w:rPr>
        <w:t xml:space="preserve">היוועצות בעורך דין, לרבות היוועצות בעורך דין מטעם הסניגוריה הציבורית, יימסר לחשוד בעל פה לפני תחילת חקירתו בנוסח שנקבע בחוק. זכויות אישיות נוספות העומדות לחשוד בזמן הליך החקירה כגון הזכות לשינה, </w:t>
      </w:r>
      <w:r>
        <w:rPr>
          <w:rFonts w:hint="cs"/>
          <w:rtl/>
        </w:rPr>
        <w:t>ל</w:t>
      </w:r>
      <w:r w:rsidRPr="00BE73B0">
        <w:rPr>
          <w:rtl/>
        </w:rPr>
        <w:t xml:space="preserve">מזון, </w:t>
      </w:r>
      <w:r>
        <w:rPr>
          <w:rFonts w:hint="cs"/>
          <w:rtl/>
        </w:rPr>
        <w:t>ל</w:t>
      </w:r>
      <w:r w:rsidRPr="00BE73B0">
        <w:rPr>
          <w:rtl/>
        </w:rPr>
        <w:t xml:space="preserve">מפגש עם קרוב משפחתו וכדומה, כמו גם סמכויות המשטרה ביחס אליו, יימסרו לחשוד במסמך כתוב שימנה אותן לצד אותן הזכויות שנמסרו לחשוד בהודעה בעל פה. נוסח ההודעה שבכתב ייקבע על ידי השר לביטחון הפנים ויאושר על ידי ועדת החוקה, חוק ומשפט של הכנסת. בנוסף לכתב הזכויות שיימסר על גבי נייר לכל חשוד, יקבע השר כללים לפרסומו של נוסח זה בתחנות המשטרה כך שעם הגעתו של חשוד לתחומה של הרשות החוקרת יוכל ללמוד על זכויותיו וחובותיו במהלך חקירתו העתידית. </w:t>
      </w:r>
    </w:p>
    <w:p w14:paraId="3E607D32" w14:textId="4795DB7D" w:rsidR="00CE3F64" w:rsidRDefault="00CE3F64" w:rsidP="00B50FCD">
      <w:pPr>
        <w:pStyle w:val="Hesber"/>
        <w:rPr>
          <w:rFonts w:hint="cs"/>
          <w:rtl/>
        </w:rPr>
      </w:pPr>
      <w:r w:rsidRPr="00BE73B0">
        <w:rPr>
          <w:rtl/>
        </w:rPr>
        <w:t>הצע</w:t>
      </w:r>
      <w:r>
        <w:rPr>
          <w:rFonts w:hint="cs"/>
          <w:rtl/>
        </w:rPr>
        <w:t>ו</w:t>
      </w:r>
      <w:r w:rsidRPr="00BE73B0">
        <w:rPr>
          <w:rtl/>
        </w:rPr>
        <w:t>ת חוק זה</w:t>
      </w:r>
      <w:r>
        <w:rPr>
          <w:rFonts w:hint="cs"/>
          <w:rtl/>
        </w:rPr>
        <w:t>ות</w:t>
      </w:r>
      <w:r w:rsidRPr="00BE73B0">
        <w:rPr>
          <w:rtl/>
        </w:rPr>
        <w:t xml:space="preserve"> הונח</w:t>
      </w:r>
      <w:r>
        <w:rPr>
          <w:rFonts w:hint="cs"/>
          <w:rtl/>
        </w:rPr>
        <w:t>ו</w:t>
      </w:r>
      <w:r w:rsidRPr="00BE73B0">
        <w:rPr>
          <w:rtl/>
        </w:rPr>
        <w:t xml:space="preserve"> על שולחן הכנסת ה</w:t>
      </w:r>
      <w:r w:rsidRPr="00BE73B0">
        <w:rPr>
          <w:rFonts w:hint="cs"/>
          <w:rtl/>
        </w:rPr>
        <w:t>תשע</w:t>
      </w:r>
      <w:r w:rsidRPr="00BE73B0">
        <w:rPr>
          <w:rtl/>
        </w:rPr>
        <w:t>-עשרה על ידי חבר</w:t>
      </w:r>
      <w:r w:rsidRPr="00BE73B0">
        <w:rPr>
          <w:rFonts w:hint="cs"/>
          <w:rtl/>
        </w:rPr>
        <w:t>ת</w:t>
      </w:r>
      <w:r w:rsidRPr="00BE73B0">
        <w:rPr>
          <w:rtl/>
        </w:rPr>
        <w:t xml:space="preserve"> הכנסת</w:t>
      </w:r>
      <w:r w:rsidRPr="00BE73B0">
        <w:rPr>
          <w:rFonts w:hint="cs"/>
          <w:rtl/>
        </w:rPr>
        <w:t xml:space="preserve"> אורית</w:t>
      </w:r>
      <w:r w:rsidRPr="00BE73B0">
        <w:rPr>
          <w:rtl/>
        </w:rPr>
        <w:t xml:space="preserve"> </w:t>
      </w:r>
      <w:r w:rsidRPr="00BE73B0">
        <w:rPr>
          <w:rFonts w:hint="cs"/>
          <w:rtl/>
        </w:rPr>
        <w:t xml:space="preserve">סטרוק וקבוצת </w:t>
      </w:r>
      <w:r w:rsidRPr="00B50FCD">
        <w:rPr>
          <w:rFonts w:hint="cs"/>
          <w:rtl/>
        </w:rPr>
        <w:t>חברי הכנסת (פ</w:t>
      </w:r>
      <w:r w:rsidRPr="00B50FCD">
        <w:rPr>
          <w:rtl/>
        </w:rPr>
        <w:t>/1891/19</w:t>
      </w:r>
      <w:r w:rsidRPr="00B50FCD">
        <w:rPr>
          <w:rFonts w:hint="cs"/>
          <w:rtl/>
        </w:rPr>
        <w:t>) ועל שולחן הכנסת העשרים על ידי חברת הכנסת מרב מיכאלי (פ/</w:t>
      </w:r>
      <w:r w:rsidR="00B50FCD" w:rsidRPr="00B50FCD">
        <w:rPr>
          <w:rFonts w:hint="cs"/>
          <w:rtl/>
        </w:rPr>
        <w:t>620/20</w:t>
      </w:r>
      <w:r w:rsidRPr="00B50FCD">
        <w:rPr>
          <w:rFonts w:hint="cs"/>
          <w:rtl/>
        </w:rPr>
        <w:t>) ועל ידי חבר הכנסת דב חנין (פ/</w:t>
      </w:r>
      <w:r w:rsidR="00B50FCD" w:rsidRPr="00B50FCD">
        <w:rPr>
          <w:rFonts w:hint="cs"/>
          <w:rtl/>
        </w:rPr>
        <w:t>622/20</w:t>
      </w:r>
      <w:r w:rsidRPr="00B50FCD">
        <w:rPr>
          <w:rFonts w:hint="cs"/>
          <w:rtl/>
        </w:rPr>
        <w:t>).</w:t>
      </w:r>
    </w:p>
    <w:p w14:paraId="0137C5FD" w14:textId="77777777" w:rsidR="00B50FCD" w:rsidRDefault="00B50FCD" w:rsidP="00B50FCD">
      <w:pPr>
        <w:pStyle w:val="Hesber"/>
        <w:spacing w:line="240" w:lineRule="auto"/>
      </w:pPr>
      <w:r>
        <w:rPr>
          <w:rFonts w:hint="cs"/>
          <w:rtl/>
        </w:rPr>
        <w:t>---------------------------------</w:t>
      </w:r>
    </w:p>
    <w:p w14:paraId="53B32E63" w14:textId="77777777" w:rsidR="00B50FCD" w:rsidRDefault="00B50FCD" w:rsidP="00B50FCD">
      <w:pPr>
        <w:spacing w:before="0" w:line="240" w:lineRule="auto"/>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הוגשה ליו"ר הכנסת והסגנים</w:t>
      </w:r>
    </w:p>
    <w:p w14:paraId="1C075DA4" w14:textId="77777777" w:rsidR="00B50FCD" w:rsidRDefault="00B50FCD" w:rsidP="00B50FCD">
      <w:pPr>
        <w:spacing w:line="240" w:lineRule="auto"/>
        <w:ind w:left="340" w:firstLine="0"/>
        <w:rPr>
          <w:rFonts w:ascii="Arial" w:eastAsia="Arial Unicode MS" w:hAnsi="Arial" w:cs="David" w:hint="cs"/>
          <w:snapToGrid w:val="0"/>
          <w:spacing w:val="0"/>
          <w:sz w:val="20"/>
          <w:szCs w:val="26"/>
          <w:rtl/>
        </w:rPr>
      </w:pPr>
      <w:r>
        <w:rPr>
          <w:rFonts w:ascii="Arial" w:eastAsia="Arial Unicode MS" w:hAnsi="Arial" w:cs="David" w:hint="cs"/>
          <w:snapToGrid w:val="0"/>
          <w:spacing w:val="0"/>
          <w:sz w:val="20"/>
          <w:szCs w:val="26"/>
          <w:rtl/>
        </w:rPr>
        <w:t>והונחה על שולחן הכנסת ביום</w:t>
      </w:r>
    </w:p>
    <w:p w14:paraId="7F6961AE" w14:textId="35D47498" w:rsidR="00E13C27" w:rsidRPr="00B50FCD" w:rsidRDefault="00B50FCD" w:rsidP="00B50FCD">
      <w:pPr>
        <w:spacing w:line="240" w:lineRule="auto"/>
        <w:ind w:left="340" w:firstLine="0"/>
        <w:rPr>
          <w:rtl/>
        </w:rPr>
      </w:pPr>
      <w:r>
        <w:rPr>
          <w:rFonts w:ascii="Arial" w:eastAsia="Arial Unicode MS" w:hAnsi="Arial" w:cs="David" w:hint="cs"/>
          <w:snapToGrid w:val="0"/>
          <w:spacing w:val="0"/>
          <w:sz w:val="20"/>
          <w:szCs w:val="26"/>
          <w:rtl/>
        </w:rPr>
        <w:t>כ"ב באייר התשע"ה – 11.5.15</w:t>
      </w:r>
      <w:bookmarkStart w:id="8" w:name="_GoBack"/>
      <w:bookmarkEnd w:id="8"/>
    </w:p>
    <w:sectPr w:rsidR="00E13C27" w:rsidRPr="00B50FCD" w:rsidSect="00B50FCD">
      <w:footerReference w:type="even" r:id="rId12"/>
      <w:footerReference w:type="default" r:id="rId13"/>
      <w:pgSz w:w="11907" w:h="16840" w:code="9"/>
      <w:pgMar w:top="993" w:right="1134" w:bottom="851" w:left="1134" w:header="680" w:footer="680" w:gutter="0"/>
      <w:cols w:space="720"/>
      <w:noEndnote/>
      <w:titlePg/>
      <w:bidi/>
      <w:rtlGutter/>
      <w:docGrid w:linePitch="23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6961D3" w14:textId="77777777" w:rsidR="00C23B1A" w:rsidRDefault="00C23B1A">
      <w:r>
        <w:separator/>
      </w:r>
    </w:p>
  </w:endnote>
  <w:endnote w:type="continuationSeparator" w:id="0">
    <w:p w14:paraId="7F6961D4" w14:textId="77777777" w:rsidR="00C23B1A" w:rsidRDefault="00C23B1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0000012" w:usb3="00000000" w:csb0="0002009F" w:csb1="00000000"/>
  </w:font>
  <w:font w:name="Hadasa Roso SL">
    <w:altName w:val="Times New Roman"/>
    <w:charset w:val="00"/>
    <w:family w:val="roman"/>
    <w:pitch w:val="variable"/>
    <w:sig w:usb0="80001827" w:usb1="5000004A" w:usb2="00000020" w:usb3="00000000" w:csb0="00000021"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David">
    <w:panose1 w:val="020E0502060401010101"/>
    <w:charset w:val="B1"/>
    <w:family w:val="swiss"/>
    <w:pitch w:val="variable"/>
    <w:sig w:usb0="00000801" w:usb1="00000000" w:usb2="00000000" w:usb3="00000000" w:csb0="0000002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5"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end"/>
    </w:r>
  </w:p>
  <w:p w14:paraId="7F6961D6" w14:textId="77777777" w:rsidR="001A0623" w:rsidRDefault="001A0623">
    <w:pPr>
      <w:pStyle w:val="a9"/>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F6961D7" w14:textId="77777777" w:rsidR="001A0623" w:rsidRDefault="001A0623" w:rsidP="001207F8">
    <w:pPr>
      <w:pStyle w:val="a9"/>
      <w:framePr w:wrap="around" w:vAnchor="text" w:hAnchor="text" w:xAlign="center" w:y="1"/>
      <w:rPr>
        <w:rStyle w:val="ab"/>
      </w:rPr>
    </w:pPr>
    <w:r>
      <w:rPr>
        <w:rStyle w:val="ab"/>
        <w:rtl/>
      </w:rPr>
      <w:fldChar w:fldCharType="begin"/>
    </w:r>
    <w:r>
      <w:rPr>
        <w:rStyle w:val="ab"/>
      </w:rPr>
      <w:instrText xml:space="preserve">PAGE  </w:instrText>
    </w:r>
    <w:r>
      <w:rPr>
        <w:rStyle w:val="ab"/>
        <w:rtl/>
      </w:rPr>
      <w:fldChar w:fldCharType="separate"/>
    </w:r>
    <w:r w:rsidR="009B46EE">
      <w:rPr>
        <w:rStyle w:val="ab"/>
        <w:noProof/>
        <w:rtl/>
      </w:rPr>
      <w:t>3</w:t>
    </w:r>
    <w:r>
      <w:rPr>
        <w:rStyle w:val="ab"/>
        <w:rtl/>
      </w:rPr>
      <w:fldChar w:fldCharType="end"/>
    </w:r>
  </w:p>
  <w:p w14:paraId="7F6961D8" w14:textId="77777777" w:rsidR="001A0623" w:rsidRDefault="001A0623">
    <w:pPr>
      <w:pStyle w:val="a9"/>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F6961D0" w14:textId="77777777" w:rsidR="00C23B1A" w:rsidRDefault="00C23B1A">
      <w:r>
        <w:separator/>
      </w:r>
    </w:p>
  </w:footnote>
  <w:footnote w:type="continuationSeparator" w:id="0">
    <w:p w14:paraId="7F6961D1" w14:textId="77777777" w:rsidR="00C23B1A" w:rsidRDefault="00C23B1A">
      <w:r>
        <w:continuationSeparator/>
      </w:r>
    </w:p>
  </w:footnote>
  <w:footnote w:type="continuationNotice" w:id="1">
    <w:p w14:paraId="7F6961D2" w14:textId="77777777" w:rsidR="00C23B1A" w:rsidRDefault="00C23B1A"/>
  </w:footnote>
  <w:footnote w:id="2">
    <w:p w14:paraId="16AFC3B5" w14:textId="77777777" w:rsidR="00CE3F64" w:rsidRDefault="00CE3F64" w:rsidP="00CE3F64">
      <w:pPr>
        <w:pStyle w:val="a4"/>
      </w:pPr>
      <w:r>
        <w:rPr>
          <w:rStyle w:val="a6"/>
        </w:rPr>
        <w:footnoteRef/>
      </w:r>
      <w:r>
        <w:rPr>
          <w:rtl/>
        </w:rPr>
        <w:t xml:space="preserve"> ס"ח התשס"ב, עמ' 468.</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7F6AAD98"/>
    <w:lvl w:ilvl="0">
      <w:start w:val="1"/>
      <w:numFmt w:val="decimal"/>
      <w:lvlText w:val="%1."/>
      <w:lvlJc w:val="left"/>
      <w:pPr>
        <w:tabs>
          <w:tab w:val="num" w:pos="1492"/>
        </w:tabs>
        <w:ind w:left="1492" w:hanging="360"/>
      </w:pPr>
    </w:lvl>
  </w:abstractNum>
  <w:abstractNum w:abstractNumId="1">
    <w:nsid w:val="FFFFFF7D"/>
    <w:multiLevelType w:val="singleLevel"/>
    <w:tmpl w:val="7D5CAEA8"/>
    <w:lvl w:ilvl="0">
      <w:start w:val="1"/>
      <w:numFmt w:val="decimal"/>
      <w:lvlText w:val="%1."/>
      <w:lvlJc w:val="left"/>
      <w:pPr>
        <w:tabs>
          <w:tab w:val="num" w:pos="1209"/>
        </w:tabs>
        <w:ind w:left="1209" w:hanging="360"/>
      </w:pPr>
    </w:lvl>
  </w:abstractNum>
  <w:abstractNum w:abstractNumId="2">
    <w:nsid w:val="FFFFFF7E"/>
    <w:multiLevelType w:val="singleLevel"/>
    <w:tmpl w:val="67E88A74"/>
    <w:lvl w:ilvl="0">
      <w:start w:val="1"/>
      <w:numFmt w:val="decimal"/>
      <w:lvlText w:val="%1."/>
      <w:lvlJc w:val="left"/>
      <w:pPr>
        <w:tabs>
          <w:tab w:val="num" w:pos="926"/>
        </w:tabs>
        <w:ind w:left="926" w:hanging="360"/>
      </w:pPr>
    </w:lvl>
  </w:abstractNum>
  <w:abstractNum w:abstractNumId="3">
    <w:nsid w:val="FFFFFF7F"/>
    <w:multiLevelType w:val="singleLevel"/>
    <w:tmpl w:val="45DA1EB8"/>
    <w:lvl w:ilvl="0">
      <w:start w:val="1"/>
      <w:numFmt w:val="decimal"/>
      <w:lvlText w:val="%1."/>
      <w:lvlJc w:val="left"/>
      <w:pPr>
        <w:tabs>
          <w:tab w:val="num" w:pos="643"/>
        </w:tabs>
        <w:ind w:left="643" w:hanging="360"/>
      </w:pPr>
    </w:lvl>
  </w:abstractNum>
  <w:abstractNum w:abstractNumId="4">
    <w:nsid w:val="FFFFFF80"/>
    <w:multiLevelType w:val="singleLevel"/>
    <w:tmpl w:val="0A3056D8"/>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8222F1D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B406C9A2"/>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5BFE925A"/>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19424606"/>
    <w:lvl w:ilvl="0">
      <w:start w:val="1"/>
      <w:numFmt w:val="decimal"/>
      <w:lvlText w:val="%1."/>
      <w:lvlJc w:val="left"/>
      <w:pPr>
        <w:tabs>
          <w:tab w:val="num" w:pos="360"/>
        </w:tabs>
        <w:ind w:left="360" w:hanging="360"/>
      </w:pPr>
    </w:lvl>
  </w:abstractNum>
  <w:abstractNum w:abstractNumId="9">
    <w:nsid w:val="FFFFFF89"/>
    <w:multiLevelType w:val="singleLevel"/>
    <w:tmpl w:val="84D088A0"/>
    <w:lvl w:ilvl="0">
      <w:start w:val="1"/>
      <w:numFmt w:val="bullet"/>
      <w:lvlText w:val=""/>
      <w:lvlJc w:val="left"/>
      <w:pPr>
        <w:tabs>
          <w:tab w:val="num" w:pos="360"/>
        </w:tabs>
        <w:ind w:left="360" w:hanging="360"/>
      </w:pPr>
      <w:rPr>
        <w:rFonts w:ascii="Symbol" w:hAnsi="Symbol" w:hint="default"/>
      </w:rPr>
    </w:lvl>
  </w:abstractNum>
  <w:abstractNum w:abstractNumId="10">
    <w:nsid w:val="1CDD78F3"/>
    <w:multiLevelType w:val="hybridMultilevel"/>
    <w:tmpl w:val="9E4C4E42"/>
    <w:lvl w:ilvl="0" w:tplc="861C87C0">
      <w:start w:val="1"/>
      <w:numFmt w:val="decimal"/>
      <w:lvlText w:val="(%1)"/>
      <w:lvlJc w:val="left"/>
      <w:pPr>
        <w:tabs>
          <w:tab w:val="num" w:pos="624"/>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1FB0598A"/>
    <w:multiLevelType w:val="hybridMultilevel"/>
    <w:tmpl w:val="746CCEE6"/>
    <w:lvl w:ilvl="0" w:tplc="040D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53C544D"/>
    <w:multiLevelType w:val="hybridMultilevel"/>
    <w:tmpl w:val="B170A16C"/>
    <w:lvl w:ilvl="0" w:tplc="746489A4">
      <w:start w:val="1"/>
      <w:numFmt w:val="decimal"/>
      <w:lvlText w:val="%1."/>
      <w:lvlJc w:val="left"/>
      <w:pPr>
        <w:tabs>
          <w:tab w:val="num" w:pos="0"/>
        </w:tabs>
        <w:ind w:left="0" w:firstLine="0"/>
      </w:pPr>
      <w:rPr>
        <w:rFonts w:hint="default"/>
      </w:rPr>
    </w:lvl>
    <w:lvl w:ilvl="1" w:tplc="D3D4E8B2">
      <w:start w:val="1"/>
      <w:numFmt w:val="decimal"/>
      <w:lvlText w:val="(%2)"/>
      <w:lvlJc w:val="left"/>
      <w:pPr>
        <w:tabs>
          <w:tab w:val="num" w:pos="624"/>
        </w:tabs>
        <w:ind w:left="0" w:firstLine="0"/>
      </w:pPr>
      <w:rPr>
        <w:rFonts w:hint="default"/>
      </w:rPr>
    </w:lvl>
    <w:lvl w:ilvl="2" w:tplc="5D2AB1E4">
      <w:start w:val="1"/>
      <w:numFmt w:val="hebrew1"/>
      <w:lvlText w:val="(%3)"/>
      <w:lvlJc w:val="left"/>
      <w:pPr>
        <w:tabs>
          <w:tab w:val="num" w:pos="624"/>
        </w:tabs>
        <w:ind w:left="0" w:firstLine="0"/>
      </w:pPr>
      <w:rPr>
        <w:rFonts w:hint="default"/>
      </w:rPr>
    </w:lvl>
    <w:lvl w:ilvl="3" w:tplc="1F820BA4">
      <w:start w:val="1"/>
      <w:numFmt w:val="hebrew1"/>
      <w:lvlRestart w:val="0"/>
      <w:lvlText w:val="(%4)"/>
      <w:lvlJc w:val="left"/>
      <w:pPr>
        <w:tabs>
          <w:tab w:val="num" w:pos="624"/>
        </w:tabs>
        <w:ind w:left="0" w:firstLine="0"/>
      </w:pPr>
      <w:rPr>
        <w:rFonts w:hint="default"/>
      </w:rPr>
    </w:lvl>
    <w:lvl w:ilvl="4" w:tplc="62C6E096">
      <w:start w:val="1"/>
      <w:numFmt w:val="decimal"/>
      <w:lvlRestart w:val="0"/>
      <w:lvlText w:val="(%5)"/>
      <w:lvlJc w:val="left"/>
      <w:pPr>
        <w:tabs>
          <w:tab w:val="num" w:pos="3864"/>
        </w:tabs>
        <w:ind w:left="3240" w:firstLine="0"/>
      </w:pPr>
      <w:rPr>
        <w:rFonts w:hint="default"/>
      </w:r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nsid w:val="75C858E4"/>
    <w:multiLevelType w:val="hybridMultilevel"/>
    <w:tmpl w:val="882C6ED4"/>
    <w:lvl w:ilvl="0" w:tplc="4112A21E">
      <w:start w:val="1"/>
      <w:numFmt w:val="hebrew1"/>
      <w:lvlRestart w:val="0"/>
      <w:lvlText w:val="(%1)"/>
      <w:lvlJc w:val="left"/>
      <w:pPr>
        <w:tabs>
          <w:tab w:val="num" w:pos="624"/>
        </w:tabs>
        <w:ind w:left="0" w:firstLine="0"/>
      </w:pPr>
      <w:rPr>
        <w:rFonts w:hint="default"/>
      </w:rPr>
    </w:lvl>
    <w:lvl w:ilvl="1" w:tplc="49082BE6">
      <w:start w:val="1"/>
      <w:numFmt w:val="decimal"/>
      <w:lvlRestart w:val="0"/>
      <w:lvlText w:val="(%2)"/>
      <w:lvlJc w:val="left"/>
      <w:pPr>
        <w:tabs>
          <w:tab w:val="num" w:pos="1704"/>
        </w:tabs>
        <w:ind w:left="1080" w:firstLine="0"/>
      </w:pPr>
      <w:rPr>
        <w:rFonts w:hint="default"/>
      </w:rPr>
    </w:lvl>
    <w:lvl w:ilvl="2" w:tplc="48C06176">
      <w:start w:val="1"/>
      <w:numFmt w:val="decimal"/>
      <w:lvlRestart w:val="0"/>
      <w:lvlText w:val="(%3)"/>
      <w:lvlJc w:val="left"/>
      <w:pPr>
        <w:tabs>
          <w:tab w:val="num" w:pos="2604"/>
        </w:tabs>
        <w:ind w:left="1980" w:firstLine="0"/>
      </w:pPr>
      <w:rPr>
        <w:rFonts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2"/>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oNotHyphenateCaps/>
  <w:drawingGridHorizontalSpacing w:val="120"/>
  <w:drawingGridVerticalSpacing w:val="120"/>
  <w:displayHorizontalDrawingGridEvery w:val="0"/>
  <w:displayVerticalDrawingGridEvery w:val="3"/>
  <w:doNotUseMarginsForDrawingGridOrigin/>
  <w:characterSpacingControl w:val="compressPunctuation"/>
  <w:footnotePr>
    <w:footnote w:id="-1"/>
    <w:footnote w:id="0"/>
    <w:footnote w:id="1"/>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OriginalName" w:val="tmp482240lsCopyOriginal.docx"/>
    <w:docVar w:name="StartMode" w:val="2"/>
  </w:docVars>
  <w:rsids>
    <w:rsidRoot w:val="00DB7060"/>
    <w:rsid w:val="0000131B"/>
    <w:rsid w:val="00015B27"/>
    <w:rsid w:val="0007681A"/>
    <w:rsid w:val="000A542E"/>
    <w:rsid w:val="00102B6B"/>
    <w:rsid w:val="001052D4"/>
    <w:rsid w:val="0010644B"/>
    <w:rsid w:val="001207F8"/>
    <w:rsid w:val="00121924"/>
    <w:rsid w:val="001279A8"/>
    <w:rsid w:val="0014195F"/>
    <w:rsid w:val="00152609"/>
    <w:rsid w:val="00153E1B"/>
    <w:rsid w:val="001A0623"/>
    <w:rsid w:val="001C23B0"/>
    <w:rsid w:val="00203A7F"/>
    <w:rsid w:val="002200A1"/>
    <w:rsid w:val="002362BF"/>
    <w:rsid w:val="00241B97"/>
    <w:rsid w:val="00246756"/>
    <w:rsid w:val="00251E58"/>
    <w:rsid w:val="00254605"/>
    <w:rsid w:val="002728B4"/>
    <w:rsid w:val="0027600C"/>
    <w:rsid w:val="002920F5"/>
    <w:rsid w:val="00292712"/>
    <w:rsid w:val="002A487D"/>
    <w:rsid w:val="002C2E29"/>
    <w:rsid w:val="002D1EE3"/>
    <w:rsid w:val="002F1D80"/>
    <w:rsid w:val="003232A2"/>
    <w:rsid w:val="00325C14"/>
    <w:rsid w:val="003710F6"/>
    <w:rsid w:val="00386E88"/>
    <w:rsid w:val="00396585"/>
    <w:rsid w:val="003D74A0"/>
    <w:rsid w:val="004033D8"/>
    <w:rsid w:val="004073F0"/>
    <w:rsid w:val="00412A7D"/>
    <w:rsid w:val="00416B4D"/>
    <w:rsid w:val="00417CFC"/>
    <w:rsid w:val="004B24ED"/>
    <w:rsid w:val="004B3458"/>
    <w:rsid w:val="004D2D82"/>
    <w:rsid w:val="004D3876"/>
    <w:rsid w:val="004E4552"/>
    <w:rsid w:val="00553C9D"/>
    <w:rsid w:val="00562A66"/>
    <w:rsid w:val="005B064E"/>
    <w:rsid w:val="005D51AE"/>
    <w:rsid w:val="0062674B"/>
    <w:rsid w:val="006363B2"/>
    <w:rsid w:val="00644940"/>
    <w:rsid w:val="006818A9"/>
    <w:rsid w:val="006A2D81"/>
    <w:rsid w:val="006C1D0D"/>
    <w:rsid w:val="0070601E"/>
    <w:rsid w:val="00712C72"/>
    <w:rsid w:val="00735FE9"/>
    <w:rsid w:val="00763CAA"/>
    <w:rsid w:val="00765F66"/>
    <w:rsid w:val="007C3FA6"/>
    <w:rsid w:val="007D585A"/>
    <w:rsid w:val="007D5A12"/>
    <w:rsid w:val="007E59F9"/>
    <w:rsid w:val="00810BCD"/>
    <w:rsid w:val="00812C98"/>
    <w:rsid w:val="00814D92"/>
    <w:rsid w:val="0083181D"/>
    <w:rsid w:val="00874BBC"/>
    <w:rsid w:val="00892135"/>
    <w:rsid w:val="00895449"/>
    <w:rsid w:val="00897879"/>
    <w:rsid w:val="008A6870"/>
    <w:rsid w:val="008C2DDC"/>
    <w:rsid w:val="008C7516"/>
    <w:rsid w:val="008E6EC7"/>
    <w:rsid w:val="008F0D63"/>
    <w:rsid w:val="008F2C35"/>
    <w:rsid w:val="008F6665"/>
    <w:rsid w:val="0091204F"/>
    <w:rsid w:val="009203DB"/>
    <w:rsid w:val="00923CD4"/>
    <w:rsid w:val="00943386"/>
    <w:rsid w:val="009456B6"/>
    <w:rsid w:val="00957589"/>
    <w:rsid w:val="00966D06"/>
    <w:rsid w:val="00982412"/>
    <w:rsid w:val="00983A8D"/>
    <w:rsid w:val="009A7257"/>
    <w:rsid w:val="009B46EE"/>
    <w:rsid w:val="009D6E0A"/>
    <w:rsid w:val="00A14672"/>
    <w:rsid w:val="00A26BD6"/>
    <w:rsid w:val="00A443CF"/>
    <w:rsid w:val="00A6611D"/>
    <w:rsid w:val="00A82CB7"/>
    <w:rsid w:val="00AA2F03"/>
    <w:rsid w:val="00AC36F7"/>
    <w:rsid w:val="00AC63A4"/>
    <w:rsid w:val="00AD239E"/>
    <w:rsid w:val="00B10265"/>
    <w:rsid w:val="00B21211"/>
    <w:rsid w:val="00B35784"/>
    <w:rsid w:val="00B50FCD"/>
    <w:rsid w:val="00B733A7"/>
    <w:rsid w:val="00B975AD"/>
    <w:rsid w:val="00BC45FB"/>
    <w:rsid w:val="00BF148D"/>
    <w:rsid w:val="00C23B1A"/>
    <w:rsid w:val="00C310EB"/>
    <w:rsid w:val="00C9176A"/>
    <w:rsid w:val="00CE3F64"/>
    <w:rsid w:val="00CF1AA2"/>
    <w:rsid w:val="00D63620"/>
    <w:rsid w:val="00D8410D"/>
    <w:rsid w:val="00D867D7"/>
    <w:rsid w:val="00DB7060"/>
    <w:rsid w:val="00DE3153"/>
    <w:rsid w:val="00E06736"/>
    <w:rsid w:val="00E13C27"/>
    <w:rsid w:val="00E33BBD"/>
    <w:rsid w:val="00E45103"/>
    <w:rsid w:val="00E665B9"/>
    <w:rsid w:val="00EA01E6"/>
    <w:rsid w:val="00EA3DE8"/>
    <w:rsid w:val="00EA758F"/>
    <w:rsid w:val="00ED4A6F"/>
    <w:rsid w:val="00EF3A3A"/>
    <w:rsid w:val="00F628D6"/>
    <w:rsid w:val="00F67051"/>
    <w:rsid w:val="00FA5E88"/>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fill="f" fillcolor="white">
      <v:fill color="white" on="f"/>
    </o:shapedefaults>
    <o:shapelayout v:ext="edit">
      <o:idmap v:ext="edit" data="1"/>
    </o:shapelayout>
  </w:shapeDefaults>
  <w:doNotEmbedSmartTags/>
  <w:decimalSymbol w:val="."/>
  <w:listSeparator w:val=","/>
  <w14:docId w14:val="7F696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link w:val="TableBlock0"/>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aliases w:val="טקסט הערות שוליים תו Char Char Char,טקסט הערות שוליים תו Char Char,טקסט הערות שוליים תו תו Char Char,טקסט הערות שוליים תו תו Char Char Char Char Char,טקסט הערות שוליים תו תו Char,טקסט הערות שוליים תו תו תו"/>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aliases w:val="טקסט הערות שוליים תו Char Char Char תו,טקסט הערות שוליים תו Char Char תו,טקסט הערות שוליים תו תו Char Char תו,טקסט הערות שוליים תו תו Char Char Char Char Char תו,טקסט הערות שוליים תו תו Char תו,טקסט הערות שוליים תו תו תו תו"/>
    <w:basedOn w:val="a0"/>
    <w:link w:val="a4"/>
    <w:semiHidden/>
    <w:locked/>
    <w:rsid w:val="004B3458"/>
    <w:rPr>
      <w:rFonts w:ascii="Arial" w:eastAsia="Arial Unicode MS" w:hAnsi="Arial" w:cs="David"/>
      <w:snapToGrid w:val="0"/>
      <w:color w:val="000000"/>
      <w:sz w:val="14"/>
      <w:lang w:eastAsia="ja-JP"/>
    </w:rPr>
  </w:style>
  <w:style w:type="character" w:customStyle="1" w:styleId="TableBlock0">
    <w:name w:val="Table Block תו"/>
    <w:link w:val="TableBlock"/>
    <w:locked/>
    <w:rsid w:val="004B3458"/>
    <w:rPr>
      <w:rFonts w:ascii="Arial" w:eastAsia="Arial Unicode MS" w:hAnsi="Arial" w:cs="David"/>
      <w:snapToGrid w:val="0"/>
      <w:color w:val="000000"/>
      <w:szCs w:val="26"/>
      <w:lang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S Mincho" w:hAnsi="Times New Roman" w:cs="Times New Roman"/>
        <w:lang w:val="en-US" w:eastAsia="en-US" w:bidi="he-IL"/>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975AD"/>
    <w:pPr>
      <w:widowControl w:val="0"/>
      <w:autoSpaceDE w:val="0"/>
      <w:autoSpaceDN w:val="0"/>
      <w:bidi/>
      <w:adjustRightInd w:val="0"/>
      <w:spacing w:before="102" w:line="204" w:lineRule="atLeast"/>
      <w:ind w:firstLine="340"/>
      <w:jc w:val="both"/>
      <w:textAlignment w:val="center"/>
    </w:pPr>
    <w:rPr>
      <w:rFonts w:ascii="Hadasa Roso SL" w:hAnsi="Hadasa Roso SL" w:cs="Hadasa Roso SL"/>
      <w:color w:val="000000"/>
      <w:spacing w:val="1"/>
      <w:sz w:val="17"/>
      <w:szCs w:val="1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paragraphstyle">
    <w:name w:val="[No paragraph style]"/>
    <w:rsid w:val="00943386"/>
    <w:pPr>
      <w:widowControl w:val="0"/>
      <w:autoSpaceDE w:val="0"/>
      <w:autoSpaceDN w:val="0"/>
      <w:bidi/>
      <w:adjustRightInd w:val="0"/>
      <w:snapToGrid w:val="0"/>
      <w:spacing w:line="360" w:lineRule="auto"/>
      <w:textAlignment w:val="center"/>
    </w:pPr>
    <w:rPr>
      <w:rFonts w:ascii="Arial" w:eastAsia="Arial Unicode MS" w:hAnsi="Arial" w:cs="David"/>
      <w:snapToGrid w:val="0"/>
      <w:color w:val="000000"/>
      <w:szCs w:val="26"/>
      <w:lang w:eastAsia="ja-JP"/>
    </w:rPr>
  </w:style>
  <w:style w:type="paragraph" w:customStyle="1" w:styleId="Cover1-Reshumot">
    <w:name w:val="Cover 1-Reshumot"/>
    <w:basedOn w:val="a"/>
    <w:rsid w:val="00B975AD"/>
    <w:pPr>
      <w:tabs>
        <w:tab w:val="left" w:pos="1191"/>
        <w:tab w:val="left" w:pos="1587"/>
      </w:tabs>
      <w:snapToGrid w:val="0"/>
      <w:spacing w:before="240" w:after="240" w:line="480" w:lineRule="auto"/>
      <w:ind w:firstLine="0"/>
      <w:jc w:val="center"/>
    </w:pPr>
    <w:rPr>
      <w:rFonts w:ascii="Arial" w:eastAsia="Arial Unicode MS" w:hAnsi="Arial" w:cs="David"/>
      <w:snapToGrid w:val="0"/>
      <w:spacing w:val="0"/>
      <w:sz w:val="20"/>
      <w:szCs w:val="26"/>
    </w:rPr>
  </w:style>
  <w:style w:type="paragraph" w:customStyle="1" w:styleId="Cover2-HatzaotHok">
    <w:name w:val="Cover 2-HatzaotHok"/>
    <w:basedOn w:val="Cover1-Reshumot"/>
    <w:rsid w:val="00B975AD"/>
    <w:rPr>
      <w:sz w:val="36"/>
      <w:szCs w:val="52"/>
    </w:rPr>
  </w:style>
  <w:style w:type="paragraph" w:customStyle="1" w:styleId="Cover3-Haknesset">
    <w:name w:val="Cover 3-Haknesset"/>
    <w:basedOn w:val="Cover1-Reshumot"/>
    <w:rsid w:val="00B975AD"/>
    <w:rPr>
      <w:b/>
      <w:bCs/>
      <w:spacing w:val="60"/>
    </w:rPr>
  </w:style>
  <w:style w:type="paragraph" w:customStyle="1" w:styleId="Cover4-Date">
    <w:name w:val="Cover 4-Date"/>
    <w:basedOn w:val="a"/>
    <w:rsid w:val="00B975AD"/>
    <w:pPr>
      <w:pBdr>
        <w:bottom w:val="single" w:sz="4" w:space="0" w:color="auto"/>
      </w:pBdr>
      <w:tabs>
        <w:tab w:val="center" w:pos="4820"/>
        <w:tab w:val="right" w:pos="9639"/>
      </w:tabs>
      <w:snapToGrid w:val="0"/>
      <w:spacing w:before="240" w:after="240" w:line="360" w:lineRule="auto"/>
      <w:ind w:firstLine="0"/>
      <w:jc w:val="left"/>
    </w:pPr>
    <w:rPr>
      <w:rFonts w:ascii="Arial" w:eastAsia="Arial Unicode MS" w:hAnsi="Arial" w:cs="David"/>
      <w:snapToGrid w:val="0"/>
      <w:spacing w:val="0"/>
      <w:sz w:val="20"/>
      <w:szCs w:val="26"/>
    </w:rPr>
  </w:style>
  <w:style w:type="paragraph" w:customStyle="1" w:styleId="TOC">
    <w:name w:val="TOC"/>
    <w:basedOn w:val="Noparagraphstyle"/>
    <w:rsid w:val="00943386"/>
    <w:pPr>
      <w:tabs>
        <w:tab w:val="left" w:leader="dot" w:pos="8789"/>
      </w:tabs>
      <w:spacing w:before="120"/>
      <w:ind w:left="284" w:right="284"/>
    </w:pPr>
  </w:style>
  <w:style w:type="paragraph" w:customStyle="1" w:styleId="TOCpg">
    <w:name w:val="TOC pg"/>
    <w:basedOn w:val="TOC"/>
    <w:rsid w:val="00943386"/>
    <w:pPr>
      <w:spacing w:after="120"/>
      <w:ind w:right="567"/>
      <w:jc w:val="right"/>
    </w:pPr>
  </w:style>
  <w:style w:type="paragraph" w:customStyle="1" w:styleId="HeadMitparsemetBaze">
    <w:name w:val="Head MitparsemetBaze"/>
    <w:basedOn w:val="a"/>
    <w:rsid w:val="00B975AD"/>
    <w:pPr>
      <w:keepNext/>
      <w:keepLines/>
      <w:pageBreakBefore/>
      <w:snapToGrid w:val="0"/>
      <w:spacing w:before="480" w:line="360" w:lineRule="auto"/>
      <w:ind w:firstLine="0"/>
    </w:pPr>
    <w:rPr>
      <w:rFonts w:ascii="Arial" w:eastAsia="Arial Unicode MS" w:hAnsi="Arial" w:cs="David"/>
      <w:b/>
      <w:bCs/>
      <w:snapToGrid w:val="0"/>
      <w:spacing w:val="0"/>
      <w:sz w:val="20"/>
      <w:szCs w:val="26"/>
    </w:rPr>
  </w:style>
  <w:style w:type="paragraph" w:customStyle="1" w:styleId="HeadHatzaotHok">
    <w:name w:val="Head HatzaotHok"/>
    <w:basedOn w:val="a"/>
    <w:rsid w:val="00B975AD"/>
    <w:pPr>
      <w:keepNext/>
      <w:keepLines/>
      <w:snapToGrid w:val="0"/>
      <w:spacing w:before="240" w:line="360" w:lineRule="auto"/>
      <w:ind w:firstLine="0"/>
      <w:jc w:val="center"/>
    </w:pPr>
    <w:rPr>
      <w:rFonts w:ascii="Arial" w:eastAsia="Arial Unicode MS" w:hAnsi="Arial" w:cs="David"/>
      <w:b/>
      <w:bCs/>
      <w:snapToGrid w:val="0"/>
      <w:spacing w:val="0"/>
      <w:sz w:val="20"/>
      <w:szCs w:val="26"/>
    </w:rPr>
  </w:style>
  <w:style w:type="paragraph" w:customStyle="1" w:styleId="HeadHatzaotHok4Futer">
    <w:name w:val="Head HatzaotHok4Futer"/>
    <w:basedOn w:val="HeadHatzaotHok"/>
    <w:rsid w:val="00B975AD"/>
    <w:pPr>
      <w:spacing w:before="120" w:after="120"/>
    </w:pPr>
    <w:rPr>
      <w:color w:val="FF0000"/>
      <w:w w:val="80"/>
    </w:rPr>
  </w:style>
  <w:style w:type="paragraph" w:styleId="a3">
    <w:name w:val="endnote text"/>
    <w:basedOn w:val="a"/>
    <w:semiHidden/>
    <w:rsid w:val="00B975AD"/>
    <w:pPr>
      <w:ind w:left="227" w:hanging="227"/>
    </w:pPr>
    <w:rPr>
      <w:sz w:val="14"/>
      <w:szCs w:val="22"/>
    </w:rPr>
  </w:style>
  <w:style w:type="paragraph" w:customStyle="1" w:styleId="TableText">
    <w:name w:val="Table Text"/>
    <w:basedOn w:val="a"/>
    <w:rsid w:val="00B975AD"/>
    <w:pPr>
      <w:keepLines/>
      <w:tabs>
        <w:tab w:val="left" w:pos="624"/>
        <w:tab w:val="left" w:pos="1247"/>
      </w:tabs>
      <w:snapToGrid w:val="0"/>
      <w:spacing w:before="0" w:line="360" w:lineRule="auto"/>
      <w:ind w:right="57" w:firstLine="0"/>
      <w:jc w:val="left"/>
    </w:pPr>
    <w:rPr>
      <w:rFonts w:ascii="Arial" w:eastAsia="Arial Unicode MS" w:hAnsi="Arial" w:cs="David"/>
      <w:snapToGrid w:val="0"/>
      <w:spacing w:val="0"/>
      <w:sz w:val="20"/>
      <w:szCs w:val="26"/>
    </w:rPr>
  </w:style>
  <w:style w:type="paragraph" w:customStyle="1" w:styleId="TableSideHeading">
    <w:name w:val="Table SideHeading"/>
    <w:basedOn w:val="TableText"/>
    <w:rsid w:val="00B975AD"/>
  </w:style>
  <w:style w:type="paragraph" w:customStyle="1" w:styleId="TableBlock">
    <w:name w:val="Table Block"/>
    <w:basedOn w:val="TableText"/>
    <w:link w:val="TableBlock0"/>
    <w:rsid w:val="00B975AD"/>
    <w:pPr>
      <w:ind w:right="0"/>
      <w:jc w:val="both"/>
    </w:pPr>
  </w:style>
  <w:style w:type="paragraph" w:customStyle="1" w:styleId="TableHead">
    <w:name w:val="Table Head"/>
    <w:basedOn w:val="TableText"/>
    <w:rsid w:val="00B975AD"/>
    <w:pPr>
      <w:ind w:right="0"/>
      <w:jc w:val="center"/>
    </w:pPr>
    <w:rPr>
      <w:b/>
      <w:bCs/>
    </w:rPr>
  </w:style>
  <w:style w:type="paragraph" w:customStyle="1" w:styleId="TableText2">
    <w:name w:val="Table Text2"/>
    <w:basedOn w:val="TableText"/>
    <w:rsid w:val="00943386"/>
  </w:style>
  <w:style w:type="paragraph" w:customStyle="1" w:styleId="TableInnerSideHeading">
    <w:name w:val="Table InnerSideHeading"/>
    <w:basedOn w:val="TableSideHeading"/>
    <w:rsid w:val="00B975AD"/>
  </w:style>
  <w:style w:type="paragraph" w:customStyle="1" w:styleId="Hesber">
    <w:name w:val="Hesber"/>
    <w:basedOn w:val="a"/>
    <w:rsid w:val="00B975AD"/>
    <w:pPr>
      <w:snapToGrid w:val="0"/>
      <w:spacing w:before="0" w:line="360" w:lineRule="auto"/>
    </w:pPr>
    <w:rPr>
      <w:rFonts w:ascii="Arial" w:eastAsia="Arial Unicode MS" w:hAnsi="Arial" w:cs="David"/>
      <w:snapToGrid w:val="0"/>
      <w:spacing w:val="0"/>
      <w:sz w:val="20"/>
      <w:szCs w:val="26"/>
    </w:rPr>
  </w:style>
  <w:style w:type="paragraph" w:styleId="a4">
    <w:name w:val="footnote text"/>
    <w:aliases w:val="טקסט הערות שוליים תו Char Char Char,טקסט הערות שוליים תו Char Char,טקסט הערות שוליים תו תו Char Char,טקסט הערות שוליים תו תו Char Char Char Char Char,טקסט הערות שוליים תו תו Char,טקסט הערות שוליים תו תו תו"/>
    <w:basedOn w:val="a"/>
    <w:link w:val="a5"/>
    <w:autoRedefine/>
    <w:semiHidden/>
    <w:rsid w:val="00B975AD"/>
    <w:pPr>
      <w:snapToGrid w:val="0"/>
      <w:spacing w:before="0" w:line="240" w:lineRule="auto"/>
      <w:ind w:left="227" w:hanging="227"/>
      <w:jc w:val="left"/>
    </w:pPr>
    <w:rPr>
      <w:rFonts w:ascii="Arial" w:eastAsia="Arial Unicode MS" w:hAnsi="Arial" w:cs="David"/>
      <w:snapToGrid w:val="0"/>
      <w:spacing w:val="0"/>
      <w:sz w:val="14"/>
      <w:szCs w:val="20"/>
    </w:rPr>
  </w:style>
  <w:style w:type="character" w:styleId="a6">
    <w:name w:val="footnote reference"/>
    <w:aliases w:val="Footnote Reference"/>
    <w:basedOn w:val="a0"/>
    <w:semiHidden/>
    <w:rsid w:val="00B975AD"/>
    <w:rPr>
      <w:vertAlign w:val="superscript"/>
    </w:rPr>
  </w:style>
  <w:style w:type="paragraph" w:customStyle="1" w:styleId="HesberHeading">
    <w:name w:val="Hesber Heading"/>
    <w:basedOn w:val="Hesber"/>
    <w:rsid w:val="00B975AD"/>
    <w:pPr>
      <w:tabs>
        <w:tab w:val="left" w:pos="624"/>
        <w:tab w:val="left" w:pos="1247"/>
      </w:tabs>
      <w:ind w:firstLine="0"/>
    </w:pPr>
    <w:rPr>
      <w:b/>
      <w:bCs/>
    </w:rPr>
  </w:style>
  <w:style w:type="paragraph" w:customStyle="1" w:styleId="HesberWriters">
    <w:name w:val="Hesber Writers"/>
    <w:basedOn w:val="Hesber"/>
    <w:rsid w:val="00B975AD"/>
    <w:pPr>
      <w:spacing w:before="120" w:after="6000"/>
      <w:ind w:left="1418" w:firstLine="0"/>
      <w:jc w:val="right"/>
    </w:pPr>
    <w:rPr>
      <w:b/>
      <w:bCs/>
    </w:rPr>
  </w:style>
  <w:style w:type="paragraph" w:customStyle="1" w:styleId="Hesber1st">
    <w:name w:val="Hesber 1st"/>
    <w:basedOn w:val="Hesber"/>
    <w:rsid w:val="00B975AD"/>
    <w:pPr>
      <w:tabs>
        <w:tab w:val="left" w:pos="680"/>
        <w:tab w:val="left" w:pos="1020"/>
      </w:tabs>
      <w:ind w:firstLine="0"/>
    </w:pPr>
  </w:style>
  <w:style w:type="character" w:styleId="a7">
    <w:name w:val="endnote reference"/>
    <w:basedOn w:val="a0"/>
    <w:semiHidden/>
    <w:rsid w:val="00B975AD"/>
    <w:rPr>
      <w:vertAlign w:val="superscript"/>
    </w:rPr>
  </w:style>
  <w:style w:type="paragraph" w:customStyle="1" w:styleId="TableBlockOutdent">
    <w:name w:val="Table BlockOutdent"/>
    <w:basedOn w:val="TableBlock"/>
    <w:rsid w:val="00B975AD"/>
    <w:pPr>
      <w:ind w:left="624" w:hanging="624"/>
    </w:pPr>
  </w:style>
  <w:style w:type="paragraph" w:styleId="a8">
    <w:name w:val="header"/>
    <w:basedOn w:val="a"/>
    <w:rsid w:val="00B975AD"/>
    <w:pPr>
      <w:tabs>
        <w:tab w:val="center" w:pos="4153"/>
        <w:tab w:val="right" w:pos="8306"/>
      </w:tabs>
    </w:pPr>
  </w:style>
  <w:style w:type="paragraph" w:styleId="a9">
    <w:name w:val="footer"/>
    <w:basedOn w:val="a"/>
    <w:rsid w:val="00B975AD"/>
    <w:pPr>
      <w:tabs>
        <w:tab w:val="center" w:pos="4153"/>
        <w:tab w:val="right" w:pos="8306"/>
      </w:tabs>
    </w:pPr>
  </w:style>
  <w:style w:type="paragraph" w:customStyle="1" w:styleId="HeadDivreiHesber">
    <w:name w:val="Head DivreiHesber"/>
    <w:basedOn w:val="a"/>
    <w:rsid w:val="00B975AD"/>
    <w:pPr>
      <w:snapToGrid w:val="0"/>
      <w:spacing w:before="360" w:after="120" w:line="360" w:lineRule="auto"/>
      <w:ind w:firstLine="0"/>
      <w:jc w:val="center"/>
    </w:pPr>
    <w:rPr>
      <w:rFonts w:ascii="Arial" w:eastAsia="Arial Unicode MS" w:hAnsi="Arial" w:cs="David"/>
      <w:b/>
      <w:snapToGrid w:val="0"/>
      <w:spacing w:val="40"/>
      <w:sz w:val="20"/>
      <w:szCs w:val="26"/>
    </w:rPr>
  </w:style>
  <w:style w:type="paragraph" w:customStyle="1" w:styleId="Ragil">
    <w:name w:val="Ragil"/>
    <w:basedOn w:val="a"/>
    <w:rsid w:val="00B975AD"/>
    <w:pPr>
      <w:snapToGrid w:val="0"/>
      <w:spacing w:before="0" w:line="360" w:lineRule="auto"/>
      <w:jc w:val="left"/>
    </w:pPr>
    <w:rPr>
      <w:rFonts w:ascii="Arial" w:eastAsia="Arial Unicode MS" w:hAnsi="Arial" w:cs="David"/>
      <w:snapToGrid w:val="0"/>
      <w:spacing w:val="0"/>
      <w:sz w:val="20"/>
      <w:szCs w:val="26"/>
    </w:rPr>
  </w:style>
  <w:style w:type="paragraph" w:styleId="aa">
    <w:name w:val="Title"/>
    <w:basedOn w:val="a"/>
    <w:qFormat/>
    <w:rsid w:val="00943386"/>
    <w:pPr>
      <w:jc w:val="center"/>
    </w:pPr>
    <w:rPr>
      <w:rFonts w:cs="David"/>
      <w:b/>
      <w:bCs/>
      <w:sz w:val="28"/>
      <w:szCs w:val="28"/>
      <w:u w:val="single"/>
    </w:rPr>
  </w:style>
  <w:style w:type="character" w:styleId="ab">
    <w:name w:val="page number"/>
    <w:basedOn w:val="a0"/>
    <w:rsid w:val="00B975AD"/>
  </w:style>
  <w:style w:type="paragraph" w:customStyle="1" w:styleId="David">
    <w:name w:val="רגיל + (עברית ושפות אחרות) David"/>
    <w:aliases w:val="‏13 נק',מודגש,אחרי:  6 נק'"/>
    <w:basedOn w:val="a"/>
    <w:rsid w:val="001207F8"/>
    <w:pPr>
      <w:ind w:firstLine="0"/>
      <w:jc w:val="left"/>
    </w:pPr>
    <w:rPr>
      <w:rFonts w:cs="David"/>
      <w:sz w:val="26"/>
      <w:szCs w:val="26"/>
    </w:rPr>
  </w:style>
  <w:style w:type="paragraph" w:styleId="ac">
    <w:name w:val="Balloon Text"/>
    <w:basedOn w:val="a"/>
    <w:link w:val="ad"/>
    <w:semiHidden/>
    <w:unhideWhenUsed/>
    <w:rsid w:val="00325C14"/>
    <w:pPr>
      <w:spacing w:before="0" w:line="240" w:lineRule="auto"/>
    </w:pPr>
    <w:rPr>
      <w:rFonts w:ascii="Tahoma" w:hAnsi="Tahoma" w:cs="Tahoma"/>
      <w:sz w:val="16"/>
      <w:szCs w:val="16"/>
    </w:rPr>
  </w:style>
  <w:style w:type="character" w:customStyle="1" w:styleId="ad">
    <w:name w:val="טקסט בלונים תו"/>
    <w:basedOn w:val="a0"/>
    <w:link w:val="ac"/>
    <w:semiHidden/>
    <w:rsid w:val="00325C14"/>
    <w:rPr>
      <w:rFonts w:ascii="Tahoma" w:hAnsi="Tahoma" w:cs="Tahoma"/>
      <w:color w:val="000000"/>
      <w:spacing w:val="1"/>
      <w:sz w:val="16"/>
      <w:szCs w:val="16"/>
      <w:lang w:eastAsia="ja-JP"/>
    </w:rPr>
  </w:style>
  <w:style w:type="character" w:customStyle="1" w:styleId="a5">
    <w:name w:val="טקסט הערת שוליים תו"/>
    <w:aliases w:val="טקסט הערות שוליים תו Char Char Char תו,טקסט הערות שוליים תו Char Char תו,טקסט הערות שוליים תו תו Char Char תו,טקסט הערות שוליים תו תו Char Char Char Char Char תו,טקסט הערות שוליים תו תו Char תו,טקסט הערות שוליים תו תו תו תו"/>
    <w:basedOn w:val="a0"/>
    <w:link w:val="a4"/>
    <w:semiHidden/>
    <w:locked/>
    <w:rsid w:val="004B3458"/>
    <w:rPr>
      <w:rFonts w:ascii="Arial" w:eastAsia="Arial Unicode MS" w:hAnsi="Arial" w:cs="David"/>
      <w:snapToGrid w:val="0"/>
      <w:color w:val="000000"/>
      <w:sz w:val="14"/>
      <w:lang w:eastAsia="ja-JP"/>
    </w:rPr>
  </w:style>
  <w:style w:type="character" w:customStyle="1" w:styleId="TableBlock0">
    <w:name w:val="Table Block תו"/>
    <w:link w:val="TableBlock"/>
    <w:locked/>
    <w:rsid w:val="004B3458"/>
    <w:rPr>
      <w:rFonts w:ascii="Arial" w:eastAsia="Arial Unicode MS" w:hAnsi="Arial" w:cs="David"/>
      <w:snapToGrid w:val="0"/>
      <w:color w:val="000000"/>
      <w:szCs w:val="26"/>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25003472">
      <w:bodyDiv w:val="1"/>
      <w:marLeft w:val="0"/>
      <w:marRight w:val="0"/>
      <w:marTop w:val="0"/>
      <w:marBottom w:val="0"/>
      <w:divBdr>
        <w:top w:val="none" w:sz="0" w:space="0" w:color="auto"/>
        <w:left w:val="none" w:sz="0" w:space="0" w:color="auto"/>
        <w:bottom w:val="none" w:sz="0" w:space="0" w:color="auto"/>
        <w:right w:val="none" w:sz="0" w:space="0" w:color="auto"/>
      </w:divBdr>
    </w:div>
    <w:div w:id="406421242">
      <w:bodyDiv w:val="1"/>
      <w:marLeft w:val="0"/>
      <w:marRight w:val="0"/>
      <w:marTop w:val="0"/>
      <w:marBottom w:val="0"/>
      <w:divBdr>
        <w:top w:val="none" w:sz="0" w:space="0" w:color="auto"/>
        <w:left w:val="none" w:sz="0" w:space="0" w:color="auto"/>
        <w:bottom w:val="none" w:sz="0" w:space="0" w:color="auto"/>
        <w:right w:val="none" w:sz="0" w:space="0" w:color="auto"/>
      </w:divBdr>
    </w:div>
    <w:div w:id="1944147215">
      <w:bodyDiv w:val="1"/>
      <w:marLeft w:val="0"/>
      <w:marRight w:val="0"/>
      <w:marTop w:val="0"/>
      <w:marBottom w:val="0"/>
      <w:divBdr>
        <w:top w:val="none" w:sz="0" w:space="0" w:color="auto"/>
        <w:left w:val="none" w:sz="0" w:space="0" w:color="auto"/>
        <w:bottom w:val="none" w:sz="0" w:space="0" w:color="auto"/>
        <w:right w:val="none" w:sz="0" w:space="0" w:color="auto"/>
      </w:divBdr>
    </w:div>
    <w:div w:id="20805151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2.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theme/theme1.xml><?xml version="1.0" encoding="utf-8"?>
<a:theme xmlns:a="http://schemas.openxmlformats.org/drawingml/2006/main" name="ערכת נושא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386EB84DF20CE4D8D9D1A5C7A92FD24" ma:contentTypeVersion="0" ma:contentTypeDescription="Create a new document." ma:contentTypeScope="" ma:versionID="99fd2faca98684dfaf8c37f6393491fa">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8F4AFE3-9455-419C-8851-785A55F44517}">
  <ds:schemaRefs>
    <ds:schemaRef ds:uri="http://purl.org/dc/terms/"/>
    <ds:schemaRef ds:uri="http://schemas.microsoft.com/office/infopath/2007/PartnerControls"/>
    <ds:schemaRef ds:uri="http://schemas.microsoft.com/office/2006/documentManagement/types"/>
    <ds:schemaRef ds:uri="http://www.w3.org/XML/1998/namespace"/>
    <ds:schemaRef ds:uri="http://purl.org/dc/dcmitype/"/>
    <ds:schemaRef ds:uri="http://purl.org/dc/elements/1.1/"/>
    <ds:schemaRef ds:uri="http://schemas.openxmlformats.org/package/2006/metadata/core-properties"/>
    <ds:schemaRef ds:uri="http://schemas.microsoft.com/office/2006/metadata/properties"/>
  </ds:schemaRefs>
</ds:datastoreItem>
</file>

<file path=customXml/itemProps2.xml><?xml version="1.0" encoding="utf-8"?>
<ds:datastoreItem xmlns:ds="http://schemas.openxmlformats.org/officeDocument/2006/customXml" ds:itemID="{53CDC32B-DD97-493E-9196-3EF77D6F9C7D}">
  <ds:schemaRefs>
    <ds:schemaRef ds:uri="http://schemas.microsoft.com/sharepoint/v3/contenttype/forms"/>
  </ds:schemaRefs>
</ds:datastoreItem>
</file>

<file path=customXml/itemProps3.xml><?xml version="1.0" encoding="utf-8"?>
<ds:datastoreItem xmlns:ds="http://schemas.openxmlformats.org/officeDocument/2006/customXml" ds:itemID="{F4565262-608C-49C0-B851-D64BE45CE61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4.xml><?xml version="1.0" encoding="utf-8"?>
<ds:datastoreItem xmlns:ds="http://schemas.openxmlformats.org/officeDocument/2006/customXml" ds:itemID="{7F6ED4CB-C243-46B8-B329-BC8539B3EA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3</Pages>
  <Words>1042</Words>
  <Characters>5214</Characters>
  <Application>Microsoft Office Word</Application>
  <DocSecurity>0</DocSecurity>
  <Lines>43</Lines>
  <Paragraphs>12</Paragraphs>
  <ScaleCrop>false</ScaleCrop>
  <HeadingPairs>
    <vt:vector size="4" baseType="variant">
      <vt:variant>
        <vt:lpstr>שם</vt:lpstr>
      </vt:variant>
      <vt:variant>
        <vt:i4>1</vt:i4>
      </vt:variant>
      <vt:variant>
        <vt:lpstr>Title</vt:lpstr>
      </vt:variant>
      <vt:variant>
        <vt:i4>1</vt:i4>
      </vt:variant>
    </vt:vector>
  </HeadingPairs>
  <TitlesOfParts>
    <vt:vector size="2" baseType="lpstr">
      <vt:lpstr>רשומות</vt:lpstr>
      <vt:lpstr>רשומות</vt:lpstr>
    </vt:vector>
  </TitlesOfParts>
  <Company>Knesset</Company>
  <LinksUpToDate>false</LinksUpToDate>
  <CharactersWithSpaces>6244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רשומות</dc:title>
  <dc:creator>מיקה צור</dc:creator>
  <cp:lastModifiedBy>לילך יעיש</cp:lastModifiedBy>
  <cp:revision>5</cp:revision>
  <cp:lastPrinted>2015-05-07T06:40:00Z</cp:lastPrinted>
  <dcterms:created xsi:type="dcterms:W3CDTF">2015-03-26T08:06:00Z</dcterms:created>
  <dcterms:modified xsi:type="dcterms:W3CDTF">2015-05-07T06:40:00Z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0x0101008386EB84DF20CE4D8D9D1A5C7A92FD24</vt:lpwstr>
  </property>
  <property fmtid="{D5CDD505-2E9C-101B-9397-08002B2CF9AE}" pid="3" name="_dlc_DocIdItemGuid">
    <vt:lpwstr>0354fdee-f711-4d2a-9cf2-2d1c4d9ac92a</vt:lpwstr>
  </property>
  <property fmtid="{D5CDD505-2E9C-101B-9397-08002B2CF9AE}" pid="4" name="SanhedrinDocumentType">
    <vt:r8>10</vt:r8>
  </property>
  <property fmtid="{D5CDD505-2E9C-101B-9397-08002B2CF9AE}" pid="5" name="SanhedrinItemID">
    <vt:r8>563719</vt:r8>
  </property>
</Properties>
</file>