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562244</w:t>
      </w:r>
      <w:bookmarkEnd w:id="0"/>
    </w:p>
    <w:p w14:paraId="7F6961A2" w14:textId="06D44E76"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sidR="00842190">
        <w:rPr>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687B78">
      <w:pPr>
        <w:pStyle w:val="David"/>
        <w:spacing w:line="360" w:lineRule="auto"/>
        <w:ind w:left="3544"/>
        <w:rPr>
          <w:b/>
          <w:bCs/>
          <w:rtl/>
        </w:rPr>
      </w:pPr>
      <w:bookmarkStart w:id="2" w:name="LGS_Initiators_List"/>
      <w:r>
        <w:rPr>
          <w:b/>
          <w:bCs/>
          <w:rtl/>
        </w:rPr>
        <w:t>יוזמות:      חברות הכנסת</w:t>
      </w:r>
      <w:bookmarkEnd w:id="2"/>
      <w:r w:rsidR="00B35784" w:rsidRPr="00F67051">
        <w:rPr>
          <w:b/>
          <w:bCs/>
        </w:rPr>
        <w:tab/>
      </w:r>
      <w:bookmarkStart w:id="3" w:name="LGS_PM_Names"/>
      <w:r>
        <w:rPr>
          <w:rFonts w:hint="cs"/>
          <w:b/>
          <w:bCs/>
          <w:rtl/>
        </w:rPr>
        <w:t>מיכל רוזין</w:t>
      </w:r>
      <w:r>
        <w:br/>
      </w:r>
      <w:r>
        <w:rPr>
          <w:rFonts w:hint="cs"/>
          <w:b/>
          <w:bCs/>
          <w:rtl/>
        </w:rPr>
        <w:t xml:space="preserve"> </w:t>
      </w:r>
      <w:r>
        <w:tab/>
      </w:r>
      <w:r>
        <w:tab/>
      </w:r>
      <w:r>
        <w:tab/>
      </w:r>
      <w:r>
        <w:tab/>
      </w:r>
      <w:r>
        <w:rPr>
          <w:rFonts w:hint="cs"/>
          <w:b/>
          <w:bCs/>
          <w:rtl/>
        </w:rPr>
        <w:t>זהבה גלאון</w:t>
      </w:r>
      <w:r>
        <w:br/>
      </w:r>
      <w:r>
        <w:rPr>
          <w:rFonts w:hint="cs"/>
          <w:b/>
          <w:bCs/>
          <w:rtl/>
        </w:rPr>
        <w:t xml:space="preserve"> </w:t>
      </w:r>
      <w:r>
        <w:tab/>
      </w:r>
      <w:r>
        <w:tab/>
      </w:r>
      <w:r>
        <w:tab/>
      </w:r>
      <w:r>
        <w:tab/>
      </w:r>
      <w:r>
        <w:rPr>
          <w:rFonts w:hint="cs"/>
          <w:b/>
          <w:bCs/>
          <w:rtl/>
        </w:rPr>
        <w:t>תמר זנדברג</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פ/128/20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1AE41285" w:rsidR="00E13C27" w:rsidRPr="00F67051" w:rsidRDefault="00A443CF" w:rsidP="00687B78">
      <w:pPr>
        <w:pStyle w:val="HeadHatzaotHok"/>
        <w:spacing w:line="240" w:lineRule="auto"/>
        <w:rPr>
          <w:rtl/>
        </w:rPr>
      </w:pPr>
      <w:bookmarkStart w:id="7" w:name="LGS_Subject"/>
      <w:r>
        <w:rPr>
          <w:rFonts w:hint="cs"/>
          <w:rtl/>
        </w:rPr>
        <w:t>הצעת חוק דמי הבראה, התשע"ה</w:t>
      </w:r>
      <w:r w:rsidR="00687B78">
        <w:rPr>
          <w:rFonts w:hint="eastAsia"/>
          <w:rtl/>
        </w:rPr>
        <w:t>–</w:t>
      </w:r>
      <w:r>
        <w:rPr>
          <w:rFonts w:hint="cs"/>
          <w:rtl/>
        </w:rPr>
        <w:t>2015</w:t>
      </w:r>
      <w:bookmarkEnd w:id="7"/>
    </w:p>
    <w:p w14:paraId="7F6961AE" w14:textId="77777777" w:rsidR="00E13C27" w:rsidRDefault="00E13C27" w:rsidP="0000131B">
      <w:pPr>
        <w:pStyle w:val="HeadDivreiHesber"/>
        <w:spacing w:before="0" w:after="0" w:line="240" w:lineRule="auto"/>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61039D" w:rsidRPr="006939C3" w14:paraId="46739FE7" w14:textId="77777777" w:rsidTr="007E7499">
        <w:trPr>
          <w:cantSplit/>
          <w:trHeight w:val="60"/>
        </w:trPr>
        <w:tc>
          <w:tcPr>
            <w:tcW w:w="1871" w:type="dxa"/>
          </w:tcPr>
          <w:p w14:paraId="5C1D369B" w14:textId="77777777" w:rsidR="0061039D" w:rsidRPr="006939C3" w:rsidRDefault="0061039D" w:rsidP="007E7499">
            <w:pPr>
              <w:pStyle w:val="TableSideHeading"/>
              <w:ind w:right="0"/>
              <w:rPr>
                <w:rtl/>
              </w:rPr>
            </w:pPr>
            <w:r w:rsidRPr="006939C3">
              <w:rPr>
                <w:rtl/>
              </w:rPr>
              <w:t>הזכות לדמי הבראה</w:t>
            </w:r>
          </w:p>
        </w:tc>
        <w:tc>
          <w:tcPr>
            <w:tcW w:w="624" w:type="dxa"/>
          </w:tcPr>
          <w:p w14:paraId="67C4BF08" w14:textId="77777777" w:rsidR="0061039D" w:rsidRPr="006939C3" w:rsidRDefault="0061039D" w:rsidP="007E7499">
            <w:pPr>
              <w:pStyle w:val="TableText"/>
            </w:pPr>
            <w:r w:rsidRPr="006939C3">
              <w:rPr>
                <w:rFonts w:hint="cs"/>
                <w:rtl/>
              </w:rPr>
              <w:t>1.</w:t>
            </w:r>
          </w:p>
        </w:tc>
        <w:tc>
          <w:tcPr>
            <w:tcW w:w="7146" w:type="dxa"/>
            <w:gridSpan w:val="2"/>
          </w:tcPr>
          <w:p w14:paraId="01E1973D" w14:textId="6407EAB3" w:rsidR="0061039D" w:rsidRPr="006939C3" w:rsidRDefault="0061039D" w:rsidP="007E7499">
            <w:pPr>
              <w:pStyle w:val="TableBlock"/>
              <w:keepLines w:val="0"/>
              <w:rPr>
                <w:rFonts w:ascii="David" w:hAnsi="David"/>
                <w:sz w:val="26"/>
                <w:rtl/>
              </w:rPr>
            </w:pPr>
            <w:r w:rsidRPr="006939C3">
              <w:rPr>
                <w:rFonts w:ascii="David" w:hAnsi="David" w:hint="cs"/>
                <w:sz w:val="26"/>
                <w:rtl/>
              </w:rPr>
              <w:t>(א)</w:t>
            </w:r>
            <w:r w:rsidRPr="006939C3">
              <w:rPr>
                <w:rFonts w:ascii="David" w:hAnsi="David"/>
                <w:sz w:val="26"/>
                <w:rtl/>
              </w:rPr>
              <w:tab/>
            </w:r>
            <w:r w:rsidRPr="006939C3">
              <w:rPr>
                <w:rFonts w:ascii="David" w:hAnsi="David" w:hint="cs"/>
                <w:sz w:val="26"/>
                <w:rtl/>
              </w:rPr>
              <w:t>עובד שמלאו לו 18 שנים, המועסק במשרה מלאה והשלים שנה לפחות לעבודתו אצל אותו ה</w:t>
            </w:r>
            <w:r w:rsidR="00B33048">
              <w:rPr>
                <w:rFonts w:ascii="David" w:hAnsi="David" w:hint="cs"/>
                <w:sz w:val="26"/>
                <w:rtl/>
              </w:rPr>
              <w:t>מעסיק</w:t>
            </w:r>
            <w:r w:rsidRPr="006939C3">
              <w:rPr>
                <w:rFonts w:ascii="David" w:hAnsi="David" w:hint="cs"/>
                <w:sz w:val="26"/>
                <w:rtl/>
              </w:rPr>
              <w:t xml:space="preserve"> או באותו מקום עבודה, זכאי לדמי הבראה.</w:t>
            </w:r>
          </w:p>
        </w:tc>
      </w:tr>
      <w:tr w:rsidR="0061039D" w:rsidRPr="006939C3" w14:paraId="64E764F4" w14:textId="77777777" w:rsidTr="007E7499">
        <w:trPr>
          <w:cantSplit/>
          <w:trHeight w:val="60"/>
        </w:trPr>
        <w:tc>
          <w:tcPr>
            <w:tcW w:w="1871" w:type="dxa"/>
          </w:tcPr>
          <w:p w14:paraId="5CCA4938" w14:textId="77777777" w:rsidR="0061039D" w:rsidRPr="006939C3" w:rsidRDefault="0061039D" w:rsidP="007E7499">
            <w:pPr>
              <w:pStyle w:val="TableSideHeading"/>
              <w:ind w:right="0"/>
              <w:rPr>
                <w:rtl/>
              </w:rPr>
            </w:pPr>
          </w:p>
        </w:tc>
        <w:tc>
          <w:tcPr>
            <w:tcW w:w="624" w:type="dxa"/>
          </w:tcPr>
          <w:p w14:paraId="5767D431" w14:textId="77777777" w:rsidR="0061039D" w:rsidRPr="006939C3" w:rsidRDefault="0061039D" w:rsidP="007E7499">
            <w:pPr>
              <w:pStyle w:val="TableText"/>
              <w:rPr>
                <w:rtl/>
              </w:rPr>
            </w:pPr>
          </w:p>
        </w:tc>
        <w:tc>
          <w:tcPr>
            <w:tcW w:w="7146" w:type="dxa"/>
            <w:gridSpan w:val="2"/>
          </w:tcPr>
          <w:p w14:paraId="45443664" w14:textId="77777777" w:rsidR="0061039D" w:rsidRPr="006939C3" w:rsidRDefault="0061039D" w:rsidP="007E7499">
            <w:pPr>
              <w:pStyle w:val="TableBlock"/>
              <w:keepLines w:val="0"/>
              <w:rPr>
                <w:rFonts w:ascii="David" w:hAnsi="David"/>
                <w:sz w:val="26"/>
                <w:rtl/>
              </w:rPr>
            </w:pPr>
            <w:r w:rsidRPr="006939C3">
              <w:rPr>
                <w:rFonts w:hint="cs"/>
                <w:rtl/>
              </w:rPr>
              <w:t>(ב)</w:t>
            </w:r>
            <w:r w:rsidRPr="006939C3">
              <w:rPr>
                <w:rtl/>
              </w:rPr>
              <w:tab/>
              <w:t xml:space="preserve">עובד במשרה חלקית </w:t>
            </w:r>
            <w:r w:rsidRPr="006939C3">
              <w:rPr>
                <w:rFonts w:hint="cs"/>
                <w:rtl/>
              </w:rPr>
              <w:t>זכאי ל</w:t>
            </w:r>
            <w:r w:rsidRPr="006939C3">
              <w:rPr>
                <w:rtl/>
              </w:rPr>
              <w:t xml:space="preserve">דמי הבראה באופן יחסי לחלקיות </w:t>
            </w:r>
            <w:r w:rsidRPr="006939C3">
              <w:rPr>
                <w:rFonts w:hint="cs"/>
                <w:rtl/>
              </w:rPr>
              <w:t>משרתו</w:t>
            </w:r>
            <w:r w:rsidRPr="006939C3">
              <w:rPr>
                <w:rtl/>
              </w:rPr>
              <w:t>.</w:t>
            </w:r>
          </w:p>
        </w:tc>
      </w:tr>
      <w:tr w:rsidR="0061039D" w:rsidRPr="006939C3" w14:paraId="025CAAE7" w14:textId="77777777" w:rsidTr="007E7499">
        <w:trPr>
          <w:cantSplit/>
          <w:trHeight w:val="60"/>
        </w:trPr>
        <w:tc>
          <w:tcPr>
            <w:tcW w:w="1871" w:type="dxa"/>
          </w:tcPr>
          <w:p w14:paraId="1C18E18C" w14:textId="77777777" w:rsidR="0061039D" w:rsidRPr="006939C3" w:rsidRDefault="0061039D" w:rsidP="007E7499">
            <w:pPr>
              <w:pStyle w:val="TableSideHeading"/>
              <w:ind w:right="0"/>
              <w:rPr>
                <w:rtl/>
              </w:rPr>
            </w:pPr>
          </w:p>
        </w:tc>
        <w:tc>
          <w:tcPr>
            <w:tcW w:w="624" w:type="dxa"/>
          </w:tcPr>
          <w:p w14:paraId="019189D6" w14:textId="77777777" w:rsidR="0061039D" w:rsidRPr="006939C3" w:rsidRDefault="0061039D" w:rsidP="007E7499">
            <w:pPr>
              <w:pStyle w:val="TableText"/>
            </w:pPr>
          </w:p>
        </w:tc>
        <w:tc>
          <w:tcPr>
            <w:tcW w:w="7146" w:type="dxa"/>
            <w:gridSpan w:val="2"/>
          </w:tcPr>
          <w:p w14:paraId="47617F47" w14:textId="77777777" w:rsidR="0061039D" w:rsidRPr="006939C3" w:rsidRDefault="0061039D" w:rsidP="007E7499">
            <w:pPr>
              <w:pStyle w:val="TableBlock"/>
              <w:rPr>
                <w:rtl/>
              </w:rPr>
            </w:pPr>
            <w:r w:rsidRPr="006939C3">
              <w:rPr>
                <w:rFonts w:hint="cs"/>
                <w:rtl/>
              </w:rPr>
              <w:t>(ג)</w:t>
            </w:r>
            <w:r w:rsidRPr="006939C3">
              <w:rPr>
                <w:rtl/>
              </w:rPr>
              <w:tab/>
            </w:r>
            <w:r w:rsidRPr="006939C3">
              <w:rPr>
                <w:rFonts w:hint="cs"/>
                <w:rtl/>
              </w:rPr>
              <w:t>הוראת סעיף קטן (א) לא תחול על עובדים שיש להם מגבלות פיזיות, נפשיות או שכליות, המועסקים במפעלים מוגנים שאוצר המדינה משתתף בתקציבם.</w:t>
            </w:r>
          </w:p>
        </w:tc>
      </w:tr>
      <w:tr w:rsidR="0061039D" w:rsidRPr="006939C3" w14:paraId="6FF649D3" w14:textId="77777777" w:rsidTr="007E7499">
        <w:trPr>
          <w:cantSplit/>
          <w:trHeight w:val="60"/>
        </w:trPr>
        <w:tc>
          <w:tcPr>
            <w:tcW w:w="1871" w:type="dxa"/>
          </w:tcPr>
          <w:p w14:paraId="38151245" w14:textId="77777777" w:rsidR="0061039D" w:rsidRPr="006939C3" w:rsidRDefault="0061039D" w:rsidP="007E7499">
            <w:pPr>
              <w:pStyle w:val="TableSideHeading"/>
              <w:ind w:right="0"/>
              <w:rPr>
                <w:rtl/>
              </w:rPr>
            </w:pPr>
            <w:r w:rsidRPr="006939C3">
              <w:rPr>
                <w:rFonts w:hint="cs"/>
                <w:rtl/>
              </w:rPr>
              <w:t>דמי ההבראה</w:t>
            </w:r>
          </w:p>
        </w:tc>
        <w:tc>
          <w:tcPr>
            <w:tcW w:w="624" w:type="dxa"/>
          </w:tcPr>
          <w:p w14:paraId="1B6ABD4F" w14:textId="77777777" w:rsidR="0061039D" w:rsidRPr="006939C3" w:rsidRDefault="0061039D" w:rsidP="007E7499">
            <w:pPr>
              <w:pStyle w:val="TableText"/>
            </w:pPr>
            <w:r w:rsidRPr="006939C3">
              <w:rPr>
                <w:rFonts w:hint="cs"/>
                <w:rtl/>
              </w:rPr>
              <w:t>2.</w:t>
            </w:r>
          </w:p>
        </w:tc>
        <w:tc>
          <w:tcPr>
            <w:tcW w:w="7146" w:type="dxa"/>
            <w:gridSpan w:val="2"/>
          </w:tcPr>
          <w:p w14:paraId="68ED3AD1" w14:textId="77777777" w:rsidR="0061039D" w:rsidRPr="006939C3" w:rsidRDefault="0061039D" w:rsidP="007E7499">
            <w:pPr>
              <w:pStyle w:val="TableBlock"/>
              <w:keepLines w:val="0"/>
              <w:rPr>
                <w:rFonts w:ascii="David" w:hAnsi="David"/>
                <w:sz w:val="26"/>
                <w:rtl/>
              </w:rPr>
            </w:pPr>
            <w:r w:rsidRPr="006939C3">
              <w:rPr>
                <w:rFonts w:ascii="David" w:hAnsi="David" w:hint="cs"/>
                <w:sz w:val="26"/>
                <w:rtl/>
              </w:rPr>
              <w:t>(א)</w:t>
            </w:r>
            <w:r w:rsidRPr="006939C3">
              <w:rPr>
                <w:rFonts w:ascii="David" w:hAnsi="David"/>
                <w:sz w:val="26"/>
                <w:rtl/>
              </w:rPr>
              <w:tab/>
            </w:r>
            <w:r w:rsidRPr="006939C3">
              <w:rPr>
                <w:rFonts w:ascii="David" w:hAnsi="David" w:hint="cs"/>
                <w:sz w:val="26"/>
                <w:rtl/>
              </w:rPr>
              <w:t>דמי ההבראה הם מכפלת הסכום ליום הבראה, כאמור בסעיף קטן (ב), במספר ימי ההבראה שלהם זכאי העובד כאמור בסעיף קטן (ג).</w:t>
            </w:r>
          </w:p>
        </w:tc>
      </w:tr>
      <w:tr w:rsidR="0061039D" w:rsidRPr="006939C3" w14:paraId="24837799" w14:textId="77777777" w:rsidTr="007E7499">
        <w:trPr>
          <w:cantSplit/>
          <w:trHeight w:val="60"/>
        </w:trPr>
        <w:tc>
          <w:tcPr>
            <w:tcW w:w="1871" w:type="dxa"/>
          </w:tcPr>
          <w:p w14:paraId="567B250D" w14:textId="77777777" w:rsidR="0061039D" w:rsidRPr="006939C3" w:rsidRDefault="0061039D" w:rsidP="007E7499">
            <w:pPr>
              <w:pStyle w:val="TableSideHeading"/>
            </w:pPr>
          </w:p>
        </w:tc>
        <w:tc>
          <w:tcPr>
            <w:tcW w:w="624" w:type="dxa"/>
          </w:tcPr>
          <w:p w14:paraId="4D49583C" w14:textId="77777777" w:rsidR="0061039D" w:rsidRPr="006939C3" w:rsidRDefault="0061039D" w:rsidP="007E7499">
            <w:pPr>
              <w:pStyle w:val="TableText"/>
            </w:pPr>
          </w:p>
        </w:tc>
        <w:tc>
          <w:tcPr>
            <w:tcW w:w="624" w:type="dxa"/>
          </w:tcPr>
          <w:p w14:paraId="11CAE0F3" w14:textId="77777777" w:rsidR="0061039D" w:rsidRPr="006939C3" w:rsidRDefault="0061039D" w:rsidP="007E7499">
            <w:pPr>
              <w:pStyle w:val="TableText"/>
            </w:pPr>
            <w:r w:rsidRPr="006939C3">
              <w:rPr>
                <w:rFonts w:hint="cs"/>
                <w:rtl/>
              </w:rPr>
              <w:t>(ב)</w:t>
            </w:r>
          </w:p>
        </w:tc>
        <w:tc>
          <w:tcPr>
            <w:tcW w:w="6522" w:type="dxa"/>
          </w:tcPr>
          <w:p w14:paraId="2F247404" w14:textId="77777777" w:rsidR="0061039D" w:rsidRPr="006939C3" w:rsidRDefault="0061039D" w:rsidP="007E7499">
            <w:pPr>
              <w:pStyle w:val="TableBlock"/>
            </w:pPr>
            <w:r w:rsidRPr="006939C3">
              <w:rPr>
                <w:rFonts w:hint="cs"/>
                <w:rtl/>
              </w:rPr>
              <w:t>(1)</w:t>
            </w:r>
            <w:r w:rsidRPr="006939C3">
              <w:rPr>
                <w:rtl/>
              </w:rPr>
              <w:tab/>
            </w:r>
            <w:r w:rsidRPr="006939C3">
              <w:rPr>
                <w:rFonts w:hint="cs"/>
                <w:rtl/>
              </w:rPr>
              <w:t xml:space="preserve">הסכום ליום הבראה הוא </w:t>
            </w:r>
            <w:r w:rsidRPr="006939C3">
              <w:rPr>
                <w:rtl/>
              </w:rPr>
              <w:t xml:space="preserve">365 </w:t>
            </w:r>
            <w:r>
              <w:rPr>
                <w:rFonts w:hint="cs"/>
                <w:rtl/>
              </w:rPr>
              <w:t>שקלים חדשים.</w:t>
            </w:r>
          </w:p>
        </w:tc>
      </w:tr>
      <w:tr w:rsidR="0061039D" w:rsidRPr="006939C3" w14:paraId="0D4B8C04" w14:textId="77777777" w:rsidTr="007E7499">
        <w:trPr>
          <w:cantSplit/>
          <w:trHeight w:val="60"/>
        </w:trPr>
        <w:tc>
          <w:tcPr>
            <w:tcW w:w="1871" w:type="dxa"/>
          </w:tcPr>
          <w:p w14:paraId="6290009F" w14:textId="77777777" w:rsidR="0061039D" w:rsidRPr="006939C3" w:rsidRDefault="0061039D" w:rsidP="007E7499">
            <w:pPr>
              <w:pStyle w:val="TableSideHeading"/>
            </w:pPr>
          </w:p>
        </w:tc>
        <w:tc>
          <w:tcPr>
            <w:tcW w:w="624" w:type="dxa"/>
          </w:tcPr>
          <w:p w14:paraId="4974BE03" w14:textId="77777777" w:rsidR="0061039D" w:rsidRPr="006939C3" w:rsidRDefault="0061039D" w:rsidP="007E7499">
            <w:pPr>
              <w:pStyle w:val="TableText"/>
            </w:pPr>
          </w:p>
        </w:tc>
        <w:tc>
          <w:tcPr>
            <w:tcW w:w="624" w:type="dxa"/>
          </w:tcPr>
          <w:p w14:paraId="1EAA424C" w14:textId="77777777" w:rsidR="0061039D" w:rsidRPr="006939C3" w:rsidRDefault="0061039D" w:rsidP="007E7499">
            <w:pPr>
              <w:pStyle w:val="TableText"/>
              <w:rPr>
                <w:rtl/>
              </w:rPr>
            </w:pPr>
          </w:p>
        </w:tc>
        <w:tc>
          <w:tcPr>
            <w:tcW w:w="6522" w:type="dxa"/>
          </w:tcPr>
          <w:p w14:paraId="04BE22D9" w14:textId="77777777" w:rsidR="0061039D" w:rsidRPr="006939C3" w:rsidRDefault="0061039D" w:rsidP="007E7499">
            <w:pPr>
              <w:pStyle w:val="TableBlock"/>
              <w:rPr>
                <w:rtl/>
              </w:rPr>
            </w:pPr>
            <w:r w:rsidRPr="006939C3">
              <w:rPr>
                <w:rFonts w:hint="cs"/>
                <w:rtl/>
              </w:rPr>
              <w:t>(2)</w:t>
            </w:r>
            <w:r w:rsidRPr="006939C3">
              <w:rPr>
                <w:rtl/>
              </w:rPr>
              <w:tab/>
            </w:r>
            <w:r w:rsidRPr="006939C3">
              <w:rPr>
                <w:rFonts w:hint="cs"/>
                <w:rtl/>
              </w:rPr>
              <w:t>הסכום האמור בסעיף קטן (א) יעודכן ב-1 ביולי של כל שנה, החל מיום כ"ג בתמוז התשע"ג (1 ביולי 2013),</w:t>
            </w:r>
            <w:r w:rsidRPr="006939C3">
              <w:rPr>
                <w:rtl/>
              </w:rPr>
              <w:t xml:space="preserve"> בהתאם ל</w:t>
            </w:r>
            <w:r w:rsidRPr="006939C3">
              <w:rPr>
                <w:rFonts w:hint="cs"/>
                <w:rtl/>
              </w:rPr>
              <w:t>שיעור הש</w:t>
            </w:r>
            <w:r w:rsidRPr="006939C3">
              <w:rPr>
                <w:rtl/>
              </w:rPr>
              <w:t>ינוי ב</w:t>
            </w:r>
            <w:r w:rsidRPr="006939C3">
              <w:rPr>
                <w:rFonts w:hint="cs"/>
                <w:rtl/>
              </w:rPr>
              <w:t>ין המדד שפורסם בחודש יוני של אותה שנה, לבין המדד שפורסם בחודש יוני בשנה שקדמה למועד העדכון; לעניין זה, "</w:t>
            </w:r>
            <w:r w:rsidRPr="006939C3">
              <w:rPr>
                <w:rtl/>
              </w:rPr>
              <w:t>מדד</w:t>
            </w:r>
            <w:r w:rsidRPr="006939C3">
              <w:rPr>
                <w:rFonts w:hint="cs"/>
                <w:rtl/>
              </w:rPr>
              <w:t>" – מדד המחירים לצרכן ש</w:t>
            </w:r>
            <w:r>
              <w:rPr>
                <w:rFonts w:hint="cs"/>
                <w:rtl/>
              </w:rPr>
              <w:t>מפרסמת הלשכה המרכזית לסטטיסטיקה.</w:t>
            </w:r>
          </w:p>
        </w:tc>
      </w:tr>
      <w:tr w:rsidR="0061039D" w:rsidRPr="006939C3" w14:paraId="6AE877FF" w14:textId="77777777" w:rsidTr="007E7499">
        <w:trPr>
          <w:cantSplit/>
          <w:trHeight w:val="60"/>
        </w:trPr>
        <w:tc>
          <w:tcPr>
            <w:tcW w:w="1871" w:type="dxa"/>
          </w:tcPr>
          <w:p w14:paraId="26473D3C" w14:textId="77777777" w:rsidR="0061039D" w:rsidRPr="006939C3" w:rsidRDefault="0061039D" w:rsidP="007E7499">
            <w:pPr>
              <w:pStyle w:val="TableSideHeading"/>
            </w:pPr>
          </w:p>
        </w:tc>
        <w:tc>
          <w:tcPr>
            <w:tcW w:w="624" w:type="dxa"/>
          </w:tcPr>
          <w:p w14:paraId="16050117" w14:textId="77777777" w:rsidR="0061039D" w:rsidRPr="006939C3" w:rsidRDefault="0061039D" w:rsidP="007E7499">
            <w:pPr>
              <w:pStyle w:val="TableText"/>
            </w:pPr>
          </w:p>
        </w:tc>
        <w:tc>
          <w:tcPr>
            <w:tcW w:w="624" w:type="dxa"/>
          </w:tcPr>
          <w:p w14:paraId="59077E1C" w14:textId="77777777" w:rsidR="0061039D" w:rsidRPr="006939C3" w:rsidRDefault="0061039D" w:rsidP="007E7499">
            <w:pPr>
              <w:pStyle w:val="TableText"/>
              <w:rPr>
                <w:rtl/>
              </w:rPr>
            </w:pPr>
          </w:p>
        </w:tc>
        <w:tc>
          <w:tcPr>
            <w:tcW w:w="6522" w:type="dxa"/>
          </w:tcPr>
          <w:p w14:paraId="0F7DDF34" w14:textId="77777777" w:rsidR="0061039D" w:rsidRPr="006939C3" w:rsidRDefault="0061039D" w:rsidP="007E7499">
            <w:pPr>
              <w:pStyle w:val="TableBlock"/>
              <w:rPr>
                <w:rtl/>
              </w:rPr>
            </w:pPr>
            <w:r w:rsidRPr="006939C3">
              <w:rPr>
                <w:rFonts w:ascii="David" w:hAnsi="David" w:hint="cs"/>
                <w:sz w:val="26"/>
                <w:rtl/>
              </w:rPr>
              <w:t>(3)</w:t>
            </w:r>
            <w:r w:rsidRPr="006939C3">
              <w:rPr>
                <w:rFonts w:ascii="David" w:hAnsi="David" w:hint="cs"/>
                <w:sz w:val="26"/>
                <w:rtl/>
              </w:rPr>
              <w:tab/>
              <w:t>שר הכלכלה יפרסם ברשומות ובאתר האינטרנט של משרד הכלכלה הודעה בדבר הסכום המעודכן ליום הבראה, עם עדכונו.</w:t>
            </w:r>
          </w:p>
        </w:tc>
      </w:tr>
      <w:tr w:rsidR="0061039D" w:rsidRPr="006939C3" w14:paraId="50B2DF27" w14:textId="77777777" w:rsidTr="007E7499">
        <w:trPr>
          <w:cantSplit/>
          <w:trHeight w:val="60"/>
        </w:trPr>
        <w:tc>
          <w:tcPr>
            <w:tcW w:w="1871" w:type="dxa"/>
          </w:tcPr>
          <w:p w14:paraId="735074FC" w14:textId="77777777" w:rsidR="0061039D" w:rsidRPr="006939C3" w:rsidRDefault="0061039D" w:rsidP="007E7499">
            <w:pPr>
              <w:pStyle w:val="TableSideHeading"/>
              <w:ind w:right="0"/>
              <w:rPr>
                <w:rtl/>
              </w:rPr>
            </w:pPr>
          </w:p>
        </w:tc>
        <w:tc>
          <w:tcPr>
            <w:tcW w:w="624" w:type="dxa"/>
          </w:tcPr>
          <w:p w14:paraId="70A4D16B" w14:textId="77777777" w:rsidR="0061039D" w:rsidRPr="006939C3" w:rsidRDefault="0061039D" w:rsidP="007E7499">
            <w:pPr>
              <w:pStyle w:val="TableText"/>
              <w:rPr>
                <w:rtl/>
              </w:rPr>
            </w:pPr>
          </w:p>
        </w:tc>
        <w:tc>
          <w:tcPr>
            <w:tcW w:w="7146" w:type="dxa"/>
            <w:gridSpan w:val="2"/>
          </w:tcPr>
          <w:p w14:paraId="7E02E908" w14:textId="1EC3C4AC" w:rsidR="0061039D" w:rsidRPr="006939C3" w:rsidRDefault="0061039D" w:rsidP="007E7499">
            <w:pPr>
              <w:pStyle w:val="TableBlock"/>
              <w:keepLines w:val="0"/>
              <w:rPr>
                <w:rFonts w:ascii="David" w:hAnsi="David"/>
                <w:sz w:val="26"/>
                <w:rtl/>
              </w:rPr>
            </w:pPr>
            <w:r w:rsidRPr="006939C3">
              <w:rPr>
                <w:rFonts w:ascii="David" w:hAnsi="David" w:hint="cs"/>
                <w:sz w:val="26"/>
                <w:rtl/>
              </w:rPr>
              <w:t>(ג)</w:t>
            </w:r>
            <w:r w:rsidRPr="006939C3">
              <w:rPr>
                <w:rFonts w:hint="cs"/>
                <w:rtl/>
              </w:rPr>
              <w:tab/>
              <w:t xml:space="preserve">מספר ימי ההבראה שלהם זכאי העובד יחושבו לפי משך העבודה של העובד אצל אותו </w:t>
            </w:r>
            <w:r w:rsidR="00B33048">
              <w:rPr>
                <w:rFonts w:hint="cs"/>
                <w:rtl/>
              </w:rPr>
              <w:t>מעסיק</w:t>
            </w:r>
            <w:r w:rsidRPr="006939C3">
              <w:rPr>
                <w:rFonts w:hint="cs"/>
                <w:rtl/>
              </w:rPr>
              <w:t xml:space="preserve"> או באותו מקום עבודה</w:t>
            </w:r>
            <w:r>
              <w:rPr>
                <w:rFonts w:hint="cs"/>
                <w:rtl/>
              </w:rPr>
              <w:t xml:space="preserve"> –</w:t>
            </w:r>
          </w:p>
        </w:tc>
      </w:tr>
      <w:tr w:rsidR="0061039D" w:rsidRPr="006939C3" w14:paraId="04D81682" w14:textId="77777777" w:rsidTr="007E7499">
        <w:trPr>
          <w:cantSplit/>
          <w:trHeight w:val="60"/>
        </w:trPr>
        <w:tc>
          <w:tcPr>
            <w:tcW w:w="1871" w:type="dxa"/>
          </w:tcPr>
          <w:p w14:paraId="7927AFC2" w14:textId="77777777" w:rsidR="0061039D" w:rsidRPr="006939C3" w:rsidRDefault="0061039D" w:rsidP="007E7499">
            <w:pPr>
              <w:pStyle w:val="TableSideHeading"/>
            </w:pPr>
          </w:p>
        </w:tc>
        <w:tc>
          <w:tcPr>
            <w:tcW w:w="624" w:type="dxa"/>
          </w:tcPr>
          <w:p w14:paraId="028EA875" w14:textId="77777777" w:rsidR="0061039D" w:rsidRPr="006939C3" w:rsidRDefault="0061039D" w:rsidP="007E7499">
            <w:pPr>
              <w:pStyle w:val="TableText"/>
            </w:pPr>
          </w:p>
        </w:tc>
        <w:tc>
          <w:tcPr>
            <w:tcW w:w="624" w:type="dxa"/>
          </w:tcPr>
          <w:p w14:paraId="35E13119" w14:textId="77777777" w:rsidR="0061039D" w:rsidRPr="006939C3" w:rsidRDefault="0061039D" w:rsidP="007E7499">
            <w:pPr>
              <w:pStyle w:val="TableText"/>
            </w:pPr>
          </w:p>
        </w:tc>
        <w:tc>
          <w:tcPr>
            <w:tcW w:w="6522" w:type="dxa"/>
          </w:tcPr>
          <w:p w14:paraId="1B256673" w14:textId="77777777" w:rsidR="0061039D" w:rsidRPr="006939C3" w:rsidRDefault="0061039D" w:rsidP="007E7499">
            <w:pPr>
              <w:pStyle w:val="TableBlock"/>
            </w:pPr>
            <w:r w:rsidRPr="006939C3">
              <w:rPr>
                <w:rFonts w:hint="cs"/>
                <w:rtl/>
              </w:rPr>
              <w:t>(1)</w:t>
            </w:r>
            <w:r w:rsidRPr="006939C3">
              <w:rPr>
                <w:rtl/>
              </w:rPr>
              <w:tab/>
            </w:r>
            <w:r w:rsidRPr="006939C3">
              <w:rPr>
                <w:rFonts w:ascii="David" w:hAnsi="David" w:hint="cs"/>
                <w:sz w:val="26"/>
                <w:rtl/>
              </w:rPr>
              <w:t>בשנה הראשונה לעבודה –</w:t>
            </w:r>
            <w:r w:rsidRPr="006939C3">
              <w:rPr>
                <w:rFonts w:ascii="David" w:hAnsi="David"/>
                <w:sz w:val="26"/>
                <w:rtl/>
              </w:rPr>
              <w:t xml:space="preserve"> </w:t>
            </w:r>
            <w:r w:rsidRPr="006939C3">
              <w:rPr>
                <w:rFonts w:ascii="David" w:hAnsi="David"/>
                <w:sz w:val="26"/>
              </w:rPr>
              <w:t>5</w:t>
            </w:r>
            <w:r w:rsidRPr="006939C3">
              <w:rPr>
                <w:rFonts w:ascii="David" w:hAnsi="David"/>
                <w:sz w:val="26"/>
                <w:rtl/>
              </w:rPr>
              <w:t xml:space="preserve"> ימי הבראה</w:t>
            </w:r>
            <w:r w:rsidRPr="006939C3">
              <w:rPr>
                <w:rFonts w:hint="cs"/>
                <w:rtl/>
              </w:rPr>
              <w:t>;</w:t>
            </w:r>
          </w:p>
        </w:tc>
      </w:tr>
      <w:tr w:rsidR="0061039D" w:rsidRPr="006939C3" w14:paraId="691C1985" w14:textId="77777777" w:rsidTr="007E7499">
        <w:trPr>
          <w:cantSplit/>
          <w:trHeight w:val="60"/>
        </w:trPr>
        <w:tc>
          <w:tcPr>
            <w:tcW w:w="1871" w:type="dxa"/>
          </w:tcPr>
          <w:p w14:paraId="70E42CB3" w14:textId="77777777" w:rsidR="0061039D" w:rsidRPr="006939C3" w:rsidRDefault="0061039D" w:rsidP="007E7499">
            <w:pPr>
              <w:pStyle w:val="TableSideHeading"/>
            </w:pPr>
          </w:p>
        </w:tc>
        <w:tc>
          <w:tcPr>
            <w:tcW w:w="624" w:type="dxa"/>
          </w:tcPr>
          <w:p w14:paraId="7C93C70F" w14:textId="77777777" w:rsidR="0061039D" w:rsidRPr="006939C3" w:rsidRDefault="0061039D" w:rsidP="007E7499">
            <w:pPr>
              <w:pStyle w:val="TableText"/>
            </w:pPr>
          </w:p>
        </w:tc>
        <w:tc>
          <w:tcPr>
            <w:tcW w:w="624" w:type="dxa"/>
          </w:tcPr>
          <w:p w14:paraId="4C488A34" w14:textId="77777777" w:rsidR="0061039D" w:rsidRPr="006939C3" w:rsidRDefault="0061039D" w:rsidP="007E7499">
            <w:pPr>
              <w:pStyle w:val="TableText"/>
            </w:pPr>
          </w:p>
        </w:tc>
        <w:tc>
          <w:tcPr>
            <w:tcW w:w="6522" w:type="dxa"/>
          </w:tcPr>
          <w:p w14:paraId="15EABB32" w14:textId="77777777" w:rsidR="0061039D" w:rsidRPr="006939C3" w:rsidRDefault="0061039D" w:rsidP="007E7499">
            <w:pPr>
              <w:pStyle w:val="TableBlock"/>
              <w:rPr>
                <w:rtl/>
              </w:rPr>
            </w:pPr>
            <w:r w:rsidRPr="006939C3">
              <w:rPr>
                <w:rFonts w:hint="cs"/>
                <w:rtl/>
              </w:rPr>
              <w:t>(2)</w:t>
            </w:r>
            <w:r w:rsidRPr="006939C3">
              <w:rPr>
                <w:rtl/>
              </w:rPr>
              <w:tab/>
              <w:t>מהשנה השנ</w:t>
            </w:r>
            <w:r>
              <w:rPr>
                <w:rFonts w:hint="cs"/>
                <w:rtl/>
              </w:rPr>
              <w:t>י</w:t>
            </w:r>
            <w:r w:rsidRPr="006939C3">
              <w:rPr>
                <w:rtl/>
              </w:rPr>
              <w:t>יה ועד השנה השלישית לעבודה</w:t>
            </w:r>
            <w:r w:rsidRPr="006939C3">
              <w:rPr>
                <w:rFonts w:hint="cs"/>
                <w:rtl/>
              </w:rPr>
              <w:t xml:space="preserve"> –</w:t>
            </w:r>
            <w:r w:rsidRPr="006939C3">
              <w:rPr>
                <w:rtl/>
              </w:rPr>
              <w:t xml:space="preserve"> 6 ימי הבראה</w:t>
            </w:r>
            <w:r w:rsidRPr="006939C3">
              <w:rPr>
                <w:rFonts w:hint="cs"/>
                <w:rtl/>
              </w:rPr>
              <w:t>;</w:t>
            </w:r>
          </w:p>
        </w:tc>
      </w:tr>
      <w:tr w:rsidR="0061039D" w:rsidRPr="006939C3" w14:paraId="49E3C8B8" w14:textId="77777777" w:rsidTr="007E7499">
        <w:trPr>
          <w:cantSplit/>
          <w:trHeight w:val="60"/>
        </w:trPr>
        <w:tc>
          <w:tcPr>
            <w:tcW w:w="1871" w:type="dxa"/>
          </w:tcPr>
          <w:p w14:paraId="760BF188" w14:textId="77777777" w:rsidR="0061039D" w:rsidRPr="006939C3" w:rsidRDefault="0061039D" w:rsidP="007E7499">
            <w:pPr>
              <w:pStyle w:val="TableSideHeading"/>
            </w:pPr>
          </w:p>
        </w:tc>
        <w:tc>
          <w:tcPr>
            <w:tcW w:w="624" w:type="dxa"/>
          </w:tcPr>
          <w:p w14:paraId="433DF607" w14:textId="77777777" w:rsidR="0061039D" w:rsidRPr="006939C3" w:rsidRDefault="0061039D" w:rsidP="007E7499">
            <w:pPr>
              <w:pStyle w:val="TableText"/>
            </w:pPr>
          </w:p>
        </w:tc>
        <w:tc>
          <w:tcPr>
            <w:tcW w:w="624" w:type="dxa"/>
          </w:tcPr>
          <w:p w14:paraId="3B143B8B" w14:textId="77777777" w:rsidR="0061039D" w:rsidRPr="006939C3" w:rsidRDefault="0061039D" w:rsidP="007E7499">
            <w:pPr>
              <w:pStyle w:val="TableText"/>
            </w:pPr>
          </w:p>
        </w:tc>
        <w:tc>
          <w:tcPr>
            <w:tcW w:w="6522" w:type="dxa"/>
          </w:tcPr>
          <w:p w14:paraId="123D0489" w14:textId="77777777" w:rsidR="0061039D" w:rsidRPr="006939C3" w:rsidRDefault="0061039D" w:rsidP="007E7499">
            <w:pPr>
              <w:pStyle w:val="TableBlock"/>
              <w:rPr>
                <w:rtl/>
              </w:rPr>
            </w:pPr>
            <w:r w:rsidRPr="006939C3">
              <w:rPr>
                <w:rFonts w:ascii="David" w:hAnsi="David" w:hint="cs"/>
                <w:sz w:val="26"/>
                <w:rtl/>
              </w:rPr>
              <w:t>(3)</w:t>
            </w:r>
            <w:r w:rsidRPr="006939C3">
              <w:rPr>
                <w:rFonts w:ascii="David" w:hAnsi="David"/>
                <w:sz w:val="26"/>
                <w:rtl/>
              </w:rPr>
              <w:tab/>
              <w:t>מהשנה הרביעית ועד השנה העשירית לעבודה</w:t>
            </w:r>
            <w:r w:rsidRPr="006939C3">
              <w:rPr>
                <w:rFonts w:ascii="David" w:hAnsi="David" w:hint="cs"/>
                <w:sz w:val="26"/>
                <w:rtl/>
              </w:rPr>
              <w:t xml:space="preserve"> –</w:t>
            </w:r>
            <w:r w:rsidRPr="006939C3">
              <w:rPr>
                <w:rFonts w:ascii="David" w:hAnsi="David"/>
                <w:sz w:val="26"/>
                <w:rtl/>
              </w:rPr>
              <w:t xml:space="preserve"> </w:t>
            </w:r>
            <w:r w:rsidRPr="006939C3">
              <w:rPr>
                <w:rFonts w:ascii="David" w:hAnsi="David"/>
                <w:sz w:val="26"/>
              </w:rPr>
              <w:t>7</w:t>
            </w:r>
            <w:r w:rsidRPr="006939C3">
              <w:rPr>
                <w:rFonts w:ascii="David" w:hAnsi="David"/>
                <w:sz w:val="26"/>
                <w:rtl/>
              </w:rPr>
              <w:t xml:space="preserve"> ימי הבראה</w:t>
            </w:r>
            <w:r w:rsidRPr="006939C3">
              <w:rPr>
                <w:rFonts w:hint="cs"/>
                <w:rtl/>
              </w:rPr>
              <w:t>;</w:t>
            </w:r>
          </w:p>
        </w:tc>
      </w:tr>
      <w:tr w:rsidR="0061039D" w:rsidRPr="006939C3" w14:paraId="3D7A5298" w14:textId="77777777" w:rsidTr="007E7499">
        <w:trPr>
          <w:cantSplit/>
          <w:trHeight w:val="60"/>
        </w:trPr>
        <w:tc>
          <w:tcPr>
            <w:tcW w:w="1871" w:type="dxa"/>
          </w:tcPr>
          <w:p w14:paraId="42982997" w14:textId="77777777" w:rsidR="0061039D" w:rsidRPr="006939C3" w:rsidRDefault="0061039D" w:rsidP="007E7499">
            <w:pPr>
              <w:pStyle w:val="TableSideHeading"/>
            </w:pPr>
          </w:p>
        </w:tc>
        <w:tc>
          <w:tcPr>
            <w:tcW w:w="624" w:type="dxa"/>
          </w:tcPr>
          <w:p w14:paraId="62804B2A" w14:textId="77777777" w:rsidR="0061039D" w:rsidRPr="006939C3" w:rsidRDefault="0061039D" w:rsidP="007E7499">
            <w:pPr>
              <w:pStyle w:val="TableText"/>
            </w:pPr>
          </w:p>
        </w:tc>
        <w:tc>
          <w:tcPr>
            <w:tcW w:w="624" w:type="dxa"/>
          </w:tcPr>
          <w:p w14:paraId="6ED064C5" w14:textId="77777777" w:rsidR="0061039D" w:rsidRPr="006939C3" w:rsidRDefault="0061039D" w:rsidP="007E7499">
            <w:pPr>
              <w:pStyle w:val="TableText"/>
            </w:pPr>
          </w:p>
        </w:tc>
        <w:tc>
          <w:tcPr>
            <w:tcW w:w="6522" w:type="dxa"/>
          </w:tcPr>
          <w:p w14:paraId="4BB6C397" w14:textId="77777777" w:rsidR="0061039D" w:rsidRPr="006939C3" w:rsidRDefault="0061039D" w:rsidP="007E7499">
            <w:pPr>
              <w:pStyle w:val="TableBlock"/>
              <w:rPr>
                <w:rtl/>
              </w:rPr>
            </w:pPr>
            <w:r w:rsidRPr="006939C3">
              <w:rPr>
                <w:rFonts w:ascii="David" w:hAnsi="David" w:hint="cs"/>
                <w:sz w:val="26"/>
                <w:rtl/>
              </w:rPr>
              <w:t>(4)</w:t>
            </w:r>
            <w:r w:rsidRPr="006939C3">
              <w:rPr>
                <w:rFonts w:ascii="David" w:hAnsi="David"/>
                <w:sz w:val="26"/>
                <w:rtl/>
              </w:rPr>
              <w:tab/>
              <w:t>מהשנה האחת עשרה ועד השנה החמש עשרה לעבודה</w:t>
            </w:r>
            <w:r w:rsidRPr="006939C3">
              <w:rPr>
                <w:rFonts w:ascii="David" w:hAnsi="David" w:hint="cs"/>
                <w:sz w:val="26"/>
                <w:rtl/>
              </w:rPr>
              <w:t xml:space="preserve"> –</w:t>
            </w:r>
            <w:r w:rsidRPr="006939C3">
              <w:rPr>
                <w:rFonts w:ascii="David" w:hAnsi="David"/>
                <w:sz w:val="26"/>
                <w:rtl/>
              </w:rPr>
              <w:t xml:space="preserve"> </w:t>
            </w:r>
            <w:r w:rsidRPr="006939C3">
              <w:rPr>
                <w:rFonts w:ascii="David" w:hAnsi="David"/>
                <w:sz w:val="26"/>
              </w:rPr>
              <w:t>8</w:t>
            </w:r>
            <w:r w:rsidRPr="006939C3">
              <w:rPr>
                <w:rFonts w:ascii="David" w:hAnsi="David"/>
                <w:sz w:val="26"/>
                <w:rtl/>
              </w:rPr>
              <w:t xml:space="preserve"> ימי הבראה</w:t>
            </w:r>
            <w:r w:rsidRPr="006939C3">
              <w:rPr>
                <w:rFonts w:hint="cs"/>
                <w:rtl/>
              </w:rPr>
              <w:t>;</w:t>
            </w:r>
          </w:p>
        </w:tc>
      </w:tr>
      <w:tr w:rsidR="0061039D" w:rsidRPr="006939C3" w14:paraId="395F88AD" w14:textId="77777777" w:rsidTr="007E7499">
        <w:trPr>
          <w:cantSplit/>
          <w:trHeight w:val="60"/>
        </w:trPr>
        <w:tc>
          <w:tcPr>
            <w:tcW w:w="1871" w:type="dxa"/>
          </w:tcPr>
          <w:p w14:paraId="18BF69C9" w14:textId="77777777" w:rsidR="0061039D" w:rsidRPr="006939C3" w:rsidRDefault="0061039D" w:rsidP="007E7499">
            <w:pPr>
              <w:pStyle w:val="TableSideHeading"/>
            </w:pPr>
          </w:p>
        </w:tc>
        <w:tc>
          <w:tcPr>
            <w:tcW w:w="624" w:type="dxa"/>
          </w:tcPr>
          <w:p w14:paraId="024A1253" w14:textId="77777777" w:rsidR="0061039D" w:rsidRPr="006939C3" w:rsidRDefault="0061039D" w:rsidP="007E7499">
            <w:pPr>
              <w:pStyle w:val="TableText"/>
            </w:pPr>
          </w:p>
        </w:tc>
        <w:tc>
          <w:tcPr>
            <w:tcW w:w="624" w:type="dxa"/>
          </w:tcPr>
          <w:p w14:paraId="6EADA682" w14:textId="77777777" w:rsidR="0061039D" w:rsidRPr="006939C3" w:rsidRDefault="0061039D" w:rsidP="007E7499">
            <w:pPr>
              <w:pStyle w:val="TableText"/>
            </w:pPr>
          </w:p>
        </w:tc>
        <w:tc>
          <w:tcPr>
            <w:tcW w:w="6522" w:type="dxa"/>
          </w:tcPr>
          <w:p w14:paraId="16D9B774" w14:textId="77777777" w:rsidR="0061039D" w:rsidRPr="006939C3" w:rsidRDefault="0061039D" w:rsidP="007E7499">
            <w:pPr>
              <w:pStyle w:val="TableBlock"/>
              <w:rPr>
                <w:rtl/>
              </w:rPr>
            </w:pPr>
            <w:r w:rsidRPr="006939C3">
              <w:rPr>
                <w:rFonts w:ascii="David" w:hAnsi="David" w:hint="cs"/>
                <w:sz w:val="26"/>
                <w:rtl/>
              </w:rPr>
              <w:t>(5)</w:t>
            </w:r>
            <w:r w:rsidRPr="006939C3">
              <w:rPr>
                <w:rFonts w:ascii="David" w:hAnsi="David"/>
                <w:sz w:val="26"/>
                <w:rtl/>
              </w:rPr>
              <w:tab/>
              <w:t>מהשנה השש עשרה ועד השנה התשע עשרה לעבודה</w:t>
            </w:r>
            <w:r w:rsidRPr="006939C3">
              <w:rPr>
                <w:rFonts w:ascii="David" w:hAnsi="David" w:hint="cs"/>
                <w:sz w:val="26"/>
                <w:rtl/>
              </w:rPr>
              <w:t xml:space="preserve"> –</w:t>
            </w:r>
            <w:r w:rsidRPr="006939C3">
              <w:rPr>
                <w:rFonts w:ascii="David" w:hAnsi="David"/>
                <w:sz w:val="26"/>
                <w:rtl/>
              </w:rPr>
              <w:t xml:space="preserve"> </w:t>
            </w:r>
            <w:r w:rsidRPr="006939C3">
              <w:rPr>
                <w:rFonts w:ascii="David" w:hAnsi="David"/>
                <w:sz w:val="26"/>
              </w:rPr>
              <w:t>9</w:t>
            </w:r>
            <w:r w:rsidRPr="006939C3">
              <w:rPr>
                <w:rFonts w:ascii="David" w:hAnsi="David"/>
                <w:sz w:val="26"/>
                <w:rtl/>
              </w:rPr>
              <w:t xml:space="preserve"> ימי הבראה</w:t>
            </w:r>
            <w:r w:rsidRPr="006939C3">
              <w:rPr>
                <w:rFonts w:hint="cs"/>
                <w:rtl/>
              </w:rPr>
              <w:t>;</w:t>
            </w:r>
          </w:p>
        </w:tc>
      </w:tr>
      <w:tr w:rsidR="0061039D" w:rsidRPr="006939C3" w14:paraId="18152B33" w14:textId="77777777" w:rsidTr="007E7499">
        <w:trPr>
          <w:cantSplit/>
          <w:trHeight w:val="60"/>
        </w:trPr>
        <w:tc>
          <w:tcPr>
            <w:tcW w:w="1871" w:type="dxa"/>
          </w:tcPr>
          <w:p w14:paraId="210B1CC8" w14:textId="77777777" w:rsidR="0061039D" w:rsidRPr="006939C3" w:rsidRDefault="0061039D" w:rsidP="007E7499">
            <w:pPr>
              <w:pStyle w:val="TableSideHeading"/>
            </w:pPr>
          </w:p>
        </w:tc>
        <w:tc>
          <w:tcPr>
            <w:tcW w:w="624" w:type="dxa"/>
          </w:tcPr>
          <w:p w14:paraId="425BE685" w14:textId="77777777" w:rsidR="0061039D" w:rsidRPr="006939C3" w:rsidRDefault="0061039D" w:rsidP="007E7499">
            <w:pPr>
              <w:pStyle w:val="TableText"/>
            </w:pPr>
          </w:p>
        </w:tc>
        <w:tc>
          <w:tcPr>
            <w:tcW w:w="624" w:type="dxa"/>
          </w:tcPr>
          <w:p w14:paraId="5AA74931" w14:textId="77777777" w:rsidR="0061039D" w:rsidRPr="006939C3" w:rsidRDefault="0061039D" w:rsidP="007E7499">
            <w:pPr>
              <w:pStyle w:val="TableText"/>
            </w:pPr>
          </w:p>
        </w:tc>
        <w:tc>
          <w:tcPr>
            <w:tcW w:w="6522" w:type="dxa"/>
          </w:tcPr>
          <w:p w14:paraId="5EAFC493" w14:textId="77777777" w:rsidR="0061039D" w:rsidRPr="006939C3" w:rsidRDefault="0061039D" w:rsidP="007E7499">
            <w:pPr>
              <w:pStyle w:val="TableBlock"/>
              <w:rPr>
                <w:rtl/>
              </w:rPr>
            </w:pPr>
            <w:r w:rsidRPr="006939C3">
              <w:rPr>
                <w:rFonts w:ascii="David" w:hAnsi="David" w:hint="cs"/>
                <w:sz w:val="26"/>
                <w:rtl/>
              </w:rPr>
              <w:t>(6)</w:t>
            </w:r>
            <w:r w:rsidRPr="006939C3">
              <w:rPr>
                <w:rFonts w:ascii="David" w:hAnsi="David"/>
                <w:sz w:val="26"/>
                <w:rtl/>
              </w:rPr>
              <w:tab/>
              <w:t>מהשנה העשרים ואילך לעבודה</w:t>
            </w:r>
            <w:r w:rsidRPr="006939C3">
              <w:rPr>
                <w:rFonts w:ascii="David" w:hAnsi="David" w:hint="cs"/>
                <w:sz w:val="26"/>
                <w:rtl/>
              </w:rPr>
              <w:t xml:space="preserve"> – </w:t>
            </w:r>
            <w:r w:rsidRPr="006939C3">
              <w:rPr>
                <w:rFonts w:ascii="David" w:hAnsi="David"/>
                <w:sz w:val="26"/>
              </w:rPr>
              <w:t>10</w:t>
            </w:r>
            <w:r w:rsidRPr="006939C3">
              <w:rPr>
                <w:rFonts w:ascii="David" w:hAnsi="David"/>
                <w:sz w:val="26"/>
                <w:rtl/>
              </w:rPr>
              <w:t xml:space="preserve"> ימי הבראה</w:t>
            </w:r>
            <w:r w:rsidRPr="006939C3">
              <w:rPr>
                <w:rFonts w:hint="cs"/>
                <w:rtl/>
              </w:rPr>
              <w:t>.</w:t>
            </w:r>
          </w:p>
        </w:tc>
      </w:tr>
      <w:tr w:rsidR="0061039D" w:rsidRPr="006939C3" w14:paraId="71ED176E" w14:textId="77777777" w:rsidTr="007E7499">
        <w:trPr>
          <w:cantSplit/>
          <w:trHeight w:val="60"/>
        </w:trPr>
        <w:tc>
          <w:tcPr>
            <w:tcW w:w="1871" w:type="dxa"/>
          </w:tcPr>
          <w:p w14:paraId="7F26F74D" w14:textId="77777777" w:rsidR="0061039D" w:rsidRPr="006939C3" w:rsidRDefault="0061039D" w:rsidP="007E7499">
            <w:pPr>
              <w:pStyle w:val="TableSideHeading"/>
            </w:pPr>
            <w:r w:rsidRPr="006939C3">
              <w:rPr>
                <w:rFonts w:hint="cs"/>
                <w:rtl/>
              </w:rPr>
              <w:t>תקופת הזכאות</w:t>
            </w:r>
          </w:p>
        </w:tc>
        <w:tc>
          <w:tcPr>
            <w:tcW w:w="624" w:type="dxa"/>
          </w:tcPr>
          <w:p w14:paraId="14EA3285" w14:textId="77777777" w:rsidR="0061039D" w:rsidRPr="006939C3" w:rsidRDefault="0061039D" w:rsidP="007E7499">
            <w:pPr>
              <w:pStyle w:val="TableText"/>
            </w:pPr>
            <w:r w:rsidRPr="006939C3">
              <w:rPr>
                <w:rFonts w:hint="cs"/>
                <w:rtl/>
              </w:rPr>
              <w:t>3.</w:t>
            </w:r>
          </w:p>
        </w:tc>
        <w:tc>
          <w:tcPr>
            <w:tcW w:w="7146" w:type="dxa"/>
            <w:gridSpan w:val="2"/>
          </w:tcPr>
          <w:p w14:paraId="77A0E138" w14:textId="77777777" w:rsidR="0061039D" w:rsidRPr="006939C3" w:rsidRDefault="0061039D" w:rsidP="007E7499">
            <w:pPr>
              <w:pStyle w:val="TableBlock"/>
              <w:rPr>
                <w:rtl/>
              </w:rPr>
            </w:pPr>
            <w:r w:rsidRPr="006939C3">
              <w:rPr>
                <w:rFonts w:ascii="David" w:hAnsi="David" w:hint="cs"/>
                <w:sz w:val="26"/>
                <w:rtl/>
              </w:rPr>
              <w:t>(א)</w:t>
            </w:r>
            <w:r w:rsidRPr="006939C3">
              <w:rPr>
                <w:rFonts w:ascii="David" w:hAnsi="David"/>
                <w:sz w:val="26"/>
                <w:rtl/>
              </w:rPr>
              <w:tab/>
            </w:r>
            <w:r w:rsidRPr="006939C3">
              <w:rPr>
                <w:rFonts w:ascii="David" w:hAnsi="David" w:hint="cs"/>
                <w:sz w:val="26"/>
                <w:rtl/>
              </w:rPr>
              <w:t>עבד העובד חלק משנה, יהיה זכאי לחלק יחסי מדמי ההבראה.</w:t>
            </w:r>
          </w:p>
        </w:tc>
      </w:tr>
      <w:tr w:rsidR="0061039D" w:rsidRPr="006939C3" w14:paraId="1260DD13" w14:textId="77777777" w:rsidTr="007E7499">
        <w:trPr>
          <w:cantSplit/>
          <w:trHeight w:val="60"/>
        </w:trPr>
        <w:tc>
          <w:tcPr>
            <w:tcW w:w="1871" w:type="dxa"/>
          </w:tcPr>
          <w:p w14:paraId="2FA8BAFE" w14:textId="77777777" w:rsidR="0061039D" w:rsidRPr="006939C3" w:rsidRDefault="0061039D" w:rsidP="007E7499">
            <w:pPr>
              <w:pStyle w:val="TableSideHeading"/>
            </w:pPr>
          </w:p>
        </w:tc>
        <w:tc>
          <w:tcPr>
            <w:tcW w:w="624" w:type="dxa"/>
          </w:tcPr>
          <w:p w14:paraId="771A68A1" w14:textId="77777777" w:rsidR="0061039D" w:rsidRPr="006939C3" w:rsidRDefault="0061039D" w:rsidP="007E7499">
            <w:pPr>
              <w:pStyle w:val="TableText"/>
            </w:pPr>
          </w:p>
        </w:tc>
        <w:tc>
          <w:tcPr>
            <w:tcW w:w="7146" w:type="dxa"/>
            <w:gridSpan w:val="2"/>
          </w:tcPr>
          <w:p w14:paraId="4B2CD7D5" w14:textId="1D3F1D5D" w:rsidR="0061039D" w:rsidRPr="006939C3" w:rsidRDefault="0061039D" w:rsidP="007E7499">
            <w:pPr>
              <w:pStyle w:val="TableBlock"/>
              <w:rPr>
                <w:rFonts w:ascii="David" w:hAnsi="David"/>
                <w:sz w:val="26"/>
                <w:rtl/>
              </w:rPr>
            </w:pPr>
            <w:r w:rsidRPr="006939C3">
              <w:rPr>
                <w:rFonts w:ascii="David" w:hAnsi="David" w:hint="cs"/>
                <w:sz w:val="26"/>
                <w:rtl/>
              </w:rPr>
              <w:t>(ב)</w:t>
            </w:r>
            <w:r w:rsidRPr="006939C3">
              <w:rPr>
                <w:rFonts w:ascii="David" w:hAnsi="David"/>
                <w:sz w:val="26"/>
                <w:rtl/>
              </w:rPr>
              <w:tab/>
            </w:r>
            <w:r w:rsidRPr="006939C3">
              <w:rPr>
                <w:rFonts w:ascii="David" w:hAnsi="David" w:hint="cs"/>
                <w:sz w:val="26"/>
                <w:rtl/>
              </w:rPr>
              <w:t>ב</w:t>
            </w:r>
            <w:r w:rsidRPr="006939C3">
              <w:rPr>
                <w:rFonts w:ascii="David" w:hAnsi="David"/>
                <w:sz w:val="26"/>
                <w:rtl/>
              </w:rPr>
              <w:t xml:space="preserve">קביעת תקופת הזכאות </w:t>
            </w:r>
            <w:r w:rsidRPr="006939C3">
              <w:rPr>
                <w:rFonts w:ascii="David" w:hAnsi="David" w:hint="cs"/>
                <w:sz w:val="26"/>
                <w:rtl/>
              </w:rPr>
              <w:t xml:space="preserve">לדמי הבראה </w:t>
            </w:r>
            <w:r w:rsidRPr="006939C3">
              <w:rPr>
                <w:rFonts w:ascii="David" w:hAnsi="David"/>
                <w:sz w:val="26"/>
                <w:rtl/>
              </w:rPr>
              <w:t>לא תובא בחישוב ה</w:t>
            </w:r>
            <w:r w:rsidRPr="006939C3">
              <w:rPr>
                <w:rFonts w:ascii="David" w:hAnsi="David" w:hint="cs"/>
                <w:sz w:val="26"/>
                <w:rtl/>
              </w:rPr>
              <w:t>י</w:t>
            </w:r>
            <w:r w:rsidRPr="006939C3">
              <w:rPr>
                <w:rFonts w:ascii="David" w:hAnsi="David"/>
                <w:sz w:val="26"/>
                <w:rtl/>
              </w:rPr>
              <w:t xml:space="preserve">עדרות </w:t>
            </w:r>
            <w:r w:rsidRPr="006939C3">
              <w:rPr>
                <w:rFonts w:ascii="David" w:hAnsi="David" w:hint="cs"/>
                <w:sz w:val="26"/>
                <w:rtl/>
              </w:rPr>
              <w:t xml:space="preserve">של העובד </w:t>
            </w:r>
            <w:r w:rsidRPr="006939C3">
              <w:rPr>
                <w:rFonts w:ascii="David" w:hAnsi="David"/>
                <w:sz w:val="26"/>
                <w:rtl/>
              </w:rPr>
              <w:t>בשל חופשה ללא תשלום וכל ה</w:t>
            </w:r>
            <w:r w:rsidRPr="006939C3">
              <w:rPr>
                <w:rFonts w:ascii="David" w:hAnsi="David" w:hint="cs"/>
                <w:sz w:val="26"/>
                <w:rtl/>
              </w:rPr>
              <w:t>י</w:t>
            </w:r>
            <w:r w:rsidRPr="006939C3">
              <w:rPr>
                <w:rFonts w:ascii="David" w:hAnsi="David"/>
                <w:sz w:val="26"/>
                <w:rtl/>
              </w:rPr>
              <w:t xml:space="preserve">עדרות אחרת </w:t>
            </w:r>
            <w:r w:rsidRPr="006939C3">
              <w:rPr>
                <w:rFonts w:ascii="David" w:hAnsi="David" w:hint="cs"/>
                <w:sz w:val="26"/>
                <w:rtl/>
              </w:rPr>
              <w:t>ש</w:t>
            </w:r>
            <w:r w:rsidRPr="006939C3">
              <w:rPr>
                <w:rFonts w:ascii="David" w:hAnsi="David"/>
                <w:sz w:val="26"/>
                <w:rtl/>
              </w:rPr>
              <w:t>בה</w:t>
            </w:r>
            <w:r w:rsidRPr="006939C3">
              <w:rPr>
                <w:rFonts w:ascii="David" w:hAnsi="David" w:hint="cs"/>
                <w:sz w:val="26"/>
                <w:rtl/>
              </w:rPr>
              <w:t xml:space="preserve"> </w:t>
            </w:r>
            <w:r w:rsidRPr="006939C3">
              <w:rPr>
                <w:rFonts w:ascii="David" w:hAnsi="David"/>
                <w:sz w:val="26"/>
                <w:rtl/>
              </w:rPr>
              <w:t xml:space="preserve">לא מתקיימים יחסי עובד </w:t>
            </w:r>
            <w:r w:rsidR="004D7D90">
              <w:rPr>
                <w:rFonts w:ascii="David" w:hAnsi="David" w:hint="cs"/>
                <w:sz w:val="26"/>
                <w:rtl/>
              </w:rPr>
              <w:t>ו</w:t>
            </w:r>
            <w:r w:rsidR="00B33048">
              <w:rPr>
                <w:rFonts w:ascii="David" w:hAnsi="David"/>
                <w:sz w:val="26"/>
                <w:rtl/>
              </w:rPr>
              <w:t>מעסיק</w:t>
            </w:r>
            <w:r w:rsidRPr="006939C3">
              <w:rPr>
                <w:rFonts w:ascii="David" w:hAnsi="David" w:hint="cs"/>
                <w:sz w:val="26"/>
                <w:rtl/>
              </w:rPr>
              <w:t>; ואולם תובא בחשבון כל תקופה המובאת בחשבון ל</w:t>
            </w:r>
            <w:r>
              <w:rPr>
                <w:rFonts w:ascii="David" w:hAnsi="David" w:hint="cs"/>
                <w:sz w:val="26"/>
                <w:rtl/>
              </w:rPr>
              <w:t>ע</w:t>
            </w:r>
            <w:r w:rsidRPr="006939C3">
              <w:rPr>
                <w:rFonts w:ascii="David" w:hAnsi="David" w:hint="cs"/>
                <w:sz w:val="26"/>
                <w:rtl/>
              </w:rPr>
              <w:t>ניין ותק</w:t>
            </w:r>
            <w:r w:rsidRPr="006939C3">
              <w:rPr>
                <w:rFonts w:ascii="David" w:hAnsi="David"/>
                <w:sz w:val="26"/>
                <w:rtl/>
              </w:rPr>
              <w:t>.</w:t>
            </w:r>
          </w:p>
        </w:tc>
      </w:tr>
      <w:tr w:rsidR="0061039D" w:rsidRPr="006939C3" w14:paraId="683E8EEB" w14:textId="77777777" w:rsidTr="007E7499">
        <w:trPr>
          <w:cantSplit/>
          <w:trHeight w:val="60"/>
        </w:trPr>
        <w:tc>
          <w:tcPr>
            <w:tcW w:w="1871" w:type="dxa"/>
          </w:tcPr>
          <w:p w14:paraId="290DDB73" w14:textId="77777777" w:rsidR="0061039D" w:rsidRPr="006939C3" w:rsidRDefault="0061039D" w:rsidP="007E7499">
            <w:pPr>
              <w:pStyle w:val="TableSideHeading"/>
            </w:pPr>
            <w:r w:rsidRPr="006939C3">
              <w:rPr>
                <w:rFonts w:hint="cs"/>
                <w:rtl/>
              </w:rPr>
              <w:t>מועד תשלום דמי ההבראה</w:t>
            </w:r>
          </w:p>
        </w:tc>
        <w:tc>
          <w:tcPr>
            <w:tcW w:w="624" w:type="dxa"/>
          </w:tcPr>
          <w:p w14:paraId="13A89170" w14:textId="77777777" w:rsidR="0061039D" w:rsidRPr="006939C3" w:rsidRDefault="0061039D" w:rsidP="007E7499">
            <w:pPr>
              <w:pStyle w:val="TableText"/>
            </w:pPr>
            <w:r w:rsidRPr="006939C3">
              <w:rPr>
                <w:rFonts w:hint="cs"/>
                <w:rtl/>
              </w:rPr>
              <w:t>4.</w:t>
            </w:r>
          </w:p>
        </w:tc>
        <w:tc>
          <w:tcPr>
            <w:tcW w:w="7146" w:type="dxa"/>
            <w:gridSpan w:val="2"/>
          </w:tcPr>
          <w:p w14:paraId="44E0342D" w14:textId="195640F2" w:rsidR="0061039D" w:rsidRPr="006939C3" w:rsidRDefault="0061039D" w:rsidP="007E7499">
            <w:pPr>
              <w:pStyle w:val="TableBlock"/>
              <w:rPr>
                <w:rtl/>
              </w:rPr>
            </w:pPr>
            <w:r w:rsidRPr="006939C3">
              <w:rPr>
                <w:rFonts w:ascii="David" w:hAnsi="David" w:hint="cs"/>
                <w:sz w:val="26"/>
                <w:rtl/>
              </w:rPr>
              <w:t>(א)</w:t>
            </w:r>
            <w:r w:rsidRPr="006939C3">
              <w:rPr>
                <w:rFonts w:ascii="David" w:hAnsi="David"/>
                <w:sz w:val="26"/>
                <w:rtl/>
              </w:rPr>
              <w:tab/>
            </w:r>
            <w:r w:rsidRPr="006939C3">
              <w:rPr>
                <w:rFonts w:ascii="David" w:hAnsi="David" w:hint="cs"/>
                <w:sz w:val="26"/>
                <w:rtl/>
              </w:rPr>
              <w:t>ה</w:t>
            </w:r>
            <w:r w:rsidR="00B33048">
              <w:rPr>
                <w:rFonts w:ascii="David" w:hAnsi="David" w:hint="cs"/>
                <w:sz w:val="26"/>
                <w:rtl/>
              </w:rPr>
              <w:t>מעסיק</w:t>
            </w:r>
            <w:r w:rsidRPr="006939C3">
              <w:rPr>
                <w:rFonts w:ascii="David" w:hAnsi="David" w:hint="cs"/>
                <w:sz w:val="26"/>
                <w:rtl/>
              </w:rPr>
              <w:t xml:space="preserve"> ישלם את דמי </w:t>
            </w:r>
            <w:r w:rsidRPr="006939C3">
              <w:rPr>
                <w:rFonts w:ascii="David" w:hAnsi="David"/>
                <w:sz w:val="26"/>
                <w:rtl/>
              </w:rPr>
              <w:t xml:space="preserve">ההבראה </w:t>
            </w:r>
            <w:r w:rsidRPr="006939C3">
              <w:rPr>
                <w:rFonts w:ascii="David" w:hAnsi="David" w:hint="cs"/>
                <w:sz w:val="26"/>
                <w:rtl/>
              </w:rPr>
              <w:t>אחת לשנה במועד לתשלום משכורת בעד אחד מהחודשים יוני עד ספטמבר,</w:t>
            </w:r>
            <w:r w:rsidRPr="006939C3">
              <w:rPr>
                <w:rFonts w:ascii="David" w:hAnsi="David"/>
                <w:sz w:val="26"/>
                <w:rtl/>
              </w:rPr>
              <w:t xml:space="preserve"> אלא אם </w:t>
            </w:r>
            <w:r w:rsidRPr="006939C3">
              <w:rPr>
                <w:rFonts w:ascii="David" w:hAnsi="David" w:hint="cs"/>
                <w:sz w:val="26"/>
                <w:rtl/>
              </w:rPr>
              <w:t xml:space="preserve">כן </w:t>
            </w:r>
            <w:r w:rsidRPr="006939C3">
              <w:rPr>
                <w:rFonts w:ascii="David" w:hAnsi="David"/>
                <w:sz w:val="26"/>
                <w:rtl/>
              </w:rPr>
              <w:t xml:space="preserve">הוסכם או </w:t>
            </w:r>
            <w:r w:rsidRPr="006939C3">
              <w:rPr>
                <w:rFonts w:ascii="David" w:hAnsi="David" w:hint="cs"/>
                <w:sz w:val="26"/>
                <w:rtl/>
              </w:rPr>
              <w:t xml:space="preserve">הונהג </w:t>
            </w:r>
            <w:r w:rsidRPr="006939C3">
              <w:rPr>
                <w:rFonts w:ascii="David" w:hAnsi="David"/>
                <w:sz w:val="26"/>
                <w:rtl/>
              </w:rPr>
              <w:t>מועד אחר במקום העבודה.</w:t>
            </w:r>
          </w:p>
        </w:tc>
      </w:tr>
      <w:tr w:rsidR="0061039D" w:rsidRPr="006939C3" w14:paraId="76615422" w14:textId="77777777" w:rsidTr="007E7499">
        <w:trPr>
          <w:cantSplit/>
          <w:trHeight w:val="60"/>
        </w:trPr>
        <w:tc>
          <w:tcPr>
            <w:tcW w:w="1871" w:type="dxa"/>
          </w:tcPr>
          <w:p w14:paraId="42FDAEC7" w14:textId="77777777" w:rsidR="0061039D" w:rsidRPr="006939C3" w:rsidRDefault="0061039D" w:rsidP="007E7499">
            <w:pPr>
              <w:pStyle w:val="TableSideHeading"/>
              <w:rPr>
                <w:rtl/>
              </w:rPr>
            </w:pPr>
          </w:p>
        </w:tc>
        <w:tc>
          <w:tcPr>
            <w:tcW w:w="624" w:type="dxa"/>
          </w:tcPr>
          <w:p w14:paraId="1926E73B" w14:textId="77777777" w:rsidR="0061039D" w:rsidRPr="006939C3" w:rsidRDefault="0061039D" w:rsidP="007E7499">
            <w:pPr>
              <w:pStyle w:val="TableText"/>
              <w:rPr>
                <w:rtl/>
              </w:rPr>
            </w:pPr>
          </w:p>
        </w:tc>
        <w:tc>
          <w:tcPr>
            <w:tcW w:w="7146" w:type="dxa"/>
            <w:gridSpan w:val="2"/>
          </w:tcPr>
          <w:p w14:paraId="04817B3C" w14:textId="1D063452" w:rsidR="0061039D" w:rsidRPr="006939C3" w:rsidRDefault="0061039D" w:rsidP="007E7499">
            <w:pPr>
              <w:pStyle w:val="TableBlock"/>
              <w:rPr>
                <w:rFonts w:ascii="David" w:hAnsi="David"/>
                <w:sz w:val="26"/>
                <w:rtl/>
              </w:rPr>
            </w:pPr>
            <w:r w:rsidRPr="006939C3">
              <w:rPr>
                <w:rFonts w:ascii="David" w:hAnsi="David" w:hint="cs"/>
                <w:sz w:val="26"/>
                <w:rtl/>
              </w:rPr>
              <w:t>(ב)</w:t>
            </w:r>
            <w:r w:rsidRPr="006939C3">
              <w:rPr>
                <w:rFonts w:ascii="David" w:hAnsi="David"/>
                <w:sz w:val="26"/>
                <w:rtl/>
              </w:rPr>
              <w:tab/>
            </w:r>
            <w:r w:rsidR="00B33048">
              <w:rPr>
                <w:rFonts w:ascii="David" w:hAnsi="David" w:hint="cs"/>
                <w:sz w:val="26"/>
                <w:rtl/>
              </w:rPr>
              <w:t>מעסיק</w:t>
            </w:r>
            <w:r w:rsidRPr="006939C3">
              <w:rPr>
                <w:rFonts w:ascii="David" w:hAnsi="David" w:hint="cs"/>
                <w:sz w:val="26"/>
                <w:rtl/>
              </w:rPr>
              <w:t xml:space="preserve"> יצרף לתלוש שכר לפי סעיף 24 לחוק הגנת השכר</w:t>
            </w:r>
            <w:r>
              <w:rPr>
                <w:rFonts w:ascii="David" w:hAnsi="David" w:hint="cs"/>
                <w:sz w:val="26"/>
                <w:rtl/>
              </w:rPr>
              <w:t>,</w:t>
            </w:r>
            <w:r w:rsidRPr="006939C3">
              <w:rPr>
                <w:rFonts w:ascii="David" w:hAnsi="David" w:hint="cs"/>
                <w:sz w:val="26"/>
                <w:rtl/>
              </w:rPr>
              <w:t xml:space="preserve"> התשי"ח–1958</w:t>
            </w:r>
            <w:r w:rsidRPr="006939C3">
              <w:rPr>
                <w:rStyle w:val="a5"/>
                <w:rFonts w:ascii="David" w:hAnsi="David"/>
                <w:sz w:val="26"/>
                <w:rtl/>
              </w:rPr>
              <w:footnoteReference w:id="2"/>
            </w:r>
            <w:r>
              <w:rPr>
                <w:rFonts w:ascii="David" w:hAnsi="David" w:hint="cs"/>
                <w:sz w:val="26"/>
                <w:rtl/>
              </w:rPr>
              <w:t>,</w:t>
            </w:r>
            <w:r w:rsidRPr="006939C3">
              <w:rPr>
                <w:rFonts w:ascii="David" w:hAnsi="David" w:hint="cs"/>
                <w:sz w:val="26"/>
                <w:rtl/>
              </w:rPr>
              <w:t xml:space="preserve"> שהוא מוסר לעובדו בעד החודש שבו משולמים דמי ההבראה, פירוט של חישוב דמי ההבראה המגיעים לעובד כאמור בסעיף 2; הוסכם או הונהג מועד אחר לתשלום דמי ה</w:t>
            </w:r>
            <w:r>
              <w:rPr>
                <w:rFonts w:ascii="David" w:hAnsi="David" w:hint="cs"/>
                <w:sz w:val="26"/>
                <w:rtl/>
              </w:rPr>
              <w:t>הבראה</w:t>
            </w:r>
            <w:r w:rsidRPr="006939C3">
              <w:rPr>
                <w:rFonts w:ascii="David" w:hAnsi="David" w:hint="cs"/>
                <w:sz w:val="26"/>
                <w:rtl/>
              </w:rPr>
              <w:t>, שאינו חד שנתי, יצורף לתלוש השכר הניתן לגבי חודש יוני פירוט של חישוב דמי ההבראה ששולמו בשנה החולפת.</w:t>
            </w:r>
          </w:p>
        </w:tc>
      </w:tr>
      <w:tr w:rsidR="0061039D" w:rsidRPr="006939C3" w14:paraId="7D87C811" w14:textId="77777777" w:rsidTr="007E7499">
        <w:trPr>
          <w:cantSplit/>
          <w:trHeight w:val="60"/>
        </w:trPr>
        <w:tc>
          <w:tcPr>
            <w:tcW w:w="1871" w:type="dxa"/>
          </w:tcPr>
          <w:p w14:paraId="0EE5840E" w14:textId="77777777" w:rsidR="0061039D" w:rsidRPr="006939C3" w:rsidRDefault="0061039D" w:rsidP="007E7499">
            <w:pPr>
              <w:pStyle w:val="TableSideHeading"/>
            </w:pPr>
            <w:r w:rsidRPr="006939C3">
              <w:rPr>
                <w:rFonts w:hint="cs"/>
                <w:rtl/>
              </w:rPr>
              <w:t>איסור התניה</w:t>
            </w:r>
          </w:p>
        </w:tc>
        <w:tc>
          <w:tcPr>
            <w:tcW w:w="624" w:type="dxa"/>
          </w:tcPr>
          <w:p w14:paraId="1607CF8D" w14:textId="77777777" w:rsidR="0061039D" w:rsidRPr="006939C3" w:rsidRDefault="0061039D" w:rsidP="007E7499">
            <w:pPr>
              <w:pStyle w:val="TableText"/>
            </w:pPr>
            <w:r w:rsidRPr="006939C3">
              <w:rPr>
                <w:rFonts w:hint="cs"/>
                <w:rtl/>
              </w:rPr>
              <w:t>5.</w:t>
            </w:r>
          </w:p>
        </w:tc>
        <w:tc>
          <w:tcPr>
            <w:tcW w:w="7146" w:type="dxa"/>
            <w:gridSpan w:val="2"/>
          </w:tcPr>
          <w:p w14:paraId="44B20C1F" w14:textId="1211EE4E" w:rsidR="0061039D" w:rsidRPr="006939C3" w:rsidRDefault="00B33048" w:rsidP="007E7499">
            <w:pPr>
              <w:pStyle w:val="TableBlock"/>
              <w:rPr>
                <w:rFonts w:ascii="David" w:hAnsi="David"/>
                <w:sz w:val="26"/>
                <w:rtl/>
              </w:rPr>
            </w:pPr>
            <w:r>
              <w:rPr>
                <w:rFonts w:ascii="David" w:hAnsi="David" w:hint="cs"/>
                <w:sz w:val="26"/>
                <w:rtl/>
              </w:rPr>
              <w:t>מעסיק</w:t>
            </w:r>
            <w:r w:rsidR="0061039D" w:rsidRPr="006939C3">
              <w:rPr>
                <w:rFonts w:ascii="David" w:hAnsi="David" w:hint="cs"/>
                <w:sz w:val="26"/>
                <w:rtl/>
              </w:rPr>
              <w:t xml:space="preserve"> אינו רשאי להתנות את תשלום דמי ההבראה ביציאה לחופשה או בכל תנאי אחר.</w:t>
            </w:r>
          </w:p>
        </w:tc>
      </w:tr>
      <w:tr w:rsidR="0061039D" w:rsidRPr="006939C3" w14:paraId="120FF534" w14:textId="77777777" w:rsidTr="007E7499">
        <w:trPr>
          <w:cantSplit/>
          <w:trHeight w:val="60"/>
        </w:trPr>
        <w:tc>
          <w:tcPr>
            <w:tcW w:w="1871" w:type="dxa"/>
          </w:tcPr>
          <w:p w14:paraId="5D1326F7" w14:textId="77777777" w:rsidR="0061039D" w:rsidRPr="006939C3" w:rsidRDefault="0061039D" w:rsidP="007E7499">
            <w:pPr>
              <w:pStyle w:val="TableSideHeading"/>
              <w:ind w:right="0"/>
              <w:rPr>
                <w:rtl/>
              </w:rPr>
            </w:pPr>
            <w:r w:rsidRPr="006939C3">
              <w:rPr>
                <w:rFonts w:hint="cs"/>
                <w:rtl/>
              </w:rPr>
              <w:t>שמירת זכויות והתיישנות</w:t>
            </w:r>
          </w:p>
        </w:tc>
        <w:tc>
          <w:tcPr>
            <w:tcW w:w="624" w:type="dxa"/>
          </w:tcPr>
          <w:p w14:paraId="42CAB60F" w14:textId="77777777" w:rsidR="0061039D" w:rsidRPr="006939C3" w:rsidRDefault="0061039D" w:rsidP="007E7499">
            <w:pPr>
              <w:pStyle w:val="TableText"/>
              <w:rPr>
                <w:rtl/>
              </w:rPr>
            </w:pPr>
            <w:r w:rsidRPr="006939C3">
              <w:rPr>
                <w:rFonts w:hint="cs"/>
                <w:rtl/>
              </w:rPr>
              <w:t>6.</w:t>
            </w:r>
          </w:p>
        </w:tc>
        <w:tc>
          <w:tcPr>
            <w:tcW w:w="7146" w:type="dxa"/>
            <w:gridSpan w:val="2"/>
          </w:tcPr>
          <w:p w14:paraId="75B73F9A" w14:textId="77777777" w:rsidR="0061039D" w:rsidRPr="006939C3" w:rsidRDefault="0061039D" w:rsidP="007E7499">
            <w:pPr>
              <w:pStyle w:val="TableBlock"/>
              <w:rPr>
                <w:rFonts w:ascii="David" w:hAnsi="David"/>
                <w:sz w:val="26"/>
                <w:rtl/>
              </w:rPr>
            </w:pPr>
            <w:r w:rsidRPr="006939C3">
              <w:rPr>
                <w:rFonts w:ascii="David" w:hAnsi="David" w:hint="cs"/>
                <w:sz w:val="26"/>
                <w:rtl/>
              </w:rPr>
              <w:t>אין בחוק זה כדי לגרוע מזכות עובד לדמי הבראה כפי שקיימת לפי דין, הסכם קיבוצי או הסכם ובלבד שהיא מיטיבה, ואולם אם זכותו של העובד כאמור הוגבלה לתקופה הקצרה מהתקופה הקבועה בסעיף 5(1) לחוק ההתיישנות, התשי"ח–1958</w:t>
            </w:r>
            <w:r w:rsidRPr="006939C3">
              <w:rPr>
                <w:rStyle w:val="a5"/>
                <w:rFonts w:ascii="David" w:hAnsi="David"/>
                <w:sz w:val="26"/>
                <w:rtl/>
              </w:rPr>
              <w:footnoteReference w:id="3"/>
            </w:r>
            <w:r w:rsidRPr="006939C3">
              <w:rPr>
                <w:rFonts w:ascii="David" w:hAnsi="David" w:hint="cs"/>
                <w:sz w:val="26"/>
                <w:rtl/>
              </w:rPr>
              <w:t>, תחול במקומה התקופה הקבועה בסעיף האמור.</w:t>
            </w:r>
          </w:p>
        </w:tc>
      </w:tr>
      <w:tr w:rsidR="0061039D" w:rsidRPr="006939C3" w14:paraId="2A83CF55" w14:textId="77777777" w:rsidTr="007E7499">
        <w:trPr>
          <w:cantSplit/>
          <w:trHeight w:val="60"/>
        </w:trPr>
        <w:tc>
          <w:tcPr>
            <w:tcW w:w="1871" w:type="dxa"/>
          </w:tcPr>
          <w:p w14:paraId="093E81EB" w14:textId="77777777" w:rsidR="0061039D" w:rsidRPr="006939C3" w:rsidRDefault="0061039D" w:rsidP="007E7499">
            <w:pPr>
              <w:pStyle w:val="TableSideHeading"/>
              <w:ind w:right="0"/>
              <w:rPr>
                <w:rtl/>
              </w:rPr>
            </w:pPr>
            <w:r w:rsidRPr="006939C3">
              <w:rPr>
                <w:rFonts w:hint="cs"/>
                <w:rtl/>
              </w:rPr>
              <w:t>סמכות טיפול ותרופות</w:t>
            </w:r>
          </w:p>
        </w:tc>
        <w:tc>
          <w:tcPr>
            <w:tcW w:w="624" w:type="dxa"/>
          </w:tcPr>
          <w:p w14:paraId="3E0AC66C" w14:textId="77777777" w:rsidR="0061039D" w:rsidRPr="006939C3" w:rsidRDefault="0061039D" w:rsidP="007E7499">
            <w:pPr>
              <w:pStyle w:val="TableText"/>
              <w:rPr>
                <w:rtl/>
              </w:rPr>
            </w:pPr>
            <w:r w:rsidRPr="006939C3">
              <w:rPr>
                <w:rFonts w:hint="cs"/>
                <w:rtl/>
              </w:rPr>
              <w:t>7.</w:t>
            </w:r>
          </w:p>
        </w:tc>
        <w:tc>
          <w:tcPr>
            <w:tcW w:w="7146" w:type="dxa"/>
            <w:gridSpan w:val="2"/>
          </w:tcPr>
          <w:p w14:paraId="3E6B03F6" w14:textId="77777777" w:rsidR="0061039D" w:rsidRPr="006939C3" w:rsidRDefault="0061039D" w:rsidP="007E7499">
            <w:pPr>
              <w:pStyle w:val="TableBlock"/>
              <w:rPr>
                <w:rFonts w:ascii="David" w:hAnsi="David"/>
                <w:sz w:val="26"/>
                <w:rtl/>
              </w:rPr>
            </w:pPr>
            <w:r w:rsidRPr="006939C3">
              <w:rPr>
                <w:rFonts w:ascii="David" w:hAnsi="David" w:hint="cs"/>
                <w:sz w:val="26"/>
                <w:rtl/>
              </w:rPr>
              <w:t>ל</w:t>
            </w:r>
            <w:r w:rsidRPr="006939C3">
              <w:rPr>
                <w:rFonts w:ascii="David" w:hAnsi="David"/>
                <w:sz w:val="26"/>
                <w:rtl/>
              </w:rPr>
              <w:t xml:space="preserve">בית דין אזורי לעבודה </w:t>
            </w:r>
            <w:r w:rsidRPr="006939C3">
              <w:rPr>
                <w:rFonts w:ascii="David" w:hAnsi="David" w:hint="cs"/>
                <w:sz w:val="26"/>
                <w:rtl/>
              </w:rPr>
              <w:t xml:space="preserve">תהא סמכות ייחודית לדון בכל הליך בשל הפרת הוראות סעיף 2 והוא רשאי </w:t>
            </w:r>
            <w:r w:rsidRPr="006939C3">
              <w:rPr>
                <w:rFonts w:ascii="David" w:hAnsi="David" w:hint="eastAsia"/>
                <w:sz w:val="26"/>
                <w:rtl/>
              </w:rPr>
              <w:t>–</w:t>
            </w:r>
          </w:p>
        </w:tc>
      </w:tr>
      <w:tr w:rsidR="0061039D" w:rsidRPr="006939C3" w14:paraId="1A739981" w14:textId="77777777" w:rsidTr="007E7499">
        <w:trPr>
          <w:cantSplit/>
          <w:trHeight w:val="60"/>
        </w:trPr>
        <w:tc>
          <w:tcPr>
            <w:tcW w:w="1871" w:type="dxa"/>
          </w:tcPr>
          <w:p w14:paraId="1DB5B6FD" w14:textId="77777777" w:rsidR="0061039D" w:rsidRPr="006939C3" w:rsidRDefault="0061039D" w:rsidP="007E7499">
            <w:pPr>
              <w:pStyle w:val="TableSideHeading"/>
            </w:pPr>
          </w:p>
        </w:tc>
        <w:tc>
          <w:tcPr>
            <w:tcW w:w="624" w:type="dxa"/>
          </w:tcPr>
          <w:p w14:paraId="5F39C9D8" w14:textId="77777777" w:rsidR="0061039D" w:rsidRPr="006939C3" w:rsidRDefault="0061039D" w:rsidP="007E7499">
            <w:pPr>
              <w:pStyle w:val="TableText"/>
            </w:pPr>
          </w:p>
        </w:tc>
        <w:tc>
          <w:tcPr>
            <w:tcW w:w="7146" w:type="dxa"/>
            <w:gridSpan w:val="2"/>
          </w:tcPr>
          <w:p w14:paraId="47015DAD" w14:textId="77777777" w:rsidR="0061039D" w:rsidRPr="006939C3" w:rsidRDefault="0061039D" w:rsidP="007E7499">
            <w:pPr>
              <w:pStyle w:val="TableBlock"/>
            </w:pPr>
            <w:r w:rsidRPr="006939C3">
              <w:rPr>
                <w:rFonts w:hint="cs"/>
                <w:rtl/>
              </w:rPr>
              <w:t>(1)</w:t>
            </w:r>
            <w:r w:rsidRPr="006939C3">
              <w:rPr>
                <w:rtl/>
              </w:rPr>
              <w:tab/>
            </w:r>
            <w:r w:rsidRPr="006939C3">
              <w:rPr>
                <w:rFonts w:hint="cs"/>
                <w:rtl/>
              </w:rPr>
              <w:t>לפסוק פיצויים, אף אם לא נגרם נזק של ממון, בשיעור שייראה לו בנסיבות העניין;</w:t>
            </w:r>
          </w:p>
        </w:tc>
      </w:tr>
      <w:tr w:rsidR="0061039D" w:rsidRPr="006939C3" w14:paraId="69CAA2CC" w14:textId="77777777" w:rsidTr="007E7499">
        <w:trPr>
          <w:cantSplit/>
          <w:trHeight w:val="60"/>
        </w:trPr>
        <w:tc>
          <w:tcPr>
            <w:tcW w:w="1871" w:type="dxa"/>
          </w:tcPr>
          <w:p w14:paraId="5FD4B3AB" w14:textId="77777777" w:rsidR="0061039D" w:rsidRPr="006939C3" w:rsidRDefault="0061039D" w:rsidP="007E7499">
            <w:pPr>
              <w:pStyle w:val="TableSideHeading"/>
            </w:pPr>
          </w:p>
        </w:tc>
        <w:tc>
          <w:tcPr>
            <w:tcW w:w="624" w:type="dxa"/>
          </w:tcPr>
          <w:p w14:paraId="7DFD7DBC" w14:textId="77777777" w:rsidR="0061039D" w:rsidRPr="006939C3" w:rsidRDefault="0061039D" w:rsidP="007E7499">
            <w:pPr>
              <w:pStyle w:val="TableText"/>
            </w:pPr>
          </w:p>
        </w:tc>
        <w:tc>
          <w:tcPr>
            <w:tcW w:w="7146" w:type="dxa"/>
            <w:gridSpan w:val="2"/>
          </w:tcPr>
          <w:p w14:paraId="00CD949B" w14:textId="77777777" w:rsidR="0061039D" w:rsidRPr="006939C3" w:rsidRDefault="0061039D" w:rsidP="007E7499">
            <w:pPr>
              <w:pStyle w:val="TableBlock"/>
              <w:rPr>
                <w:rtl/>
              </w:rPr>
            </w:pPr>
            <w:r w:rsidRPr="006939C3">
              <w:rPr>
                <w:rFonts w:hint="cs"/>
                <w:rtl/>
              </w:rPr>
              <w:t>(2)</w:t>
            </w:r>
            <w:r w:rsidRPr="006939C3">
              <w:rPr>
                <w:rtl/>
              </w:rPr>
              <w:tab/>
            </w:r>
            <w:r w:rsidRPr="006939C3">
              <w:rPr>
                <w:rFonts w:hint="cs"/>
                <w:rtl/>
              </w:rPr>
              <w:t>ליתן צו לתיקון ההפרה.</w:t>
            </w:r>
          </w:p>
        </w:tc>
      </w:tr>
      <w:tr w:rsidR="0061039D" w:rsidRPr="006939C3" w14:paraId="3C645A58" w14:textId="77777777" w:rsidTr="007E7499">
        <w:trPr>
          <w:cantSplit/>
          <w:trHeight w:val="60"/>
        </w:trPr>
        <w:tc>
          <w:tcPr>
            <w:tcW w:w="1871" w:type="dxa"/>
          </w:tcPr>
          <w:p w14:paraId="1DD4578F" w14:textId="77777777" w:rsidR="0061039D" w:rsidRPr="006939C3" w:rsidDel="00B550E1" w:rsidRDefault="0061039D" w:rsidP="007E7499">
            <w:pPr>
              <w:pStyle w:val="TableSideHeading"/>
              <w:ind w:right="0"/>
              <w:rPr>
                <w:rtl/>
              </w:rPr>
            </w:pPr>
            <w:r w:rsidRPr="006939C3">
              <w:rPr>
                <w:rFonts w:hint="cs"/>
                <w:rtl/>
              </w:rPr>
              <w:t>ביצוע ותקנות</w:t>
            </w:r>
          </w:p>
        </w:tc>
        <w:tc>
          <w:tcPr>
            <w:tcW w:w="624" w:type="dxa"/>
          </w:tcPr>
          <w:p w14:paraId="762FDA05" w14:textId="77777777" w:rsidR="0061039D" w:rsidRPr="006939C3" w:rsidRDefault="0061039D" w:rsidP="007E7499">
            <w:pPr>
              <w:pStyle w:val="TableText"/>
              <w:rPr>
                <w:rtl/>
              </w:rPr>
            </w:pPr>
            <w:r w:rsidRPr="006939C3">
              <w:rPr>
                <w:rFonts w:hint="cs"/>
                <w:rtl/>
              </w:rPr>
              <w:t>8.</w:t>
            </w:r>
          </w:p>
        </w:tc>
        <w:tc>
          <w:tcPr>
            <w:tcW w:w="7146" w:type="dxa"/>
            <w:gridSpan w:val="2"/>
          </w:tcPr>
          <w:p w14:paraId="24CBE030" w14:textId="5BCD3F51" w:rsidR="0061039D" w:rsidRPr="006939C3" w:rsidDel="00B550E1" w:rsidRDefault="0061039D" w:rsidP="00687B78">
            <w:pPr>
              <w:pStyle w:val="TableBlock"/>
              <w:rPr>
                <w:rFonts w:ascii="David" w:hAnsi="David"/>
                <w:sz w:val="26"/>
                <w:rtl/>
              </w:rPr>
            </w:pPr>
            <w:r w:rsidRPr="006939C3">
              <w:rPr>
                <w:rFonts w:ascii="David" w:hAnsi="David" w:hint="cs"/>
                <w:sz w:val="26"/>
                <w:rtl/>
              </w:rPr>
              <w:t xml:space="preserve">שר הכלכלה </w:t>
            </w:r>
            <w:r w:rsidR="00687B78">
              <w:rPr>
                <w:rFonts w:ascii="David" w:hAnsi="David" w:hint="cs"/>
                <w:sz w:val="26"/>
                <w:rtl/>
              </w:rPr>
              <w:t>ממונה</w:t>
            </w:r>
            <w:r w:rsidRPr="006939C3">
              <w:rPr>
                <w:rFonts w:ascii="David" w:hAnsi="David" w:hint="cs"/>
                <w:sz w:val="26"/>
                <w:rtl/>
              </w:rPr>
              <w:t xml:space="preserve"> על ביצוע חוק זה והוא רשאי להתקין תקנות בכל הנוגע לביצועו.</w:t>
            </w:r>
          </w:p>
        </w:tc>
      </w:tr>
    </w:tbl>
    <w:p w14:paraId="7F6961CA" w14:textId="77777777" w:rsidR="002D1EE3" w:rsidRDefault="002D1EE3" w:rsidP="002D1EE3">
      <w:pPr>
        <w:pStyle w:val="HeadDivreiHesber"/>
        <w:rPr>
          <w:rtl/>
        </w:rPr>
      </w:pPr>
      <w:r w:rsidRPr="0027450A">
        <w:rPr>
          <w:rFonts w:hint="cs"/>
          <w:rtl/>
        </w:rPr>
        <w:lastRenderedPageBreak/>
        <w:t>דברי הסבר</w:t>
      </w:r>
    </w:p>
    <w:p w14:paraId="323C129B" w14:textId="3991CCF7" w:rsidR="0061039D" w:rsidRPr="00C2070C" w:rsidRDefault="0061039D" w:rsidP="004D7D90">
      <w:pPr>
        <w:pStyle w:val="Hesber"/>
        <w:rPr>
          <w:rtl/>
        </w:rPr>
      </w:pPr>
      <w:r w:rsidRPr="00C2070C">
        <w:rPr>
          <w:rFonts w:hint="cs"/>
          <w:rtl/>
        </w:rPr>
        <w:t>הזכות לדמי ההבראה מהווה חלק מן המרכיבים הכספיים החשובים הנכללים בסל שכרו של העובד השכיר בישראל. כיום, נכללת הזכות בהסכם קיבוצי כללי ובצו הרחבה המחיל אותה על כלל המשק.</w:t>
      </w:r>
    </w:p>
    <w:p w14:paraId="45A29754" w14:textId="77777777" w:rsidR="0061039D" w:rsidRPr="00C2070C" w:rsidRDefault="0061039D" w:rsidP="0061039D">
      <w:pPr>
        <w:pStyle w:val="Hesber"/>
        <w:rPr>
          <w:rtl/>
        </w:rPr>
      </w:pPr>
      <w:r w:rsidRPr="00C2070C">
        <w:rPr>
          <w:rFonts w:hint="cs"/>
          <w:rtl/>
        </w:rPr>
        <w:t xml:space="preserve">עיגון הזכות בחקיקה נדרש כעת לצורך תיקון העוול הכרוך בתקופת ההתיישנות המקוצרת של דמי ההבראה כפי שקיימת בהסכם הקיבוצי ובצו ההרחבה, ואשר בעת הזו לא ניתן לתיקון במסגרת ההסכם הקיבוצי וצו ההרחבה. </w:t>
      </w:r>
    </w:p>
    <w:p w14:paraId="09945540" w14:textId="77777777" w:rsidR="0061039D" w:rsidRPr="00C2070C" w:rsidRDefault="0061039D" w:rsidP="0061039D">
      <w:pPr>
        <w:pStyle w:val="Hesber"/>
        <w:rPr>
          <w:rtl/>
        </w:rPr>
      </w:pPr>
      <w:r w:rsidRPr="00C2070C">
        <w:rPr>
          <w:rFonts w:hint="cs"/>
          <w:rtl/>
        </w:rPr>
        <w:t xml:space="preserve">מטרת תשלום דמי ההבראה בעבר היתה לסייע לעובד להשיב את כוחותיו באמצעות שהייה באחד מבתי ההבראה של ההסתדרות. ללא שהייה בבתי ההבראה בפועל לא היה זכאי העובד להחזרים. כך, הזכות לדמי הבראה עוצבה בראשיתה כזכות בעין ולכן הוגבלה בזמן האפשרות לקבלה באופן רטרואקטיבי. במהלך השנים ולאור השינויים שחלו בשוק העבודה בישראל, הלך וניתק הקשר בין דמי ההבראה לשהייה בבתי ההבראה עד להיעלמותו המוחלטת. כיום, העובד אינו נדרש להוכיח כי שהה בבית ההבראה בפועל כתנאי לתשלום דמי ההבראה. כך, הפכו דמי ההבראה לזכות כספית גרידא, אשר מהווה מרכיב כספי במשכורתו של העובד כמו כל מרכיב כספי אחר. </w:t>
      </w:r>
    </w:p>
    <w:p w14:paraId="1A9722A9" w14:textId="4FA0448E" w:rsidR="0061039D" w:rsidRPr="00C2070C" w:rsidRDefault="0061039D" w:rsidP="0061039D">
      <w:pPr>
        <w:pStyle w:val="Hesber"/>
        <w:rPr>
          <w:rtl/>
        </w:rPr>
      </w:pPr>
      <w:r w:rsidRPr="00C2070C">
        <w:rPr>
          <w:rFonts w:hint="cs"/>
          <w:rtl/>
        </w:rPr>
        <w:t>נכון להיום, מיום סיום יחסי עובד-</w:t>
      </w:r>
      <w:r w:rsidR="004D7D90">
        <w:rPr>
          <w:rFonts w:hint="cs"/>
          <w:rtl/>
        </w:rPr>
        <w:t>ו</w:t>
      </w:r>
      <w:r w:rsidR="00B33048">
        <w:rPr>
          <w:rFonts w:hint="cs"/>
          <w:rtl/>
        </w:rPr>
        <w:t>מעסיק</w:t>
      </w:r>
      <w:r w:rsidRPr="00C2070C">
        <w:rPr>
          <w:rFonts w:hint="cs"/>
          <w:rtl/>
        </w:rPr>
        <w:t>, רשאי עובד לתבוע דמי הבראה שלא שולמו לו, רק עבור השנתיים האחרונות לעבודתו. כך, פדיון הזכות מוגבל אך ורק לשנתיים האחרונות להעסקה גם במידה וזכות זו הופרה כבר שנים רבות. המצב הקיים מגדיל את הפערים בין אוכלוסיות עובדים מוחלשות וחזקות שכן עובדים מוחלשים, גם אם אלו מודעים לזכויותיהם, יפחדו לדרוש אותם מן ה</w:t>
      </w:r>
      <w:r w:rsidR="00B33048">
        <w:rPr>
          <w:rFonts w:hint="cs"/>
          <w:rtl/>
        </w:rPr>
        <w:t>מעסיק</w:t>
      </w:r>
      <w:r w:rsidRPr="00C2070C">
        <w:rPr>
          <w:rFonts w:hint="cs"/>
          <w:rtl/>
        </w:rPr>
        <w:t xml:space="preserve"> בעת</w:t>
      </w:r>
      <w:r w:rsidRPr="00C2070C">
        <w:rPr>
          <w:rtl/>
        </w:rPr>
        <w:t xml:space="preserve"> </w:t>
      </w:r>
      <w:r w:rsidRPr="00C2070C">
        <w:rPr>
          <w:rFonts w:hint="cs"/>
          <w:rtl/>
        </w:rPr>
        <w:t xml:space="preserve">העסקתם, בשל החשש מפיטורים או פגיעה אחרת מצד </w:t>
      </w:r>
      <w:r w:rsidR="00B33048">
        <w:rPr>
          <w:rFonts w:hint="cs"/>
          <w:rtl/>
        </w:rPr>
        <w:t>מעסיק</w:t>
      </w:r>
      <w:r w:rsidRPr="00C2070C">
        <w:rPr>
          <w:rFonts w:hint="cs"/>
          <w:rtl/>
        </w:rPr>
        <w:t>ם. לאוכלוסיות עובדים חזקות, לרוב יש עמדת מיקוח חזקה יותר מול ה</w:t>
      </w:r>
      <w:r w:rsidR="00B33048">
        <w:rPr>
          <w:rFonts w:hint="cs"/>
          <w:rtl/>
        </w:rPr>
        <w:t>מעסיק</w:t>
      </w:r>
      <w:r w:rsidRPr="00C2070C">
        <w:rPr>
          <w:rFonts w:hint="cs"/>
          <w:rtl/>
        </w:rPr>
        <w:t>, ול</w:t>
      </w:r>
      <w:r>
        <w:rPr>
          <w:rFonts w:hint="cs"/>
          <w:rtl/>
        </w:rPr>
        <w:t>כן ממילא לרוב יקבלו את זכויותיהן</w:t>
      </w:r>
      <w:r w:rsidRPr="00C2070C">
        <w:rPr>
          <w:rFonts w:hint="cs"/>
          <w:rtl/>
        </w:rPr>
        <w:t>, ובמקרה שלא, יפנו ביתר קלות ל</w:t>
      </w:r>
      <w:r w:rsidR="00B33048">
        <w:rPr>
          <w:rFonts w:hint="cs"/>
          <w:rtl/>
        </w:rPr>
        <w:t>מעסיק</w:t>
      </w:r>
      <w:r>
        <w:rPr>
          <w:rFonts w:hint="cs"/>
          <w:rtl/>
        </w:rPr>
        <w:t>ן לדרוש את המגיע להן גם בעת העסקתן</w:t>
      </w:r>
      <w:r w:rsidRPr="00C2070C">
        <w:rPr>
          <w:rFonts w:hint="cs"/>
          <w:rtl/>
        </w:rPr>
        <w:t>. כך, מצב של תקופת התיישנות מקוצרת מגדיל את הפערים החברתיים בין אותן אוכלוסיות עובדים חזקות לאוכלוסיות עובדים מוחלשות.</w:t>
      </w:r>
    </w:p>
    <w:p w14:paraId="33197FE4" w14:textId="77777777" w:rsidR="0061039D" w:rsidRPr="00C2070C" w:rsidRDefault="0061039D" w:rsidP="0061039D">
      <w:pPr>
        <w:pStyle w:val="Hesber"/>
        <w:rPr>
          <w:rtl/>
        </w:rPr>
      </w:pPr>
      <w:r w:rsidRPr="00C2070C">
        <w:rPr>
          <w:rFonts w:hint="cs"/>
          <w:rtl/>
        </w:rPr>
        <w:t>השינוי המוזכר במהותה של הזכות לדמי הבראה, בדמות הפיכ</w:t>
      </w:r>
      <w:r>
        <w:rPr>
          <w:rFonts w:hint="cs"/>
          <w:rtl/>
        </w:rPr>
        <w:t xml:space="preserve">תה לזכות כספית לכל דבר ועניין </w:t>
      </w:r>
      <w:r w:rsidRPr="00C2070C">
        <w:rPr>
          <w:rFonts w:hint="cs"/>
          <w:rtl/>
        </w:rPr>
        <w:t xml:space="preserve">חייב לכרוך עימו גם שינוי בנושא ההתיישנות של הזכות אשר כיום משקף עדיין את התפיסה הישנה של הזכות כזכות בעין. </w:t>
      </w:r>
    </w:p>
    <w:p w14:paraId="744C2724" w14:textId="77777777" w:rsidR="0061039D" w:rsidRPr="00C2070C" w:rsidRDefault="0061039D" w:rsidP="0061039D">
      <w:pPr>
        <w:pStyle w:val="Hesber"/>
        <w:rPr>
          <w:rtl/>
        </w:rPr>
      </w:pPr>
      <w:r w:rsidRPr="00C2070C">
        <w:rPr>
          <w:rFonts w:hint="cs"/>
          <w:rtl/>
        </w:rPr>
        <w:t xml:space="preserve">פניות לצדדים להסכם הקיבוצי הכללי (ההסתדרות הכללית ולשכת התיאום של הארגונים הכלכליים) בבקשה לשנות את תקופת ההתיישנות כפי המפורט לעיל במסגרת ההסכם הקיבוצי נענו בשלילה, הגם שהשינוי הנדרש בהסכם מקובל על משרד הכלכלה אשר הביע מוכנות להרחיבו במסגרת צו ההרחבה. </w:t>
      </w:r>
    </w:p>
    <w:p w14:paraId="28867DB3" w14:textId="77777777" w:rsidR="0061039D" w:rsidRDefault="0061039D" w:rsidP="0061039D">
      <w:pPr>
        <w:pStyle w:val="Hesber"/>
        <w:rPr>
          <w:rtl/>
        </w:rPr>
      </w:pPr>
      <w:r w:rsidRPr="00C2070C">
        <w:rPr>
          <w:rFonts w:hint="cs"/>
          <w:rtl/>
        </w:rPr>
        <w:t xml:space="preserve">מטרתה של הצעת חוק זו, אם כן, היא לעגן בחוק את הזכות לדמי הבראה ובתוך כך לשנות את מנגנון ההתיישנות הקבוע לגביה כיום ולהרחיב את תקופת ההתיישנות משנתיים ל-7 שנים כתקופת ההתיישנות הכללית הקבועה בחוק. </w:t>
      </w:r>
    </w:p>
    <w:p w14:paraId="7F6961CB" w14:textId="1EE1DE55" w:rsidR="00E13C27" w:rsidRDefault="0061039D" w:rsidP="004D7D90">
      <w:pPr>
        <w:pStyle w:val="Hesber"/>
        <w:rPr>
          <w:rtl/>
        </w:rPr>
      </w:pPr>
      <w:r>
        <w:rPr>
          <w:rFonts w:hint="cs"/>
          <w:rtl/>
        </w:rPr>
        <w:t>הצע</w:t>
      </w:r>
      <w:r w:rsidR="00CE70AD">
        <w:rPr>
          <w:rFonts w:hint="cs"/>
          <w:rtl/>
        </w:rPr>
        <w:t>ו</w:t>
      </w:r>
      <w:r>
        <w:rPr>
          <w:rFonts w:hint="cs"/>
          <w:rtl/>
        </w:rPr>
        <w:t>ת חוק זה</w:t>
      </w:r>
      <w:r w:rsidR="00CE70AD">
        <w:rPr>
          <w:rFonts w:hint="cs"/>
          <w:rtl/>
        </w:rPr>
        <w:t>ות</w:t>
      </w:r>
      <w:r>
        <w:rPr>
          <w:rFonts w:hint="cs"/>
          <w:rtl/>
        </w:rPr>
        <w:t xml:space="preserve"> הונח</w:t>
      </w:r>
      <w:r w:rsidR="00CE70AD">
        <w:rPr>
          <w:rFonts w:hint="cs"/>
          <w:rtl/>
        </w:rPr>
        <w:t>ו</w:t>
      </w:r>
      <w:r>
        <w:rPr>
          <w:rFonts w:hint="cs"/>
          <w:rtl/>
        </w:rPr>
        <w:t xml:space="preserve"> על שולחן הכנסת התשע-עשרה על ידי חברת הכנסת מיכל רוזין וקבוצת חברי הכנסת (</w:t>
      </w:r>
      <w:r w:rsidRPr="00C2070C">
        <w:rPr>
          <w:rtl/>
        </w:rPr>
        <w:t>פ/1620/19</w:t>
      </w:r>
      <w:r w:rsidR="00CE70AD">
        <w:rPr>
          <w:rFonts w:hint="cs"/>
          <w:rtl/>
        </w:rPr>
        <w:t xml:space="preserve">) ועל ידי חברת הכנסת </w:t>
      </w:r>
      <w:r>
        <w:rPr>
          <w:rFonts w:hint="cs"/>
          <w:rtl/>
        </w:rPr>
        <w:t>מיכל רוזין (פ/2829/19).</w:t>
      </w:r>
    </w:p>
    <w:p w14:paraId="1AE04E10" w14:textId="77777777" w:rsidR="007D5A4B" w:rsidRPr="0022704F" w:rsidRDefault="007D5A4B" w:rsidP="007D5A4B">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2A1F8B17" w14:textId="77777777" w:rsidR="007D5A4B" w:rsidRPr="0022704F" w:rsidRDefault="007D5A4B" w:rsidP="007D5A4B">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727AB94" w14:textId="77777777" w:rsidR="007D5A4B" w:rsidRPr="0022704F" w:rsidRDefault="007D5A4B" w:rsidP="007D5A4B">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28EA3B79" w14:textId="4FDCE180" w:rsidR="007D5A4B" w:rsidRDefault="007D5A4B" w:rsidP="00687B78">
      <w:pPr>
        <w:ind w:left="340" w:firstLine="0"/>
        <w:rPr>
          <w:rtl/>
        </w:rPr>
      </w:pPr>
      <w:r>
        <w:rPr>
          <w:rFonts w:ascii="Arial" w:eastAsia="Arial Unicode MS" w:hAnsi="Arial" w:cs="David" w:hint="cs"/>
          <w:snapToGrid w:val="0"/>
          <w:spacing w:val="0"/>
          <w:sz w:val="20"/>
          <w:szCs w:val="26"/>
          <w:rtl/>
        </w:rPr>
        <w:t>ט"ו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bookmarkStart w:id="8" w:name="_GoBack"/>
      <w:bookmarkEnd w:id="8"/>
    </w:p>
    <w:sectPr w:rsidR="007D5A4B"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87B78">
      <w:rPr>
        <w:rStyle w:val="aa"/>
        <w:noProof/>
        <w:rtl/>
      </w:rPr>
      <w:t>3</w:t>
    </w:r>
    <w:r>
      <w:rPr>
        <w:rStyle w:val="aa"/>
        <w:rtl/>
      </w:rPr>
      <w:fldChar w:fldCharType="end"/>
    </w:r>
  </w:p>
  <w:p w14:paraId="7F6961D8" w14:textId="77777777"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70EAB1B1" w14:textId="77777777" w:rsidR="0061039D" w:rsidRDefault="0061039D" w:rsidP="0061039D">
      <w:pPr>
        <w:pStyle w:val="a4"/>
        <w:rPr>
          <w:rtl/>
        </w:rPr>
      </w:pPr>
      <w:r>
        <w:rPr>
          <w:rStyle w:val="a5"/>
        </w:rPr>
        <w:footnoteRef/>
      </w:r>
      <w:r>
        <w:rPr>
          <w:rtl/>
        </w:rPr>
        <w:t xml:space="preserve"> </w:t>
      </w:r>
      <w:r>
        <w:rPr>
          <w:rFonts w:hint="cs"/>
          <w:rtl/>
        </w:rPr>
        <w:t>ס"ח התשי"ח, עמ' 86.</w:t>
      </w:r>
    </w:p>
  </w:footnote>
  <w:footnote w:id="3">
    <w:p w14:paraId="76AFB754" w14:textId="77777777" w:rsidR="0061039D" w:rsidRDefault="0061039D" w:rsidP="0061039D">
      <w:pPr>
        <w:pStyle w:val="a4"/>
      </w:pPr>
      <w:r>
        <w:rPr>
          <w:rStyle w:val="a5"/>
        </w:rPr>
        <w:footnoteRef/>
      </w:r>
      <w:r>
        <w:rPr>
          <w:rtl/>
        </w:rPr>
        <w:t xml:space="preserve"> </w:t>
      </w:r>
      <w:r>
        <w:rPr>
          <w:rFonts w:hint="cs"/>
          <w:rtl/>
        </w:rPr>
        <w:t>ס"ח התשי"ח, עמ'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6B4D"/>
    <w:rsid w:val="00417CFC"/>
    <w:rsid w:val="004B24ED"/>
    <w:rsid w:val="004D2D82"/>
    <w:rsid w:val="004D3876"/>
    <w:rsid w:val="004D7D90"/>
    <w:rsid w:val="004E4552"/>
    <w:rsid w:val="00553C9D"/>
    <w:rsid w:val="00556300"/>
    <w:rsid w:val="00562A66"/>
    <w:rsid w:val="005B064E"/>
    <w:rsid w:val="005D51AE"/>
    <w:rsid w:val="0061039D"/>
    <w:rsid w:val="0062674B"/>
    <w:rsid w:val="006363B2"/>
    <w:rsid w:val="00644940"/>
    <w:rsid w:val="006818A9"/>
    <w:rsid w:val="00687B78"/>
    <w:rsid w:val="006A2D81"/>
    <w:rsid w:val="006C1D0D"/>
    <w:rsid w:val="0070601E"/>
    <w:rsid w:val="00712C72"/>
    <w:rsid w:val="00735FE9"/>
    <w:rsid w:val="00763CAA"/>
    <w:rsid w:val="00765F66"/>
    <w:rsid w:val="007C3FA6"/>
    <w:rsid w:val="007D585A"/>
    <w:rsid w:val="007D5A12"/>
    <w:rsid w:val="007D5A4B"/>
    <w:rsid w:val="007E59F9"/>
    <w:rsid w:val="00810BCD"/>
    <w:rsid w:val="00812C98"/>
    <w:rsid w:val="00814D92"/>
    <w:rsid w:val="0083181D"/>
    <w:rsid w:val="00842190"/>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3048"/>
    <w:rsid w:val="00B35784"/>
    <w:rsid w:val="00B733A7"/>
    <w:rsid w:val="00B975AD"/>
    <w:rsid w:val="00BC45FB"/>
    <w:rsid w:val="00BF148D"/>
    <w:rsid w:val="00C23B1A"/>
    <w:rsid w:val="00C310EB"/>
    <w:rsid w:val="00C9176A"/>
    <w:rsid w:val="00CE70AD"/>
    <w:rsid w:val="00CF1AA2"/>
    <w:rsid w:val="00D63620"/>
    <w:rsid w:val="00D8410D"/>
    <w:rsid w:val="00D867D7"/>
    <w:rsid w:val="00DB7060"/>
    <w:rsid w:val="00DE3153"/>
    <w:rsid w:val="00E06736"/>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D970161A-BBE5-4769-8C25-3163985E4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10FD0D-A6CF-44F9-8738-8BE84BF2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914</Words>
  <Characters>4570</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2015-04-28T13:04:00Z</cp:lastPrinted>
  <dcterms:created xsi:type="dcterms:W3CDTF">2015-03-26T08:06:00Z</dcterms:created>
  <dcterms:modified xsi:type="dcterms:W3CDTF">2015-04-28T13:04:00Z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562244</vt:r8>
  </property>
</Properties>
</file>