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562242</w:t>
      </w:r>
      <w:bookmarkEnd w:id="0"/>
    </w:p>
    <w:p w14:paraId="7F6961A2" w14:textId="30251020"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sidR="00771839">
        <w:rPr>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517DDE">
      <w:pPr>
        <w:pStyle w:val="David"/>
        <w:spacing w:line="360" w:lineRule="auto"/>
        <w:ind w:left="3544"/>
        <w:rPr>
          <w:b/>
          <w:bCs/>
          <w:rtl/>
        </w:rPr>
      </w:pPr>
      <w:bookmarkStart w:id="2" w:name="LGS_Initiators_List"/>
      <w:r>
        <w:rPr>
          <w:b/>
          <w:bCs/>
          <w:rtl/>
        </w:rPr>
        <w:t>יוזמות:      חברות הכנסת</w:t>
      </w:r>
      <w:bookmarkEnd w:id="2"/>
      <w:r w:rsidR="00B35784" w:rsidRPr="00F67051">
        <w:rPr>
          <w:b/>
          <w:bCs/>
        </w:rPr>
        <w:tab/>
      </w:r>
      <w:bookmarkStart w:id="3" w:name="LGS_PM_Names"/>
      <w:r>
        <w:rPr>
          <w:rFonts w:hint="cs"/>
          <w:b/>
          <w:bCs/>
          <w:rtl/>
        </w:rPr>
        <w:t>מיכל רוזין</w:t>
      </w:r>
      <w:r>
        <w:br/>
      </w:r>
      <w:r>
        <w:rPr>
          <w:rFonts w:hint="cs"/>
          <w:b/>
          <w:bCs/>
          <w:rtl/>
        </w:rPr>
        <w:t xml:space="preserve"> </w:t>
      </w:r>
      <w:r>
        <w:tab/>
      </w:r>
      <w:r>
        <w:tab/>
      </w:r>
      <w:r>
        <w:tab/>
      </w:r>
      <w:r>
        <w:tab/>
      </w:r>
      <w:r>
        <w:rPr>
          <w:rFonts w:hint="cs"/>
          <w:b/>
          <w:bCs/>
          <w:rtl/>
        </w:rPr>
        <w:t>תמר זנדברג</w:t>
      </w:r>
      <w:r>
        <w:br/>
      </w:r>
      <w:r>
        <w:rPr>
          <w:rFonts w:hint="cs"/>
          <w:b/>
          <w:bCs/>
          <w:rtl/>
        </w:rPr>
        <w:t xml:space="preserve"> </w:t>
      </w:r>
      <w:r>
        <w:tab/>
      </w:r>
      <w:r>
        <w:tab/>
      </w:r>
      <w:r>
        <w:tab/>
      </w:r>
      <w:r>
        <w:tab/>
      </w:r>
      <w:r>
        <w:rPr>
          <w:rFonts w:hint="cs"/>
          <w:b/>
          <w:bCs/>
          <w:rtl/>
        </w:rPr>
        <w:t>זהבה גלאון</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פ/127/20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4C13E4DA" w:rsidR="00E13C27" w:rsidRPr="00F67051" w:rsidRDefault="00040577" w:rsidP="00517DDE">
      <w:pPr>
        <w:pStyle w:val="HeadHatzaotHok"/>
        <w:spacing w:line="240" w:lineRule="auto"/>
        <w:rPr>
          <w:rtl/>
        </w:rPr>
      </w:pPr>
      <w:bookmarkStart w:id="7" w:name="LGS_Subject"/>
      <w:r>
        <w:rPr>
          <w:rFonts w:hint="cs"/>
          <w:rtl/>
        </w:rPr>
        <w:t xml:space="preserve">הצעת חוק </w:t>
      </w:r>
      <w:r w:rsidR="00A443CF">
        <w:rPr>
          <w:rFonts w:hint="cs"/>
          <w:rtl/>
        </w:rPr>
        <w:t xml:space="preserve">הביטוח הלאומי (תיקון </w:t>
      </w:r>
      <w:r w:rsidR="00517DDE">
        <w:rPr>
          <w:rFonts w:hint="eastAsia"/>
          <w:rtl/>
        </w:rPr>
        <w:t>–</w:t>
      </w:r>
      <w:r w:rsidR="00517DDE">
        <w:rPr>
          <w:rFonts w:hint="cs"/>
          <w:rtl/>
        </w:rPr>
        <w:t xml:space="preserve"> </w:t>
      </w:r>
      <w:r w:rsidR="00A443CF">
        <w:rPr>
          <w:rFonts w:hint="cs"/>
          <w:rtl/>
        </w:rPr>
        <w:t>שמירת היריון חלקית)</w:t>
      </w:r>
      <w:bookmarkEnd w:id="7"/>
      <w:r w:rsidR="00517DDE">
        <w:rPr>
          <w:rFonts w:hint="cs"/>
          <w:rtl/>
        </w:rPr>
        <w:t>, התשע"ה</w:t>
      </w:r>
      <w:r w:rsidR="00517DDE">
        <w:rPr>
          <w:rFonts w:hint="eastAsia"/>
          <w:rtl/>
        </w:rPr>
        <w:t>–</w:t>
      </w:r>
      <w:r w:rsidR="00517DDE">
        <w:rPr>
          <w:rFonts w:hint="cs"/>
          <w:rtl/>
        </w:rPr>
        <w:t>2015</w:t>
      </w:r>
    </w:p>
    <w:p w14:paraId="7F6961AE" w14:textId="77777777" w:rsidR="00E13C27" w:rsidRDefault="00E13C27" w:rsidP="0000131B">
      <w:pPr>
        <w:pStyle w:val="HeadDivreiHesber"/>
        <w:spacing w:before="0" w:after="0" w:line="240" w:lineRule="auto"/>
        <w:rPr>
          <w:rtl/>
        </w:rPr>
      </w:pPr>
    </w:p>
    <w:tbl>
      <w:tblPr>
        <w:bidiVisual/>
        <w:tblW w:w="9647" w:type="dxa"/>
        <w:tblLayout w:type="fixed"/>
        <w:tblCellMar>
          <w:top w:w="57" w:type="dxa"/>
          <w:left w:w="0" w:type="dxa"/>
          <w:bottom w:w="57" w:type="dxa"/>
          <w:right w:w="0" w:type="dxa"/>
        </w:tblCellMar>
        <w:tblLook w:val="0000" w:firstRow="0" w:lastRow="0" w:firstColumn="0" w:lastColumn="0" w:noHBand="0" w:noVBand="0"/>
      </w:tblPr>
      <w:tblGrid>
        <w:gridCol w:w="8"/>
        <w:gridCol w:w="1860"/>
        <w:gridCol w:w="11"/>
        <w:gridCol w:w="613"/>
        <w:gridCol w:w="11"/>
        <w:gridCol w:w="7133"/>
        <w:gridCol w:w="11"/>
      </w:tblGrid>
      <w:tr w:rsidR="00517DDE" w14:paraId="3698DB2F" w14:textId="77777777" w:rsidTr="00040577">
        <w:trPr>
          <w:gridBefore w:val="1"/>
          <w:wBefore w:w="8" w:type="dxa"/>
          <w:cantSplit/>
        </w:trPr>
        <w:tc>
          <w:tcPr>
            <w:tcW w:w="1871" w:type="dxa"/>
            <w:gridSpan w:val="2"/>
            <w:tcBorders>
              <w:top w:val="nil"/>
              <w:left w:val="nil"/>
              <w:bottom w:val="nil"/>
              <w:right w:val="nil"/>
            </w:tcBorders>
          </w:tcPr>
          <w:p w14:paraId="00A41787" w14:textId="77777777" w:rsidR="00517DDE" w:rsidRPr="003D2F2B" w:rsidRDefault="00517DDE" w:rsidP="009034B5">
            <w:pPr>
              <w:pStyle w:val="TableSideHeading"/>
              <w:ind w:right="0"/>
            </w:pPr>
            <w:r w:rsidRPr="003D2F2B">
              <w:rPr>
                <w:rtl/>
              </w:rPr>
              <w:t>תיקון סעיף 5</w:t>
            </w:r>
            <w:r w:rsidRPr="003D2F2B">
              <w:rPr>
                <w:rFonts w:hint="cs"/>
                <w:rtl/>
              </w:rPr>
              <w:t>8</w:t>
            </w:r>
          </w:p>
        </w:tc>
        <w:tc>
          <w:tcPr>
            <w:tcW w:w="624" w:type="dxa"/>
            <w:gridSpan w:val="2"/>
            <w:tcBorders>
              <w:top w:val="nil"/>
              <w:left w:val="nil"/>
              <w:bottom w:val="nil"/>
              <w:right w:val="nil"/>
            </w:tcBorders>
          </w:tcPr>
          <w:p w14:paraId="322759B4" w14:textId="77777777" w:rsidR="00517DDE" w:rsidRPr="003D2F2B" w:rsidRDefault="00517DDE" w:rsidP="009034B5">
            <w:pPr>
              <w:pStyle w:val="TableText"/>
              <w:ind w:right="0"/>
              <w:jc w:val="both"/>
            </w:pPr>
            <w:r w:rsidRPr="003D2F2B">
              <w:rPr>
                <w:rtl/>
              </w:rPr>
              <w:t>1.</w:t>
            </w:r>
          </w:p>
        </w:tc>
        <w:tc>
          <w:tcPr>
            <w:tcW w:w="7144" w:type="dxa"/>
            <w:gridSpan w:val="2"/>
            <w:tcBorders>
              <w:top w:val="nil"/>
              <w:left w:val="nil"/>
              <w:bottom w:val="nil"/>
              <w:right w:val="nil"/>
            </w:tcBorders>
          </w:tcPr>
          <w:p w14:paraId="2AA9290F" w14:textId="50CBF90A" w:rsidR="00517DDE" w:rsidRPr="003D2F2B" w:rsidRDefault="00517DDE" w:rsidP="009034B5">
            <w:pPr>
              <w:pStyle w:val="TableBlock"/>
            </w:pPr>
            <w:r w:rsidRPr="003D2F2B">
              <w:rPr>
                <w:rFonts w:hint="cs"/>
                <w:rtl/>
              </w:rPr>
              <w:t>בחוק הביטוח הלאומי [נוסח משולב], התשנ"ה–1995</w:t>
            </w:r>
            <w:r w:rsidRPr="003D2F2B">
              <w:rPr>
                <w:vertAlign w:val="superscript"/>
                <w:rtl/>
              </w:rPr>
              <w:footnoteReference w:id="2"/>
            </w:r>
            <w:r w:rsidRPr="003D2F2B">
              <w:rPr>
                <w:rFonts w:hint="cs"/>
                <w:vertAlign w:val="superscript"/>
                <w:rtl/>
              </w:rPr>
              <w:t xml:space="preserve"> </w:t>
            </w:r>
            <w:r w:rsidRPr="003D2F2B">
              <w:rPr>
                <w:rFonts w:hint="cs"/>
                <w:rtl/>
              </w:rPr>
              <w:t xml:space="preserve">(להלן – החוק העיקרי), בסעיף 58, בהגדרה "שמירת הריון", אחרי "היעדרות מעבודה" יבוא "או היעדרות בחלק משעות יום העבודה". </w:t>
            </w:r>
          </w:p>
        </w:tc>
      </w:tr>
      <w:tr w:rsidR="00517DDE" w14:paraId="3594BFB0" w14:textId="77777777" w:rsidTr="00040577">
        <w:tblPrEx>
          <w:tblLook w:val="01E0" w:firstRow="1" w:lastRow="1" w:firstColumn="1" w:lastColumn="1" w:noHBand="0" w:noVBand="0"/>
        </w:tblPrEx>
        <w:trPr>
          <w:gridAfter w:val="1"/>
          <w:wAfter w:w="11" w:type="dxa"/>
          <w:cantSplit/>
          <w:trHeight w:val="60"/>
        </w:trPr>
        <w:tc>
          <w:tcPr>
            <w:tcW w:w="1868" w:type="dxa"/>
            <w:gridSpan w:val="2"/>
          </w:tcPr>
          <w:p w14:paraId="211D7B25" w14:textId="77777777" w:rsidR="00517DDE" w:rsidRDefault="00517DDE" w:rsidP="009034B5">
            <w:pPr>
              <w:pStyle w:val="TableSideHeading"/>
              <w:keepLines w:val="0"/>
            </w:pPr>
            <w:r>
              <w:rPr>
                <w:rFonts w:hint="cs"/>
                <w:rtl/>
              </w:rPr>
              <w:t>תיקון סעיף 60</w:t>
            </w:r>
          </w:p>
        </w:tc>
        <w:tc>
          <w:tcPr>
            <w:tcW w:w="624" w:type="dxa"/>
            <w:gridSpan w:val="2"/>
          </w:tcPr>
          <w:p w14:paraId="030A0D3E" w14:textId="77777777" w:rsidR="00517DDE" w:rsidRDefault="00517DDE" w:rsidP="009034B5">
            <w:pPr>
              <w:pStyle w:val="TableText"/>
              <w:keepLines w:val="0"/>
            </w:pPr>
            <w:r>
              <w:rPr>
                <w:rFonts w:hint="cs"/>
                <w:rtl/>
              </w:rPr>
              <w:t>2.</w:t>
            </w:r>
          </w:p>
        </w:tc>
        <w:tc>
          <w:tcPr>
            <w:tcW w:w="7144" w:type="dxa"/>
            <w:gridSpan w:val="2"/>
          </w:tcPr>
          <w:p w14:paraId="33AAABFC" w14:textId="77777777" w:rsidR="00517DDE" w:rsidRPr="003D2F2B" w:rsidRDefault="00517DDE" w:rsidP="009034B5">
            <w:pPr>
              <w:pStyle w:val="TableBlock"/>
            </w:pPr>
            <w:r w:rsidRPr="003D2F2B">
              <w:rPr>
                <w:rFonts w:hint="cs"/>
                <w:rtl/>
              </w:rPr>
              <w:t xml:space="preserve">בסעיף 60 לחוק העיקרי, האמור בו יסומן </w:t>
            </w:r>
            <w:r>
              <w:rPr>
                <w:rFonts w:hint="cs"/>
                <w:rtl/>
              </w:rPr>
              <w:t>"</w:t>
            </w:r>
            <w:r w:rsidRPr="003D2F2B">
              <w:rPr>
                <w:rFonts w:hint="cs"/>
                <w:rtl/>
              </w:rPr>
              <w:t>(א)</w:t>
            </w:r>
            <w:r>
              <w:rPr>
                <w:rFonts w:hint="cs"/>
                <w:rtl/>
              </w:rPr>
              <w:t>"</w:t>
            </w:r>
            <w:r w:rsidRPr="003D2F2B">
              <w:rPr>
                <w:rFonts w:hint="cs"/>
                <w:rtl/>
              </w:rPr>
              <w:t xml:space="preserve"> ואחריו יבוא: </w:t>
            </w:r>
          </w:p>
        </w:tc>
      </w:tr>
      <w:tr w:rsidR="00517DDE" w14:paraId="54972302" w14:textId="77777777" w:rsidTr="00040577">
        <w:tblPrEx>
          <w:tblLook w:val="01E0" w:firstRow="1" w:lastRow="1" w:firstColumn="1" w:lastColumn="1" w:noHBand="0" w:noVBand="0"/>
        </w:tblPrEx>
        <w:trPr>
          <w:gridAfter w:val="1"/>
          <w:wAfter w:w="11" w:type="dxa"/>
          <w:cantSplit/>
          <w:trHeight w:val="60"/>
        </w:trPr>
        <w:tc>
          <w:tcPr>
            <w:tcW w:w="1868" w:type="dxa"/>
            <w:gridSpan w:val="2"/>
          </w:tcPr>
          <w:p w14:paraId="268A84F4" w14:textId="77777777" w:rsidR="00517DDE" w:rsidRDefault="00517DDE" w:rsidP="009034B5">
            <w:pPr>
              <w:pStyle w:val="TableSideHeading"/>
              <w:keepLines w:val="0"/>
              <w:rPr>
                <w:rtl/>
              </w:rPr>
            </w:pPr>
          </w:p>
        </w:tc>
        <w:tc>
          <w:tcPr>
            <w:tcW w:w="624" w:type="dxa"/>
            <w:gridSpan w:val="2"/>
          </w:tcPr>
          <w:p w14:paraId="2B1B3918" w14:textId="77777777" w:rsidR="00517DDE" w:rsidRDefault="00517DDE" w:rsidP="009034B5">
            <w:pPr>
              <w:pStyle w:val="TableText"/>
              <w:rPr>
                <w:rtl/>
              </w:rPr>
            </w:pPr>
          </w:p>
        </w:tc>
        <w:tc>
          <w:tcPr>
            <w:tcW w:w="7144" w:type="dxa"/>
            <w:gridSpan w:val="2"/>
          </w:tcPr>
          <w:p w14:paraId="4E6A06E3" w14:textId="1BDDD421" w:rsidR="00517DDE" w:rsidRPr="003D2F2B" w:rsidRDefault="00517DDE" w:rsidP="00040577">
            <w:pPr>
              <w:pStyle w:val="TableBlock"/>
              <w:rPr>
                <w:rtl/>
              </w:rPr>
            </w:pPr>
            <w:r w:rsidRPr="003D2F2B">
              <w:rPr>
                <w:rFonts w:hint="cs"/>
                <w:rtl/>
              </w:rPr>
              <w:t>"(ב)</w:t>
            </w:r>
            <w:r w:rsidRPr="003D2F2B">
              <w:rPr>
                <w:rtl/>
              </w:rPr>
              <w:tab/>
            </w:r>
            <w:r w:rsidRPr="003D2F2B">
              <w:rPr>
                <w:rFonts w:hint="cs"/>
                <w:rtl/>
              </w:rPr>
              <w:t>על אף האמור בסעיף קטן (א), גמלה לשמירת הריון לעובדת שנעדרה בחלק משעות יום העבודה, תחושב לפי כללים שיקבע שר הרווחה והשירותי</w:t>
            </w:r>
            <w:r w:rsidR="00417D62">
              <w:rPr>
                <w:rFonts w:hint="cs"/>
                <w:rtl/>
              </w:rPr>
              <w:t xml:space="preserve">ם החברתיים, באישור ועדת העבודה </w:t>
            </w:r>
            <w:r w:rsidR="00040577">
              <w:rPr>
                <w:rFonts w:hint="cs"/>
                <w:rtl/>
              </w:rPr>
              <w:t>ו</w:t>
            </w:r>
            <w:r w:rsidRPr="003D2F2B">
              <w:rPr>
                <w:rFonts w:hint="cs"/>
                <w:rtl/>
              </w:rPr>
              <w:t>הרווחה."</w:t>
            </w:r>
          </w:p>
        </w:tc>
      </w:tr>
      <w:tr w:rsidR="00517DDE" w:rsidRPr="00DB13EB" w14:paraId="4EB7A542" w14:textId="77777777" w:rsidTr="00040577">
        <w:trPr>
          <w:gridBefore w:val="1"/>
          <w:wBefore w:w="8" w:type="dxa"/>
          <w:cantSplit/>
        </w:trPr>
        <w:tc>
          <w:tcPr>
            <w:tcW w:w="1871" w:type="dxa"/>
            <w:gridSpan w:val="2"/>
            <w:tcBorders>
              <w:top w:val="nil"/>
              <w:left w:val="nil"/>
              <w:bottom w:val="nil"/>
              <w:right w:val="nil"/>
            </w:tcBorders>
          </w:tcPr>
          <w:p w14:paraId="4526D6D2" w14:textId="77777777" w:rsidR="00517DDE" w:rsidRPr="003D2F2B" w:rsidRDefault="00517DDE" w:rsidP="009034B5">
            <w:pPr>
              <w:pStyle w:val="TableSideHeading"/>
              <w:ind w:right="0"/>
            </w:pPr>
            <w:r w:rsidRPr="003D2F2B">
              <w:rPr>
                <w:rFonts w:hint="cs"/>
                <w:rtl/>
              </w:rPr>
              <w:t xml:space="preserve">תקנות ראשונות </w:t>
            </w:r>
          </w:p>
        </w:tc>
        <w:tc>
          <w:tcPr>
            <w:tcW w:w="624" w:type="dxa"/>
            <w:gridSpan w:val="2"/>
            <w:tcBorders>
              <w:top w:val="nil"/>
              <w:left w:val="nil"/>
              <w:bottom w:val="nil"/>
              <w:right w:val="nil"/>
            </w:tcBorders>
          </w:tcPr>
          <w:p w14:paraId="7E0C20FC" w14:textId="77777777" w:rsidR="00517DDE" w:rsidRPr="00DB13EB" w:rsidRDefault="00517DDE" w:rsidP="009034B5">
            <w:pPr>
              <w:pStyle w:val="TableBlock"/>
            </w:pPr>
            <w:r>
              <w:rPr>
                <w:rFonts w:hint="cs"/>
                <w:rtl/>
              </w:rPr>
              <w:t>3.</w:t>
            </w:r>
          </w:p>
        </w:tc>
        <w:tc>
          <w:tcPr>
            <w:tcW w:w="7144" w:type="dxa"/>
            <w:gridSpan w:val="2"/>
            <w:tcBorders>
              <w:top w:val="nil"/>
              <w:left w:val="nil"/>
              <w:bottom w:val="nil"/>
              <w:right w:val="nil"/>
            </w:tcBorders>
          </w:tcPr>
          <w:p w14:paraId="325A5690" w14:textId="77777777" w:rsidR="00517DDE" w:rsidRPr="003D2F2B" w:rsidRDefault="00517DDE" w:rsidP="009034B5">
            <w:pPr>
              <w:pStyle w:val="TableBlock"/>
              <w:rPr>
                <w:rtl/>
              </w:rPr>
            </w:pPr>
            <w:r w:rsidRPr="003D2F2B">
              <w:rPr>
                <w:rFonts w:hint="cs"/>
                <w:rtl/>
              </w:rPr>
              <w:t>תקנות ראשונות לפי סעיף 60(ב) לחוק העיקרי, כנוסחו בסעיף 2 לחוק זה, יובאו לאישור ועדת העבודה הרווחה</w:t>
            </w:r>
            <w:r>
              <w:rPr>
                <w:rFonts w:hint="cs"/>
                <w:rtl/>
              </w:rPr>
              <w:t xml:space="preserve"> והבריאות של הכנסת</w:t>
            </w:r>
            <w:r w:rsidRPr="003D2F2B">
              <w:rPr>
                <w:rFonts w:hint="cs"/>
                <w:rtl/>
              </w:rPr>
              <w:t xml:space="preserve"> בתוך שלושה חודשים מיום פרסומו של חוק זה. </w:t>
            </w:r>
          </w:p>
        </w:tc>
      </w:tr>
    </w:tbl>
    <w:p w14:paraId="7F6961CA" w14:textId="77777777" w:rsidR="002D1EE3" w:rsidRDefault="002D1EE3" w:rsidP="002D1EE3">
      <w:pPr>
        <w:pStyle w:val="HeadDivreiHesber"/>
        <w:rPr>
          <w:rtl/>
        </w:rPr>
      </w:pPr>
      <w:r w:rsidRPr="0027450A">
        <w:rPr>
          <w:rFonts w:hint="cs"/>
          <w:rtl/>
        </w:rPr>
        <w:t>דברי הסבר</w:t>
      </w:r>
    </w:p>
    <w:p w14:paraId="27F224D8" w14:textId="58DB7420" w:rsidR="008B2D6D" w:rsidRPr="007C4BB8" w:rsidRDefault="00002118" w:rsidP="00002118">
      <w:pPr>
        <w:pStyle w:val="Hesber"/>
        <w:rPr>
          <w:rtl/>
        </w:rPr>
      </w:pPr>
      <w:r>
        <w:rPr>
          <w:rFonts w:hint="cs"/>
          <w:rtl/>
        </w:rPr>
        <w:t>ב</w:t>
      </w:r>
      <w:r w:rsidR="009B7A7F">
        <w:rPr>
          <w:rtl/>
        </w:rPr>
        <w:t xml:space="preserve">שמירת </w:t>
      </w:r>
      <w:r w:rsidR="008B2D6D" w:rsidRPr="007C4BB8">
        <w:rPr>
          <w:rtl/>
        </w:rPr>
        <w:t xml:space="preserve">היריון עובדת נאלצת להיעדר מעבודתה בזמן ההיריון עקב סיכון רפואי לה או לעובר, הנובע מן ההיריון. </w:t>
      </w:r>
      <w:r w:rsidR="008B2D6D" w:rsidRPr="00517DDE">
        <w:rPr>
          <w:rtl/>
        </w:rPr>
        <w:t xml:space="preserve">לפי </w:t>
      </w:r>
      <w:hyperlink r:id="rId12" w:history="1">
        <w:r w:rsidR="008B2D6D" w:rsidRPr="007C4BB8">
          <w:rPr>
            <w:rtl/>
          </w:rPr>
          <w:t>חוק הביטוח הלאומי</w:t>
        </w:r>
      </w:hyperlink>
      <w:r w:rsidR="008B2D6D" w:rsidRPr="007C4BB8">
        <w:rPr>
          <w:rtl/>
        </w:rPr>
        <w:t xml:space="preserve"> [נוסח משולב], התשנ"ה</w:t>
      </w:r>
      <w:r>
        <w:rPr>
          <w:rFonts w:hint="cs"/>
          <w:rtl/>
        </w:rPr>
        <w:t>–</w:t>
      </w:r>
      <w:r w:rsidR="008B2D6D" w:rsidRPr="007C4BB8">
        <w:rPr>
          <w:rtl/>
        </w:rPr>
        <w:t>1995,</w:t>
      </w:r>
      <w:r w:rsidR="008B2D6D" w:rsidRPr="00517DDE">
        <w:rPr>
          <w:rtl/>
        </w:rPr>
        <w:t xml:space="preserve"> עובדת הנעדרת מעבודתה </w:t>
      </w:r>
      <w:r w:rsidR="009B7A7F">
        <w:rPr>
          <w:rFonts w:hint="cs"/>
          <w:rtl/>
        </w:rPr>
        <w:t>ב</w:t>
      </w:r>
      <w:r w:rsidR="009B7A7F">
        <w:rPr>
          <w:rtl/>
        </w:rPr>
        <w:t>משך 30 י</w:t>
      </w:r>
      <w:r w:rsidR="009B7A7F">
        <w:rPr>
          <w:rFonts w:hint="cs"/>
          <w:rtl/>
        </w:rPr>
        <w:t>מים</w:t>
      </w:r>
      <w:r w:rsidR="008B2D6D" w:rsidRPr="00517DDE">
        <w:rPr>
          <w:rtl/>
        </w:rPr>
        <w:t xml:space="preserve"> רצופים עקב שמירת היריון, זכאית לקבל </w:t>
      </w:r>
      <w:r w:rsidR="009B7A7F">
        <w:rPr>
          <w:rtl/>
        </w:rPr>
        <w:t xml:space="preserve">גמלת שמירת </w:t>
      </w:r>
      <w:r w:rsidR="008B2D6D" w:rsidRPr="007C4BB8">
        <w:rPr>
          <w:rtl/>
        </w:rPr>
        <w:t>היריון מהמוסד לביטוח לאומי שנועדה לפצותה על אובדן שכרה בזמן זה.</w:t>
      </w:r>
    </w:p>
    <w:p w14:paraId="0F7C4292" w14:textId="21A989AF" w:rsidR="008B2D6D" w:rsidRPr="009B7A7F" w:rsidRDefault="008B2D6D" w:rsidP="007C4BB8">
      <w:pPr>
        <w:pStyle w:val="Hesber"/>
        <w:rPr>
          <w:rtl/>
        </w:rPr>
      </w:pPr>
      <w:r w:rsidRPr="00517DDE">
        <w:rPr>
          <w:rtl/>
        </w:rPr>
        <w:t>בחלק מן המקרים, הוראת הרופא היא שעקב סיכון רפואי לעובדת או לעובר, על העובדת להפחית את שעות עבודתה מדי יום, קרי - לשהות ב</w:t>
      </w:r>
      <w:r w:rsidRPr="00417D62">
        <w:rPr>
          <w:rtl/>
        </w:rPr>
        <w:t>שמירת היריון חלקית. כיום עובדת המצמצמת את היקף עבודתה כאמור אינה מקבלת פיצוי בגין ההיעדרות החלקית. מצב דברים זה יוצר תמריצים בעייתיים בקשר להשתתפות נשים בשוק העבודה בתקופת ש</w:t>
      </w:r>
      <w:r w:rsidRPr="00040577">
        <w:rPr>
          <w:rtl/>
        </w:rPr>
        <w:t xml:space="preserve">מירת ההיריון ואין להשאירו על כנו. נשים הזקוקות לפרנסתן בתקופת ההיריון עשויות להמשיך לעבוד ימים מלאים, על אף הוראת הרופא, על מנת לשמור על רמת </w:t>
      </w:r>
      <w:r w:rsidRPr="00040577">
        <w:rPr>
          <w:rtl/>
        </w:rPr>
        <w:lastRenderedPageBreak/>
        <w:t>הכנסתן. זאת ועוד, לנוכח הבעייתיות האמורה, ייתכן שייקבע שיש צורך בשמירת היריון מלאה. התוצאה אם כן היא דחיקת רגליהן של נשים ממעגל העבודה בתקופת ההיריון מחד גיסא, והטלת מעמסה על אוצר המדינה שלא לצורך מאידך גיסא.</w:t>
      </w:r>
    </w:p>
    <w:p w14:paraId="2D12952F" w14:textId="24E364E3" w:rsidR="008B2D6D" w:rsidRPr="00517DDE" w:rsidRDefault="008B2D6D" w:rsidP="007C4BB8">
      <w:pPr>
        <w:pStyle w:val="Hesber"/>
        <w:rPr>
          <w:rtl/>
        </w:rPr>
      </w:pPr>
      <w:r w:rsidRPr="007C4BB8">
        <w:rPr>
          <w:rtl/>
        </w:rPr>
        <w:t>על רקע דברים אלה, הצעת החוק מבקשת לקבוע את זכותה של האישה לקבל</w:t>
      </w:r>
      <w:r w:rsidR="00517DDE">
        <w:rPr>
          <w:rFonts w:hint="cs"/>
          <w:rtl/>
        </w:rPr>
        <w:t>ת</w:t>
      </w:r>
      <w:r w:rsidRPr="007C4BB8">
        <w:rPr>
          <w:rtl/>
        </w:rPr>
        <w:t xml:space="preserve"> גמלה בגין היעדרות מהעבודה עקב שמירת היריון חלקית, מתוך מחויבות לזכויות האישה כעובדת. ההצעה עולה בקנה אחד עם תכלית </w:t>
      </w:r>
      <w:r w:rsidR="009B7A7F">
        <w:rPr>
          <w:rFonts w:hint="cs"/>
          <w:rtl/>
        </w:rPr>
        <w:t>ה</w:t>
      </w:r>
      <w:r w:rsidR="009B7A7F">
        <w:rPr>
          <w:rtl/>
        </w:rPr>
        <w:t>גמל</w:t>
      </w:r>
      <w:r w:rsidR="009B7A7F">
        <w:rPr>
          <w:rFonts w:hint="cs"/>
          <w:rtl/>
        </w:rPr>
        <w:t>ה</w:t>
      </w:r>
      <w:r w:rsidRPr="007C4BB8">
        <w:rPr>
          <w:rtl/>
        </w:rPr>
        <w:t xml:space="preserve"> </w:t>
      </w:r>
      <w:r w:rsidR="009B7A7F">
        <w:rPr>
          <w:rFonts w:hint="cs"/>
          <w:rtl/>
        </w:rPr>
        <w:t>ל</w:t>
      </w:r>
      <w:r w:rsidR="009B7A7F">
        <w:rPr>
          <w:rtl/>
        </w:rPr>
        <w:t xml:space="preserve">שמירת </w:t>
      </w:r>
      <w:r w:rsidRPr="007C4BB8">
        <w:rPr>
          <w:rtl/>
        </w:rPr>
        <w:t>היריון שנועדה לפצות עובדות על אובדן שכרן בתקופת ההיריון עקב מצב בריאותי שאינו מאפשר את המשך העבודה. באופן כללי יותר, הצעת החוק מגשימה את התכלית החקיקתית של הבטחת מימוש זכותה של אישה לעבוד במהלך ההיריון ולאפשר לה המשך הקשר עם המעסיק מחד גיסא, ומאידך גיסא, הגנה על בריאותה ועל זכותה להורות.</w:t>
      </w:r>
    </w:p>
    <w:p w14:paraId="3CF2041E" w14:textId="0E658C39" w:rsidR="008B2D6D" w:rsidRPr="00417D62" w:rsidRDefault="008B2D6D" w:rsidP="001A1F3D">
      <w:pPr>
        <w:pStyle w:val="Hesber"/>
        <w:rPr>
          <w:rtl/>
        </w:rPr>
      </w:pPr>
      <w:r w:rsidRPr="00517DDE">
        <w:rPr>
          <w:rtl/>
        </w:rPr>
        <w:t xml:space="preserve">לא למותר לציין כי הצורך במתן גמלה בגין שמירת היריון חלקית לעובדת הוכר גם בפסיקת בית הדין הארצי לעבודה. בפס"ד </w:t>
      </w:r>
      <w:r w:rsidRPr="007C4BB8">
        <w:rPr>
          <w:rtl/>
        </w:rPr>
        <w:t>עב"ל (ארצי) 165-08 המוסד לביטוח לאומי – רחל בלומנטל</w:t>
      </w:r>
      <w:r w:rsidRPr="00517DDE">
        <w:rPr>
          <w:rtl/>
        </w:rPr>
        <w:t xml:space="preserve"> קבע בית הדין הארצי לעבודה</w:t>
      </w:r>
      <w:r w:rsidRPr="00417D62">
        <w:rPr>
          <w:rtl/>
        </w:rPr>
        <w:t xml:space="preserve"> בדעת רו</w:t>
      </w:r>
      <w:r w:rsidR="007C4BB8">
        <w:rPr>
          <w:rtl/>
        </w:rPr>
        <w:t xml:space="preserve">ב כי מתן גמלת שמירת </w:t>
      </w:r>
      <w:r w:rsidRPr="00040577">
        <w:rPr>
          <w:rtl/>
        </w:rPr>
        <w:t>היריון חלקית במקרה של צמצום היקף שעות העבודה היומיות בלבד נגזרת מתכלית החוק והולמת מדיניות חברתית ותעסוקתית ראויה. ואולם, מאוחר יותר בעניין עב"ל (ארצי) 746-08 המוסד לביטוח לאומי</w:t>
      </w:r>
      <w:r w:rsidR="001A1F3D" w:rsidRPr="001A1F3D">
        <w:rPr>
          <w:rtl/>
        </w:rPr>
        <w:t xml:space="preserve"> </w:t>
      </w:r>
      <w:r w:rsidR="001A1F3D">
        <w:rPr>
          <w:rFonts w:hint="cs"/>
          <w:rtl/>
        </w:rPr>
        <w:t xml:space="preserve">- </w:t>
      </w:r>
      <w:r w:rsidR="001A1F3D" w:rsidRPr="00040577">
        <w:rPr>
          <w:rtl/>
        </w:rPr>
        <w:t>פזית סאיג-אבוקסיס</w:t>
      </w:r>
      <w:r w:rsidRPr="00517DDE">
        <w:rPr>
          <w:rtl/>
        </w:rPr>
        <w:t>,</w:t>
      </w:r>
      <w:r w:rsidRPr="007C4BB8">
        <w:rPr>
          <w:rtl/>
        </w:rPr>
        <w:t xml:space="preserve"> </w:t>
      </w:r>
      <w:r w:rsidRPr="00517DDE">
        <w:rPr>
          <w:rtl/>
        </w:rPr>
        <w:t>קבע בית הדין הארצי לעבודה כי לשון החוק אינה סובלת פרשנות של מתן גמלה חלקית הן לאור הנוסח המתייחס לגמלה יומית והן לאור תכלית החוק שהיא לטפל במצב של היזקקות להשגחה תמידית המחייבת היעדרות מלאה מהעבודה. לצד האמור, באותו עניין מבית הדין הארצי לעבודה יצאה קריאה למחוקק לשקול הסדר חקיקתי מפורש שיחול על אותן נשים עובדות הנדרשות לצמצם את היקף משרתן בתקופת ההיריון, באופן שישקף את המדיניות הרצויה.</w:t>
      </w:r>
    </w:p>
    <w:p w14:paraId="2B94B6C9" w14:textId="77777777" w:rsidR="008B2D6D" w:rsidRPr="007C4BB8" w:rsidRDefault="008B2D6D" w:rsidP="007C4BB8">
      <w:pPr>
        <w:pStyle w:val="Hesber"/>
        <w:rPr>
          <w:rtl/>
        </w:rPr>
      </w:pPr>
      <w:r w:rsidRPr="00040577">
        <w:rPr>
          <w:rtl/>
        </w:rPr>
        <w:t>הצעת החוק מוגשת בשיתוף עם שדולת הנשים בישראל, עמותה עצמאית בלתי-מפלגתית הפועלת לקידום מעמד האישה בישראל, בעקבות פניות ציבור</w:t>
      </w:r>
      <w:r w:rsidRPr="007C4BB8">
        <w:rPr>
          <w:rtl/>
        </w:rPr>
        <w:t xml:space="preserve"> שהתקבלו בעניין זה.</w:t>
      </w:r>
    </w:p>
    <w:p w14:paraId="243CA44E" w14:textId="1FB7B6E3" w:rsidR="008B2D6D" w:rsidRPr="008F75D9" w:rsidRDefault="008B2D6D" w:rsidP="008F75D9">
      <w:pPr>
        <w:pStyle w:val="Hesber"/>
        <w:rPr>
          <w:rtl/>
        </w:rPr>
      </w:pPr>
      <w:r w:rsidRPr="008F75D9">
        <w:rPr>
          <w:rtl/>
        </w:rPr>
        <w:t xml:space="preserve">הצעות חוק דומות בעיקרן הונחו על שולחן הכנסת השמונה-עשרה על ידי חבר הכנסת חיים אורון וקבוצת חברי </w:t>
      </w:r>
      <w:r w:rsidR="008F75D9">
        <w:rPr>
          <w:rFonts w:hint="cs"/>
          <w:rtl/>
        </w:rPr>
        <w:t>ה</w:t>
      </w:r>
      <w:r w:rsidRPr="008F75D9">
        <w:rPr>
          <w:rtl/>
        </w:rPr>
        <w:t>כנסת (פ/335/18)</w:t>
      </w:r>
      <w:r w:rsidR="008F75D9">
        <w:rPr>
          <w:rFonts w:hint="cs"/>
          <w:rtl/>
        </w:rPr>
        <w:t xml:space="preserve">, </w:t>
      </w:r>
      <w:r w:rsidRPr="008F75D9">
        <w:rPr>
          <w:rtl/>
        </w:rPr>
        <w:t>על ידי חבר הכנסת אריה אלדד (פ/537/18), ועל ידי חבר הכנסת זבולון אורלב (פ/832/18).</w:t>
      </w:r>
    </w:p>
    <w:p w14:paraId="457817E2" w14:textId="768FC0D3" w:rsidR="008B2D6D" w:rsidRPr="008F75D9" w:rsidRDefault="008B2D6D" w:rsidP="008F75D9">
      <w:pPr>
        <w:pStyle w:val="Hesber"/>
        <w:rPr>
          <w:rtl/>
        </w:rPr>
      </w:pPr>
      <w:r w:rsidRPr="008F75D9">
        <w:rPr>
          <w:rFonts w:hint="cs"/>
          <w:rtl/>
        </w:rPr>
        <w:t xml:space="preserve">הצעת חוק זהה הונחה על שולחן הכנסת התשע-עשרה על-ידי חברת הכנסת מיכל רוזין </w:t>
      </w:r>
      <w:r w:rsidR="008F75D9">
        <w:rPr>
          <w:rFonts w:hint="cs"/>
          <w:rtl/>
        </w:rPr>
        <w:t>וקבוצת חברי הכנסת</w:t>
      </w:r>
      <w:r w:rsidR="007C4BB8">
        <w:rPr>
          <w:rFonts w:hint="cs"/>
          <w:rtl/>
        </w:rPr>
        <w:t xml:space="preserve"> </w:t>
      </w:r>
      <w:r w:rsidRPr="008F75D9">
        <w:rPr>
          <w:rFonts w:hint="cs"/>
          <w:rtl/>
        </w:rPr>
        <w:t>(פ/1715/19).</w:t>
      </w:r>
    </w:p>
    <w:p w14:paraId="7F6961CB" w14:textId="77777777" w:rsidR="00E13C27" w:rsidRDefault="00E13C27" w:rsidP="008B2D6D">
      <w:pPr>
        <w:pStyle w:val="Hesber"/>
        <w:ind w:firstLine="0"/>
        <w:rPr>
          <w:rFonts w:hint="cs"/>
          <w:rtl/>
        </w:rPr>
      </w:pPr>
    </w:p>
    <w:p w14:paraId="374543BF" w14:textId="76A7684E" w:rsidR="00002118" w:rsidRDefault="00002118" w:rsidP="008B2D6D">
      <w:pPr>
        <w:pStyle w:val="Hesber"/>
        <w:ind w:firstLine="0"/>
        <w:rPr>
          <w:rFonts w:hint="cs"/>
          <w:rtl/>
        </w:rPr>
      </w:pPr>
    </w:p>
    <w:p w14:paraId="540DEC0C" w14:textId="77777777" w:rsidR="00E37467" w:rsidRPr="0022704F" w:rsidRDefault="00E37467" w:rsidP="00E37467">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w:t>
      </w:r>
      <w:bookmarkStart w:id="8" w:name="_GoBack"/>
      <w:bookmarkEnd w:id="8"/>
    </w:p>
    <w:p w14:paraId="35255F5A" w14:textId="77777777" w:rsidR="00E37467" w:rsidRPr="0022704F" w:rsidRDefault="00E37467" w:rsidP="00E37467">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הוגשה ליו"ר הכנסת והסגנים</w:t>
      </w:r>
    </w:p>
    <w:p w14:paraId="75C7D51C" w14:textId="77777777" w:rsidR="00E37467" w:rsidRPr="0022704F" w:rsidRDefault="00E37467" w:rsidP="00E37467">
      <w:pPr>
        <w:ind w:left="340" w:firstLine="0"/>
        <w:rPr>
          <w:rFonts w:ascii="Arial" w:eastAsia="Arial Unicode MS" w:hAnsi="Arial" w:cs="David"/>
          <w:snapToGrid w:val="0"/>
          <w:spacing w:val="0"/>
          <w:sz w:val="20"/>
          <w:szCs w:val="26"/>
          <w:rtl/>
        </w:rPr>
      </w:pPr>
      <w:r w:rsidRPr="0022704F">
        <w:rPr>
          <w:rFonts w:ascii="Arial" w:eastAsia="Arial Unicode MS" w:hAnsi="Arial" w:cs="David"/>
          <w:snapToGrid w:val="0"/>
          <w:spacing w:val="0"/>
          <w:sz w:val="20"/>
          <w:szCs w:val="26"/>
          <w:rtl/>
        </w:rPr>
        <w:t>והונחה על שולחן הכנסת ביום</w:t>
      </w:r>
    </w:p>
    <w:p w14:paraId="0E479613" w14:textId="77777777" w:rsidR="00E37467" w:rsidRPr="00935520" w:rsidRDefault="00E37467" w:rsidP="00E37467">
      <w:pPr>
        <w:ind w:left="340" w:firstLine="0"/>
        <w:rPr>
          <w:rFonts w:ascii="Arial" w:eastAsia="Arial Unicode MS" w:hAnsi="Arial" w:cs="David"/>
          <w:snapToGrid w:val="0"/>
          <w:spacing w:val="0"/>
          <w:sz w:val="20"/>
          <w:szCs w:val="26"/>
        </w:rPr>
      </w:pPr>
      <w:r>
        <w:rPr>
          <w:rFonts w:ascii="Arial" w:eastAsia="Arial Unicode MS" w:hAnsi="Arial" w:cs="David" w:hint="cs"/>
          <w:snapToGrid w:val="0"/>
          <w:spacing w:val="0"/>
          <w:sz w:val="20"/>
          <w:szCs w:val="26"/>
          <w:rtl/>
        </w:rPr>
        <w:t>ט"ו באייר התשע"ה</w:t>
      </w:r>
      <w:r w:rsidRPr="00935520">
        <w:rPr>
          <w:rFonts w:ascii="Arial" w:eastAsia="Arial Unicode MS" w:hAnsi="Arial" w:cs="David" w:hint="cs"/>
          <w:snapToGrid w:val="0"/>
          <w:spacing w:val="0"/>
          <w:sz w:val="20"/>
          <w:szCs w:val="26"/>
          <w:rtl/>
        </w:rPr>
        <w:t xml:space="preserve"> – </w:t>
      </w:r>
      <w:r>
        <w:rPr>
          <w:rFonts w:ascii="Arial" w:eastAsia="Arial Unicode MS" w:hAnsi="Arial" w:cs="David" w:hint="cs"/>
          <w:snapToGrid w:val="0"/>
          <w:spacing w:val="0"/>
          <w:sz w:val="20"/>
          <w:szCs w:val="26"/>
          <w:rtl/>
        </w:rPr>
        <w:t>4</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5</w:t>
      </w:r>
      <w:r w:rsidRPr="00935520">
        <w:rPr>
          <w:rFonts w:ascii="Arial" w:eastAsia="Arial Unicode MS" w:hAnsi="Arial" w:cs="David" w:hint="cs"/>
          <w:snapToGrid w:val="0"/>
          <w:spacing w:val="0"/>
          <w:sz w:val="20"/>
          <w:szCs w:val="26"/>
          <w:rtl/>
        </w:rPr>
        <w:t>.</w:t>
      </w:r>
      <w:r>
        <w:rPr>
          <w:rFonts w:ascii="Arial" w:eastAsia="Arial Unicode MS" w:hAnsi="Arial" w:cs="David" w:hint="cs"/>
          <w:snapToGrid w:val="0"/>
          <w:spacing w:val="0"/>
          <w:sz w:val="20"/>
          <w:szCs w:val="26"/>
          <w:rtl/>
        </w:rPr>
        <w:t>15</w:t>
      </w:r>
    </w:p>
    <w:p w14:paraId="6B5516F7" w14:textId="77777777" w:rsidR="00E37467" w:rsidRPr="00E635D3" w:rsidRDefault="00E37467" w:rsidP="00E37467">
      <w:pPr>
        <w:ind w:left="340" w:firstLine="0"/>
        <w:rPr>
          <w:rFonts w:ascii="Arial" w:eastAsia="Arial Unicode MS" w:hAnsi="Arial" w:cs="David"/>
          <w:snapToGrid w:val="0"/>
          <w:spacing w:val="0"/>
          <w:sz w:val="20"/>
          <w:szCs w:val="26"/>
          <w:rtl/>
        </w:rPr>
      </w:pPr>
    </w:p>
    <w:p w14:paraId="627DD7F1" w14:textId="77777777" w:rsidR="00E37467" w:rsidRDefault="00E37467" w:rsidP="008B2D6D">
      <w:pPr>
        <w:pStyle w:val="Hesber"/>
        <w:ind w:firstLine="0"/>
        <w:rPr>
          <w:rtl/>
        </w:rPr>
      </w:pPr>
    </w:p>
    <w:sectPr w:rsidR="00E37467" w:rsidSect="001207F8">
      <w:footerReference w:type="even" r:id="rId13"/>
      <w:footerReference w:type="default" r:id="rId14"/>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1A0623" w:rsidRDefault="001A062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002118">
      <w:rPr>
        <w:rStyle w:val="aa"/>
        <w:noProof/>
        <w:rtl/>
      </w:rPr>
      <w:t>2</w:t>
    </w:r>
    <w:r>
      <w:rPr>
        <w:rStyle w:val="aa"/>
        <w:rtl/>
      </w:rPr>
      <w:fldChar w:fldCharType="end"/>
    </w:r>
  </w:p>
  <w:p w14:paraId="7F6961D8" w14:textId="77777777" w:rsidR="001A0623" w:rsidRDefault="001A0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764BB1BC" w14:textId="77777777" w:rsidR="00517DDE" w:rsidRDefault="00517DDE" w:rsidP="00517DDE">
      <w:pPr>
        <w:pStyle w:val="a4"/>
      </w:pPr>
      <w:r>
        <w:rPr>
          <w:rStyle w:val="a5"/>
        </w:rPr>
        <w:footnoteRef/>
      </w:r>
      <w:r>
        <w:rPr>
          <w:rtl/>
        </w:rPr>
        <w:t xml:space="preserve"> </w:t>
      </w:r>
      <w:r>
        <w:rPr>
          <w:rFonts w:hint="cs"/>
          <w:rtl/>
        </w:rPr>
        <w:t>ס"ח התשנ"ה,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02118"/>
    <w:rsid w:val="00015B27"/>
    <w:rsid w:val="00040577"/>
    <w:rsid w:val="0007681A"/>
    <w:rsid w:val="000A542E"/>
    <w:rsid w:val="00102B6B"/>
    <w:rsid w:val="001052D4"/>
    <w:rsid w:val="0010644B"/>
    <w:rsid w:val="001207F8"/>
    <w:rsid w:val="00121924"/>
    <w:rsid w:val="001279A8"/>
    <w:rsid w:val="0014195F"/>
    <w:rsid w:val="00152609"/>
    <w:rsid w:val="00153E1B"/>
    <w:rsid w:val="001A0623"/>
    <w:rsid w:val="001A1F3D"/>
    <w:rsid w:val="001C23B0"/>
    <w:rsid w:val="00203A7F"/>
    <w:rsid w:val="002200A1"/>
    <w:rsid w:val="002362BF"/>
    <w:rsid w:val="00241B97"/>
    <w:rsid w:val="00246756"/>
    <w:rsid w:val="00251E58"/>
    <w:rsid w:val="00254605"/>
    <w:rsid w:val="002728B4"/>
    <w:rsid w:val="0027600C"/>
    <w:rsid w:val="00292712"/>
    <w:rsid w:val="002A487D"/>
    <w:rsid w:val="002C2E29"/>
    <w:rsid w:val="002D1EE3"/>
    <w:rsid w:val="002F1D80"/>
    <w:rsid w:val="003232A2"/>
    <w:rsid w:val="00325C14"/>
    <w:rsid w:val="003710F6"/>
    <w:rsid w:val="00386E88"/>
    <w:rsid w:val="00396585"/>
    <w:rsid w:val="003D74A0"/>
    <w:rsid w:val="004033D8"/>
    <w:rsid w:val="004073F0"/>
    <w:rsid w:val="00412A7D"/>
    <w:rsid w:val="00416B4D"/>
    <w:rsid w:val="00417CFC"/>
    <w:rsid w:val="00417D62"/>
    <w:rsid w:val="004B24ED"/>
    <w:rsid w:val="004D2D82"/>
    <w:rsid w:val="004D3876"/>
    <w:rsid w:val="004E4552"/>
    <w:rsid w:val="00517DDE"/>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71839"/>
    <w:rsid w:val="007C3FA6"/>
    <w:rsid w:val="007C4BB8"/>
    <w:rsid w:val="007D585A"/>
    <w:rsid w:val="007D5A12"/>
    <w:rsid w:val="007E59F9"/>
    <w:rsid w:val="00810BCD"/>
    <w:rsid w:val="00812C98"/>
    <w:rsid w:val="00814D92"/>
    <w:rsid w:val="0083181D"/>
    <w:rsid w:val="00874BBC"/>
    <w:rsid w:val="00892135"/>
    <w:rsid w:val="00895449"/>
    <w:rsid w:val="00897879"/>
    <w:rsid w:val="008A6870"/>
    <w:rsid w:val="008B2D6D"/>
    <w:rsid w:val="008C2DDC"/>
    <w:rsid w:val="008C7516"/>
    <w:rsid w:val="008E6EC7"/>
    <w:rsid w:val="008F0D63"/>
    <w:rsid w:val="008F2C35"/>
    <w:rsid w:val="008F6665"/>
    <w:rsid w:val="008F75D9"/>
    <w:rsid w:val="0091204F"/>
    <w:rsid w:val="009203DB"/>
    <w:rsid w:val="00923CD4"/>
    <w:rsid w:val="00943386"/>
    <w:rsid w:val="009456B6"/>
    <w:rsid w:val="00957589"/>
    <w:rsid w:val="00966D06"/>
    <w:rsid w:val="00982412"/>
    <w:rsid w:val="00983A8D"/>
    <w:rsid w:val="009A7257"/>
    <w:rsid w:val="009B7A7F"/>
    <w:rsid w:val="009D6E0A"/>
    <w:rsid w:val="00A14672"/>
    <w:rsid w:val="00A26BD6"/>
    <w:rsid w:val="00A443CF"/>
    <w:rsid w:val="00A6611D"/>
    <w:rsid w:val="00A82CB7"/>
    <w:rsid w:val="00AA2F03"/>
    <w:rsid w:val="00AC36F7"/>
    <w:rsid w:val="00AC63A4"/>
    <w:rsid w:val="00AD239E"/>
    <w:rsid w:val="00B10265"/>
    <w:rsid w:val="00B21211"/>
    <w:rsid w:val="00B35784"/>
    <w:rsid w:val="00B733A7"/>
    <w:rsid w:val="00B975AD"/>
    <w:rsid w:val="00BC45FB"/>
    <w:rsid w:val="00BF148D"/>
    <w:rsid w:val="00C23B1A"/>
    <w:rsid w:val="00C310EB"/>
    <w:rsid w:val="00C9176A"/>
    <w:rsid w:val="00CF1AA2"/>
    <w:rsid w:val="00D63620"/>
    <w:rsid w:val="00D8410D"/>
    <w:rsid w:val="00D867D7"/>
    <w:rsid w:val="00DB7060"/>
    <w:rsid w:val="00DE3153"/>
    <w:rsid w:val="00E06736"/>
    <w:rsid w:val="00E13C27"/>
    <w:rsid w:val="00E33BBD"/>
    <w:rsid w:val="00E37467"/>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Hyperlink">
    <w:name w:val="Hyperlink"/>
    <w:basedOn w:val="a0"/>
    <w:unhideWhenUsed/>
    <w:rsid w:val="00517D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styleId="Hyperlink">
    <w:name w:val="Hyperlink"/>
    <w:basedOn w:val="a0"/>
    <w:unhideWhenUsed/>
    <w:rsid w:val="00517D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evo.co.il/law_html/law01/039_002.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938952D5-EB09-4756-98BA-14098B562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5D878B0-6473-4E92-B18B-01B463A9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608</Words>
  <Characters>3042</Characters>
  <Application>Microsoft Office Word</Application>
  <DocSecurity>0</DocSecurity>
  <Lines>25</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2015-04-28T13:02:00Z</cp:lastPrinted>
  <dcterms:created xsi:type="dcterms:W3CDTF">2015-03-26T08:06:00Z</dcterms:created>
  <dcterms:modified xsi:type="dcterms:W3CDTF">2015-04-28T13:02:00Z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562242</vt:r8>
  </property>
</Properties>
</file>