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6961A1" w14:textId="77777777" w:rsidR="002C2E29" w:rsidRPr="0000131B" w:rsidRDefault="004033D8" w:rsidP="00A443CF">
      <w:pPr>
        <w:pStyle w:val="HeadHatzaotHok"/>
        <w:jc w:val="right"/>
        <w:rPr>
          <w:b w:val="0"/>
          <w:bCs w:val="0"/>
          <w:szCs w:val="20"/>
        </w:rPr>
      </w:pPr>
      <w:r w:rsidRPr="0000131B">
        <w:rPr>
          <w:rFonts w:hint="cs"/>
          <w:b w:val="0"/>
          <w:bCs w:val="0"/>
          <w:szCs w:val="20"/>
          <w:rtl/>
        </w:rPr>
        <w:t xml:space="preserve">מספר פנימי: </w:t>
      </w:r>
      <w:bookmarkStart w:id="0" w:name="LGS_Internal_ID"/>
      <w:r>
        <w:rPr>
          <w:rFonts w:hint="cs"/>
          <w:b w:val="0"/>
          <w:bCs w:val="0"/>
          <w:szCs w:val="20"/>
          <w:rtl/>
        </w:rPr>
        <w:t>562238</w:t>
      </w:r>
      <w:bookmarkEnd w:id="0"/>
    </w:p>
    <w:p w14:paraId="7F6961A2" w14:textId="11AAB083" w:rsidR="00E13C27" w:rsidRPr="00DB7060" w:rsidRDefault="00E13C27" w:rsidP="002C0BB2">
      <w:pPr>
        <w:pStyle w:val="HeadHatzaotHok"/>
        <w:rPr>
          <w:sz w:val="28"/>
          <w:szCs w:val="28"/>
          <w:rtl/>
        </w:rPr>
      </w:pPr>
      <w:r w:rsidRPr="00DB7060">
        <w:rPr>
          <w:rFonts w:hint="cs"/>
          <w:sz w:val="28"/>
          <w:szCs w:val="28"/>
          <w:rtl/>
        </w:rPr>
        <w:t xml:space="preserve">הכנסת </w:t>
      </w:r>
      <w:bookmarkStart w:id="1" w:name="LGS_Knesset_Num"/>
      <w:r w:rsidR="003C321E">
        <w:rPr>
          <w:sz w:val="28"/>
          <w:szCs w:val="28"/>
          <w:rtl/>
        </w:rPr>
        <w:t>העשרים</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0D5580">
      <w:pPr>
        <w:pStyle w:val="David"/>
        <w:spacing w:line="360" w:lineRule="auto"/>
        <w:ind w:left="3544"/>
        <w:rPr>
          <w:b/>
          <w:bCs/>
          <w:rtl/>
        </w:rPr>
      </w:pPr>
      <w:bookmarkStart w:id="2" w:name="LGS_Initiators_List"/>
      <w:r>
        <w:rPr>
          <w:b/>
          <w:bCs/>
          <w:rtl/>
        </w:rPr>
        <w:t>יוזמות:      חברות הכנסת</w:t>
      </w:r>
      <w:bookmarkEnd w:id="2"/>
      <w:r w:rsidR="00B35784" w:rsidRPr="00F67051">
        <w:rPr>
          <w:b/>
          <w:bCs/>
        </w:rPr>
        <w:tab/>
      </w:r>
      <w:bookmarkStart w:id="3" w:name="LGS_PM_Names"/>
      <w:r>
        <w:rPr>
          <w:rFonts w:hint="cs"/>
          <w:b/>
          <w:bCs/>
          <w:rtl/>
        </w:rPr>
        <w:t>זהבה גלאון</w:t>
      </w:r>
      <w:r>
        <w:br/>
      </w:r>
      <w:r>
        <w:rPr>
          <w:rFonts w:hint="cs"/>
          <w:b/>
          <w:bCs/>
          <w:rtl/>
        </w:rPr>
        <w:t xml:space="preserve"> </w:t>
      </w:r>
      <w:r>
        <w:tab/>
      </w:r>
      <w:r>
        <w:tab/>
      </w:r>
      <w:r>
        <w:tab/>
      </w:r>
      <w:r>
        <w:tab/>
      </w:r>
      <w:r>
        <w:rPr>
          <w:rFonts w:hint="cs"/>
          <w:b/>
          <w:bCs/>
          <w:rtl/>
        </w:rPr>
        <w:t>מיכל רוזין</w:t>
      </w:r>
      <w:r>
        <w:br/>
      </w:r>
      <w:r>
        <w:rPr>
          <w:rFonts w:hint="cs"/>
          <w:b/>
          <w:bCs/>
          <w:rtl/>
        </w:rPr>
        <w:t xml:space="preserve"> </w:t>
      </w:r>
      <w:r>
        <w:tab/>
      </w:r>
      <w:r>
        <w:tab/>
      </w:r>
      <w:r>
        <w:tab/>
      </w:r>
      <w:r>
        <w:tab/>
      </w:r>
      <w:r>
        <w:rPr>
          <w:rFonts w:hint="cs"/>
          <w:b/>
          <w:bCs/>
          <w:rtl/>
        </w:rPr>
        <w:t>תמר זנדברג</w:t>
      </w:r>
      <w:bookmarkEnd w:id="3"/>
    </w:p>
    <w:p w14:paraId="7F6961AA" w14:textId="77777777" w:rsidR="00E13C27" w:rsidRPr="00CF1AA2" w:rsidRDefault="007D585A" w:rsidP="00CF1AA2">
      <w:pPr>
        <w:pStyle w:val="David"/>
        <w:ind w:left="3544"/>
        <w:rPr>
          <w:b/>
          <w:bCs/>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7F6961AB" w14:textId="1A02760E" w:rsidR="00E13C27" w:rsidRPr="00E06736" w:rsidRDefault="0014195F" w:rsidP="00416B4D">
      <w:pPr>
        <w:pStyle w:val="David"/>
        <w:ind w:left="3544"/>
        <w:rPr>
          <w:rtl/>
        </w:rPr>
      </w:pPr>
      <w:r w:rsidRPr="00CF1AA2">
        <w:rPr>
          <w:b/>
          <w:bCs/>
          <w:noProof/>
          <w:rtl/>
          <w:lang w:eastAsia="en-US"/>
        </w:rPr>
        <mc:AlternateContent>
          <mc:Choice Requires="wps">
            <w:drawing>
              <wp:anchor distT="0" distB="0" distL="114300" distR="114300" simplePos="0" relativeHeight="251658752" behindDoc="0" locked="0" layoutInCell="1" allowOverlap="1" wp14:anchorId="7F6961CE" wp14:editId="7F6961CF">
                <wp:simplePos x="0" y="0"/>
                <wp:positionH relativeFrom="column">
                  <wp:posOffset>1270</wp:posOffset>
                </wp:positionH>
                <wp:positionV relativeFrom="paragraph">
                  <wp:posOffset>47625</wp:posOffset>
                </wp:positionV>
                <wp:extent cx="3879215" cy="17145"/>
                <wp:effectExtent l="0" t="0" r="0" b="0"/>
                <wp:wrapNone/>
                <wp:docPr id="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9215" cy="17145"/>
                        </a:xfrm>
                        <a:custGeom>
                          <a:avLst/>
                          <a:gdLst>
                            <a:gd name="T0" fmla="*/ 0 w 6109"/>
                            <a:gd name="T1" fmla="*/ 27 h 27"/>
                            <a:gd name="T2" fmla="*/ 6109 w 6109"/>
                            <a:gd name="T3" fmla="*/ 0 h 27"/>
                          </a:gdLst>
                          <a:ahLst/>
                          <a:cxnLst>
                            <a:cxn ang="0">
                              <a:pos x="T0" y="T1"/>
                            </a:cxn>
                            <a:cxn ang="0">
                              <a:pos x="T2" y="T3"/>
                            </a:cxn>
                          </a:cxnLst>
                          <a:rect l="0" t="0" r="r" b="b"/>
                          <a:pathLst>
                            <a:path w="6109" h="27">
                              <a:moveTo>
                                <a:pt x="0" y="27"/>
                              </a:moveTo>
                              <a:lnTo>
                                <a:pt x="610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14="http://schemas.microsoft.com/office/drawing/2010/main" xmlns:a="http://schemas.openxmlformats.org/drawingml/2006/main">
            <w:pict>
              <v:polyline id="Freeform 7"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09,27" o:spid="_x0000_s1026" filled="f" points=".1pt,5.1pt,305.55pt,3.75pt" w14:anchorId="21D28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">
                <v:path arrowok="t" o:connecttype="custom" o:connectlocs="0,17145;3879215,0" o:connectangles="0,0"/>
              </v:polyline>
            </w:pict>
          </mc:Fallback>
        </mc:AlternateContent>
      </w:r>
      <w:r w:rsidR="00E13C27" w:rsidRPr="00E06736">
        <w:rPr>
          <w:rFonts w:hint="cs"/>
          <w:rtl/>
        </w:rPr>
        <w:tab/>
      </w:r>
      <w:r w:rsidR="00416B4D">
        <w:tab/>
      </w:r>
      <w:r w:rsidR="00FA5E88">
        <w:tab/>
      </w:r>
      <w:r w:rsidR="00E13C27" w:rsidRPr="00E06736">
        <w:rPr>
          <w:rFonts w:hint="cs"/>
          <w:rtl/>
        </w:rPr>
        <w:tab/>
      </w:r>
      <w:r w:rsidR="00E06736" w:rsidRPr="00E06736">
        <w:tab/>
      </w:r>
      <w:bookmarkStart w:id="6" w:name="Private_Number"/>
      <w:r>
        <w:rPr>
          <w:rFonts w:hint="cs"/>
          <w:rtl/>
        </w:rPr>
        <w:t>פ/12/20</w:t>
      </w:r>
      <w:bookmarkEnd w:id="6"/>
      <w:r w:rsidR="00E13C27" w:rsidRPr="00E06736">
        <w:rPr>
          <w:rFonts w:hint="cs"/>
          <w:rtl/>
        </w:rPr>
        <w:tab/>
      </w:r>
      <w:r w:rsidR="00E13C27" w:rsidRPr="00E06736">
        <w:rPr>
          <w:rFonts w:hint="cs"/>
          <w:rtl/>
        </w:rPr>
        <w:tab/>
      </w:r>
      <w:r w:rsidR="00E13C27" w:rsidRPr="00E06736">
        <w:rPr>
          <w:rFonts w:hint="cs"/>
          <w:rtl/>
        </w:rPr>
        <w:tab/>
      </w:r>
    </w:p>
    <w:p w14:paraId="7F6961AC" w14:textId="77777777" w:rsidR="00E13C27" w:rsidRDefault="00E13C27" w:rsidP="00E13C27">
      <w:pPr>
        <w:spacing w:before="0" w:line="360" w:lineRule="auto"/>
        <w:ind w:left="2880" w:firstLine="720"/>
        <w:rPr>
          <w:rFonts w:cs="David"/>
          <w:sz w:val="26"/>
          <w:szCs w:val="26"/>
          <w:rtl/>
        </w:rPr>
      </w:pPr>
    </w:p>
    <w:p w14:paraId="7F6961AD" w14:textId="3A7D3B87" w:rsidR="00E13C27" w:rsidRPr="00F67051" w:rsidRDefault="00A443CF" w:rsidP="004D0F3A">
      <w:pPr>
        <w:pStyle w:val="HeadHatzaotHok"/>
        <w:spacing w:line="240" w:lineRule="auto"/>
        <w:rPr>
          <w:rtl/>
        </w:rPr>
      </w:pPr>
      <w:bookmarkStart w:id="7" w:name="LGS_Subject"/>
      <w:r>
        <w:rPr>
          <w:rFonts w:hint="cs"/>
          <w:rtl/>
        </w:rPr>
        <w:t xml:space="preserve">הצעת חוק הביטוח הלאומי (תיקון </w:t>
      </w:r>
      <w:r w:rsidR="004D0F3A">
        <w:rPr>
          <w:rFonts w:hint="eastAsia"/>
          <w:rtl/>
        </w:rPr>
        <w:t>–</w:t>
      </w:r>
      <w:r>
        <w:rPr>
          <w:rFonts w:hint="cs"/>
          <w:rtl/>
        </w:rPr>
        <w:t xml:space="preserve"> הכרה בפגיעה מינית בעבודה כתאונת עבודה), התשע"ה</w:t>
      </w:r>
      <w:r w:rsidR="004D0F3A">
        <w:rPr>
          <w:rFonts w:hint="eastAsia"/>
          <w:rtl/>
        </w:rPr>
        <w:t>–</w:t>
      </w:r>
      <w:r>
        <w:rPr>
          <w:rFonts w:hint="cs"/>
          <w:rtl/>
        </w:rPr>
        <w:t>2015</w:t>
      </w:r>
      <w:bookmarkEnd w:id="7"/>
    </w:p>
    <w:p w14:paraId="7F6961AE" w14:textId="77777777" w:rsidR="00E13C27" w:rsidRDefault="00E13C27" w:rsidP="0000131B">
      <w:pPr>
        <w:pStyle w:val="HeadDivreiHesber"/>
        <w:spacing w:before="0" w:after="0" w:line="240" w:lineRule="auto"/>
        <w:rPr>
          <w:rtl/>
        </w:rPr>
      </w:pPr>
    </w:p>
    <w:tbl>
      <w:tblPr>
        <w:bidiVisual/>
        <w:tblW w:w="9640" w:type="dxa"/>
        <w:tblLayout w:type="fixed"/>
        <w:tblCellMar>
          <w:top w:w="57" w:type="dxa"/>
          <w:left w:w="0" w:type="dxa"/>
          <w:bottom w:w="57" w:type="dxa"/>
          <w:right w:w="0" w:type="dxa"/>
        </w:tblCellMar>
        <w:tblLook w:val="04A0" w:firstRow="1" w:lastRow="0" w:firstColumn="1" w:lastColumn="0" w:noHBand="0" w:noVBand="1"/>
      </w:tblPr>
      <w:tblGrid>
        <w:gridCol w:w="1873"/>
        <w:gridCol w:w="625"/>
        <w:gridCol w:w="1873"/>
        <w:gridCol w:w="624"/>
        <w:gridCol w:w="4645"/>
      </w:tblGrid>
      <w:tr w:rsidR="003A69FC" w14:paraId="71A3D574" w14:textId="77777777" w:rsidTr="0051462C">
        <w:trPr>
          <w:cantSplit/>
        </w:trPr>
        <w:tc>
          <w:tcPr>
            <w:tcW w:w="1873" w:type="dxa"/>
            <w:hideMark/>
          </w:tcPr>
          <w:p w14:paraId="65FE568D" w14:textId="77777777" w:rsidR="003A69FC" w:rsidRDefault="003A69FC">
            <w:pPr>
              <w:pStyle w:val="TableSideHeading"/>
            </w:pPr>
            <w:r>
              <w:rPr>
                <w:rFonts w:hint="cs"/>
                <w:sz w:val="26"/>
                <w:rtl/>
              </w:rPr>
              <w:t>הוספת סעיף 84ב</w:t>
            </w:r>
          </w:p>
        </w:tc>
        <w:tc>
          <w:tcPr>
            <w:tcW w:w="625" w:type="dxa"/>
            <w:hideMark/>
          </w:tcPr>
          <w:p w14:paraId="694B4353" w14:textId="77777777" w:rsidR="003A69FC" w:rsidRDefault="003A69FC">
            <w:pPr>
              <w:pStyle w:val="TableText"/>
            </w:pPr>
            <w:r>
              <w:rPr>
                <w:rFonts w:hint="cs"/>
                <w:sz w:val="26"/>
                <w:rtl/>
              </w:rPr>
              <w:t>1.</w:t>
            </w:r>
          </w:p>
        </w:tc>
        <w:tc>
          <w:tcPr>
            <w:tcW w:w="7142" w:type="dxa"/>
            <w:gridSpan w:val="3"/>
            <w:hideMark/>
          </w:tcPr>
          <w:p w14:paraId="0762BAC5" w14:textId="77777777" w:rsidR="003A69FC" w:rsidRDefault="003A69FC" w:rsidP="0051462C">
            <w:pPr>
              <w:pStyle w:val="TableBlock"/>
            </w:pPr>
            <w:r>
              <w:rPr>
                <w:rFonts w:hint="cs"/>
                <w:sz w:val="26"/>
                <w:rtl/>
              </w:rPr>
              <w:t>בחוק הביטוח הלאומי [נוסח משולב], התשנ"ה–1995</w:t>
            </w:r>
            <w:r>
              <w:rPr>
                <w:rStyle w:val="a6"/>
                <w:sz w:val="26"/>
                <w:rtl/>
              </w:rPr>
              <w:footnoteReference w:id="2"/>
            </w:r>
            <w:r>
              <w:rPr>
                <w:rFonts w:hint="cs"/>
                <w:sz w:val="26"/>
                <w:rtl/>
              </w:rPr>
              <w:t xml:space="preserve"> (להלן – החוק העיקרי), אחרי סעיף 84א יבוא:</w:t>
            </w:r>
          </w:p>
        </w:tc>
      </w:tr>
      <w:tr w:rsidR="003A69FC" w14:paraId="7566F928" w14:textId="77777777" w:rsidTr="0051462C">
        <w:trPr>
          <w:cantSplit/>
        </w:trPr>
        <w:tc>
          <w:tcPr>
            <w:tcW w:w="1873" w:type="dxa"/>
          </w:tcPr>
          <w:p w14:paraId="3540C4B1" w14:textId="77777777" w:rsidR="003A69FC" w:rsidRDefault="003A69FC">
            <w:pPr>
              <w:pStyle w:val="TableSideHeading"/>
              <w:keepLines w:val="0"/>
            </w:pPr>
          </w:p>
        </w:tc>
        <w:tc>
          <w:tcPr>
            <w:tcW w:w="625" w:type="dxa"/>
          </w:tcPr>
          <w:p w14:paraId="10C69664" w14:textId="77777777" w:rsidR="003A69FC" w:rsidRDefault="003A69FC">
            <w:pPr>
              <w:pStyle w:val="TableText"/>
              <w:keepLines w:val="0"/>
            </w:pPr>
          </w:p>
        </w:tc>
        <w:tc>
          <w:tcPr>
            <w:tcW w:w="1873" w:type="dxa"/>
            <w:hideMark/>
          </w:tcPr>
          <w:p w14:paraId="2D8436DF" w14:textId="77777777" w:rsidR="003A69FC" w:rsidRDefault="003A69FC">
            <w:pPr>
              <w:pStyle w:val="TableInnerSideHeading"/>
            </w:pPr>
            <w:r>
              <w:rPr>
                <w:rFonts w:hint="cs"/>
                <w:sz w:val="26"/>
                <w:rtl/>
              </w:rPr>
              <w:t>"פגיעה מינית בעבודה</w:t>
            </w:r>
          </w:p>
        </w:tc>
        <w:tc>
          <w:tcPr>
            <w:tcW w:w="624" w:type="dxa"/>
            <w:hideMark/>
          </w:tcPr>
          <w:p w14:paraId="4439D9DC" w14:textId="77777777" w:rsidR="003A69FC" w:rsidRDefault="003A69FC">
            <w:pPr>
              <w:pStyle w:val="TableText"/>
            </w:pPr>
            <w:r>
              <w:rPr>
                <w:rFonts w:hint="cs"/>
                <w:sz w:val="26"/>
                <w:rtl/>
              </w:rPr>
              <w:t>84ב.</w:t>
            </w:r>
          </w:p>
        </w:tc>
        <w:tc>
          <w:tcPr>
            <w:tcW w:w="4645" w:type="dxa"/>
            <w:hideMark/>
          </w:tcPr>
          <w:p w14:paraId="7A67A662" w14:textId="4C765FE7" w:rsidR="003A69FC" w:rsidRDefault="003A69FC" w:rsidP="0051462C">
            <w:pPr>
              <w:pStyle w:val="TableBlock"/>
            </w:pPr>
            <w:r>
              <w:rPr>
                <w:rFonts w:hint="cs"/>
                <w:sz w:val="26"/>
                <w:rtl/>
              </w:rPr>
              <w:t xml:space="preserve">פגיעה מינית בעובד  שאירעה תוך כדי עבודתו ועקב עבודתו אצל מעבידו או מטעמו, ובעובד עצמאי – תוך כדי עיסוקו במשלח ידו ועקב עיסוקו במשלח ידו </w:t>
            </w:r>
            <w:r w:rsidR="000E150B">
              <w:rPr>
                <w:rFonts w:hint="eastAsia"/>
                <w:sz w:val="26"/>
                <w:rtl/>
              </w:rPr>
              <w:t>–</w:t>
            </w:r>
            <w:r w:rsidR="000E150B">
              <w:rPr>
                <w:rFonts w:hint="cs"/>
                <w:sz w:val="26"/>
                <w:rtl/>
              </w:rPr>
              <w:t xml:space="preserve"> </w:t>
            </w:r>
            <w:r>
              <w:rPr>
                <w:rFonts w:hint="cs"/>
                <w:sz w:val="26"/>
                <w:rtl/>
              </w:rPr>
              <w:t>רואים אותה כפגיעה בעבודה."</w:t>
            </w:r>
          </w:p>
        </w:tc>
      </w:tr>
      <w:tr w:rsidR="003A69FC" w14:paraId="30E5F718" w14:textId="77777777" w:rsidTr="0051462C">
        <w:trPr>
          <w:cantSplit/>
        </w:trPr>
        <w:tc>
          <w:tcPr>
            <w:tcW w:w="1873" w:type="dxa"/>
            <w:hideMark/>
          </w:tcPr>
          <w:p w14:paraId="0A71619B" w14:textId="77777777" w:rsidR="003A69FC" w:rsidRDefault="003A69FC">
            <w:pPr>
              <w:pStyle w:val="TableSideHeading"/>
            </w:pPr>
            <w:r>
              <w:rPr>
                <w:rFonts w:hint="cs"/>
                <w:sz w:val="26"/>
                <w:rtl/>
              </w:rPr>
              <w:t xml:space="preserve">תיקון סעיף 296 </w:t>
            </w:r>
          </w:p>
        </w:tc>
        <w:tc>
          <w:tcPr>
            <w:tcW w:w="625" w:type="dxa"/>
            <w:hideMark/>
          </w:tcPr>
          <w:p w14:paraId="3ABA2457" w14:textId="77777777" w:rsidR="003A69FC" w:rsidRDefault="003A69FC">
            <w:pPr>
              <w:pStyle w:val="TableText"/>
            </w:pPr>
            <w:r>
              <w:rPr>
                <w:rFonts w:hint="cs"/>
                <w:sz w:val="26"/>
                <w:rtl/>
              </w:rPr>
              <w:t>2.</w:t>
            </w:r>
          </w:p>
        </w:tc>
        <w:tc>
          <w:tcPr>
            <w:tcW w:w="7142" w:type="dxa"/>
            <w:gridSpan w:val="3"/>
            <w:hideMark/>
          </w:tcPr>
          <w:p w14:paraId="1210FDD1" w14:textId="2489F540" w:rsidR="003A69FC" w:rsidRDefault="003A69FC" w:rsidP="0051462C">
            <w:pPr>
              <w:pStyle w:val="TableBlock"/>
            </w:pPr>
            <w:r>
              <w:rPr>
                <w:rFonts w:hint="cs"/>
                <w:sz w:val="26"/>
                <w:rtl/>
              </w:rPr>
              <w:t>בסעיף 296(ב)</w:t>
            </w:r>
            <w:r w:rsidR="004C2317">
              <w:rPr>
                <w:rFonts w:hint="cs"/>
                <w:sz w:val="26"/>
                <w:rtl/>
              </w:rPr>
              <w:t>(1)</w:t>
            </w:r>
            <w:r>
              <w:rPr>
                <w:rFonts w:hint="cs"/>
                <w:sz w:val="26"/>
                <w:rtl/>
              </w:rPr>
              <w:t xml:space="preserve"> לחוק העיקרי, אחרי "לפני החודש שבו הוגשה התביעה כאמור" יבוא "ולגבי גמלה בעילה לפי סעיף 84ב – 36 חודשים". </w:t>
            </w:r>
          </w:p>
        </w:tc>
      </w:tr>
    </w:tbl>
    <w:p w14:paraId="01452818" w14:textId="77777777" w:rsidR="003A69FC" w:rsidRDefault="003A69FC" w:rsidP="003A69FC">
      <w:pPr>
        <w:pStyle w:val="HeadHatzaotHok"/>
        <w:tabs>
          <w:tab w:val="left" w:pos="4071"/>
          <w:tab w:val="center" w:pos="4819"/>
        </w:tabs>
        <w:spacing w:before="0" w:line="240" w:lineRule="auto"/>
        <w:jc w:val="both"/>
        <w:rPr>
          <w:sz w:val="26"/>
        </w:rPr>
      </w:pPr>
    </w:p>
    <w:p w14:paraId="551FC210" w14:textId="77777777" w:rsidR="003A69FC" w:rsidRDefault="003A69FC" w:rsidP="003A69FC">
      <w:pPr>
        <w:pStyle w:val="HeadDivreiHesber"/>
        <w:spacing w:before="0" w:after="0" w:line="240" w:lineRule="auto"/>
        <w:rPr>
          <w:sz w:val="26"/>
          <w:rtl/>
        </w:rPr>
      </w:pPr>
      <w:r>
        <w:rPr>
          <w:rFonts w:hint="cs"/>
          <w:sz w:val="26"/>
          <w:rtl/>
        </w:rPr>
        <w:t>דברי הסבר</w:t>
      </w:r>
    </w:p>
    <w:p w14:paraId="3E64B322" w14:textId="77777777" w:rsidR="003A69FC" w:rsidRDefault="003A69FC" w:rsidP="003A69FC">
      <w:pPr>
        <w:pStyle w:val="Hesber"/>
        <w:spacing w:line="240" w:lineRule="auto"/>
        <w:rPr>
          <w:sz w:val="26"/>
          <w:rtl/>
        </w:rPr>
      </w:pPr>
    </w:p>
    <w:p w14:paraId="3839040E" w14:textId="799F698D" w:rsidR="003A69FC" w:rsidRPr="00E17385" w:rsidRDefault="003A69FC" w:rsidP="00CF4DC9">
      <w:pPr>
        <w:pStyle w:val="Hesber"/>
        <w:rPr>
          <w:rtl/>
        </w:rPr>
      </w:pPr>
      <w:r w:rsidRPr="00E17385">
        <w:rPr>
          <w:rFonts w:hint="cs"/>
          <w:rtl/>
        </w:rPr>
        <w:t xml:space="preserve">מוצע </w:t>
      </w:r>
      <w:r w:rsidR="00A77D0A" w:rsidRPr="00E17385">
        <w:rPr>
          <w:rFonts w:hint="cs"/>
          <w:rtl/>
        </w:rPr>
        <w:t xml:space="preserve">לקבוע כי </w:t>
      </w:r>
      <w:r w:rsidRPr="00E17385">
        <w:rPr>
          <w:rFonts w:hint="cs"/>
          <w:rtl/>
        </w:rPr>
        <w:t xml:space="preserve">פגיעה מינית בעבודה </w:t>
      </w:r>
      <w:r w:rsidR="00A77D0A" w:rsidRPr="00E17385">
        <w:rPr>
          <w:rFonts w:hint="cs"/>
          <w:rtl/>
        </w:rPr>
        <w:t xml:space="preserve">שארעה תוך כדי העבודה ועקב העבודה תחשב לפגיעה בעבודה  לעניין </w:t>
      </w:r>
      <w:r w:rsidRPr="00E17385">
        <w:rPr>
          <w:rFonts w:hint="cs"/>
          <w:rtl/>
        </w:rPr>
        <w:t>פרק ה'</w:t>
      </w:r>
      <w:r w:rsidR="00A77D0A" w:rsidRPr="00E17385">
        <w:rPr>
          <w:rFonts w:hint="cs"/>
          <w:rtl/>
        </w:rPr>
        <w:t xml:space="preserve"> </w:t>
      </w:r>
      <w:r w:rsidRPr="00E17385">
        <w:rPr>
          <w:rFonts w:hint="cs"/>
          <w:rtl/>
        </w:rPr>
        <w:t xml:space="preserve">לחוק הביטוח הלאומי [נוסח משולב], התשנ"ה–1995 (להלן – חוק הביטוח הלאומי). </w:t>
      </w:r>
      <w:r w:rsidR="00A77D0A" w:rsidRPr="00E17385">
        <w:rPr>
          <w:rFonts w:hint="cs"/>
          <w:rtl/>
        </w:rPr>
        <w:t xml:space="preserve">מטרת </w:t>
      </w:r>
      <w:r w:rsidR="00BF18E9" w:rsidRPr="00E17385">
        <w:rPr>
          <w:rFonts w:hint="cs"/>
          <w:rtl/>
        </w:rPr>
        <w:t xml:space="preserve">הצעת החוק </w:t>
      </w:r>
      <w:r w:rsidR="00A77D0A" w:rsidRPr="00E17385">
        <w:rPr>
          <w:rFonts w:hint="cs"/>
          <w:rtl/>
        </w:rPr>
        <w:t xml:space="preserve">היא </w:t>
      </w:r>
      <w:r w:rsidRPr="00E17385">
        <w:rPr>
          <w:rFonts w:hint="cs"/>
          <w:rtl/>
        </w:rPr>
        <w:t xml:space="preserve">להגן על </w:t>
      </w:r>
      <w:r w:rsidR="00BC6755" w:rsidRPr="00E17385">
        <w:rPr>
          <w:rFonts w:hint="cs"/>
          <w:rtl/>
        </w:rPr>
        <w:t xml:space="preserve">זכויות </w:t>
      </w:r>
      <w:r w:rsidR="00C91CBA" w:rsidRPr="00E17385">
        <w:rPr>
          <w:rFonts w:hint="cs"/>
          <w:rtl/>
        </w:rPr>
        <w:t>ו</w:t>
      </w:r>
      <w:r w:rsidR="000D5580">
        <w:rPr>
          <w:rFonts w:hint="cs"/>
          <w:rtl/>
        </w:rPr>
        <w:t>ערכים שונים ובהם</w:t>
      </w:r>
      <w:r w:rsidR="00F31B99" w:rsidRPr="00E17385">
        <w:rPr>
          <w:rFonts w:hint="cs"/>
          <w:rtl/>
        </w:rPr>
        <w:t xml:space="preserve">: </w:t>
      </w:r>
      <w:r w:rsidRPr="00E17385">
        <w:rPr>
          <w:rFonts w:hint="cs"/>
          <w:rtl/>
        </w:rPr>
        <w:t>כבוד האדם, פרטיות, חירות,</w:t>
      </w:r>
      <w:r w:rsidR="00F31B99" w:rsidRPr="00E17385">
        <w:rPr>
          <w:rFonts w:hint="cs"/>
          <w:rtl/>
        </w:rPr>
        <w:t xml:space="preserve"> </w:t>
      </w:r>
      <w:r w:rsidRPr="00E17385">
        <w:rPr>
          <w:rFonts w:hint="cs"/>
          <w:rtl/>
        </w:rPr>
        <w:t xml:space="preserve">שוויון בין המינים וקידום זכויות העובדים בישראל. ערכים אלה </w:t>
      </w:r>
      <w:r w:rsidR="00BC6755" w:rsidRPr="00E17385">
        <w:rPr>
          <w:rFonts w:hint="cs"/>
          <w:rtl/>
        </w:rPr>
        <w:t xml:space="preserve">ישמשו את </w:t>
      </w:r>
      <w:r w:rsidRPr="00E17385">
        <w:rPr>
          <w:rFonts w:hint="cs"/>
          <w:rtl/>
        </w:rPr>
        <w:t>בית המשפט בבואו לפרש את הוראות החוק המוצעות. פגיעה מינית</w:t>
      </w:r>
      <w:r w:rsidR="00B85F10" w:rsidRPr="00E17385">
        <w:rPr>
          <w:rFonts w:hint="cs"/>
          <w:rtl/>
        </w:rPr>
        <w:t xml:space="preserve"> בעובד</w:t>
      </w:r>
      <w:r w:rsidRPr="00E17385">
        <w:rPr>
          <w:rFonts w:hint="cs"/>
          <w:rtl/>
        </w:rPr>
        <w:t xml:space="preserve"> פוגעת בכבודו העצמי והחברתי של הנפגע, </w:t>
      </w:r>
      <w:r w:rsidR="00B85F10" w:rsidRPr="00E17385">
        <w:rPr>
          <w:rFonts w:hint="cs"/>
          <w:rtl/>
        </w:rPr>
        <w:t>ו</w:t>
      </w:r>
      <w:r w:rsidRPr="00E17385">
        <w:rPr>
          <w:rFonts w:hint="cs"/>
          <w:rtl/>
        </w:rPr>
        <w:t xml:space="preserve">ההתעלמות של הפוגע מרצונו החופשי של הנפגע, שוללת את זכותו הבלעדית </w:t>
      </w:r>
      <w:r w:rsidR="00C91CBA" w:rsidRPr="00E17385">
        <w:rPr>
          <w:rFonts w:hint="cs"/>
          <w:rtl/>
        </w:rPr>
        <w:t xml:space="preserve">של הנפגע </w:t>
      </w:r>
      <w:r w:rsidR="00B85F10" w:rsidRPr="00E17385">
        <w:rPr>
          <w:rFonts w:hint="cs"/>
          <w:rtl/>
        </w:rPr>
        <w:t>ע</w:t>
      </w:r>
      <w:r w:rsidRPr="00E17385">
        <w:rPr>
          <w:rFonts w:hint="cs"/>
          <w:rtl/>
        </w:rPr>
        <w:t>ל</w:t>
      </w:r>
      <w:r w:rsidR="00B85F10" w:rsidRPr="00E17385">
        <w:rPr>
          <w:rFonts w:hint="cs"/>
          <w:rtl/>
        </w:rPr>
        <w:t xml:space="preserve"> </w:t>
      </w:r>
      <w:r w:rsidRPr="00E17385">
        <w:rPr>
          <w:rFonts w:hint="cs"/>
          <w:rtl/>
        </w:rPr>
        <w:t>גופו ומיניותו. פגיעה שכזו משפילה ומבזה</w:t>
      </w:r>
      <w:r w:rsidR="00B85F10" w:rsidRPr="00E17385">
        <w:rPr>
          <w:rFonts w:hint="cs"/>
          <w:rtl/>
        </w:rPr>
        <w:t xml:space="preserve"> את הנפגע</w:t>
      </w:r>
      <w:r w:rsidRPr="00E17385">
        <w:rPr>
          <w:rFonts w:hint="cs"/>
          <w:rtl/>
        </w:rPr>
        <w:t xml:space="preserve"> וחותרת תחת האוטונומיה </w:t>
      </w:r>
      <w:r w:rsidR="005948DB" w:rsidRPr="00E17385">
        <w:rPr>
          <w:rFonts w:hint="cs"/>
          <w:rtl/>
        </w:rPr>
        <w:t xml:space="preserve">של הפרט. </w:t>
      </w:r>
      <w:r w:rsidRPr="00E17385">
        <w:rPr>
          <w:rFonts w:hint="cs"/>
          <w:rtl/>
        </w:rPr>
        <w:t xml:space="preserve">מטרת התיקון היא להגן על העובד ולאפשר </w:t>
      </w:r>
      <w:r w:rsidR="005948DB" w:rsidRPr="00E17385">
        <w:rPr>
          <w:rFonts w:hint="cs"/>
          <w:rtl/>
        </w:rPr>
        <w:t xml:space="preserve">לו </w:t>
      </w:r>
      <w:r w:rsidRPr="00E17385">
        <w:rPr>
          <w:rFonts w:hint="cs"/>
          <w:rtl/>
        </w:rPr>
        <w:t xml:space="preserve">ביטחון סוציאלי, במקרה בו נגרם </w:t>
      </w:r>
      <w:r w:rsidR="005948DB" w:rsidRPr="00E17385">
        <w:rPr>
          <w:rFonts w:hint="cs"/>
          <w:rtl/>
        </w:rPr>
        <w:t xml:space="preserve">לו </w:t>
      </w:r>
      <w:r w:rsidRPr="00E17385">
        <w:rPr>
          <w:rFonts w:hint="cs"/>
          <w:rtl/>
        </w:rPr>
        <w:t xml:space="preserve">נזק </w:t>
      </w:r>
      <w:r w:rsidR="005948DB" w:rsidRPr="00E17385">
        <w:rPr>
          <w:rFonts w:hint="cs"/>
          <w:rtl/>
        </w:rPr>
        <w:t xml:space="preserve">והוא </w:t>
      </w:r>
      <w:r w:rsidRPr="00E17385">
        <w:rPr>
          <w:rFonts w:hint="cs"/>
          <w:rtl/>
        </w:rPr>
        <w:t>אינו מסוגל לשוב לאורח חיים תקין בשל הפגיעה.</w:t>
      </w:r>
    </w:p>
    <w:p w14:paraId="135488CE" w14:textId="5BD0A8FE" w:rsidR="003A69FC" w:rsidRPr="00E17385" w:rsidRDefault="003A69FC" w:rsidP="003D0068">
      <w:pPr>
        <w:pStyle w:val="Hesber"/>
        <w:rPr>
          <w:rtl/>
        </w:rPr>
      </w:pPr>
      <w:r w:rsidRPr="00E17385">
        <w:rPr>
          <w:rFonts w:hint="cs"/>
          <w:rtl/>
        </w:rPr>
        <w:t>בנוסף, עד היום נקט המוסד לביטוח לאומי במדיניות לפיה דמי פגיעה לרוב משולמים בגין פגיעות פיסיות שהתרחשו במקום העבודה. עם זאת, הוכרו לא פעם סוגים מסוימים של תאונות עבודה שאינן נופלות בגדר פגיעה פיסית ישירה. כך למשל, ד"ר ישראל גלעד ועמירם סבר הציעו במאמרם "אוטם שריר הלב כתאונת עבודה"</w:t>
      </w:r>
      <w:r w:rsidR="0051462C" w:rsidRPr="00E17385">
        <w:rPr>
          <w:rFonts w:hint="cs"/>
          <w:rtl/>
        </w:rPr>
        <w:t xml:space="preserve"> (ישראל גלעד ועמירם סבר "</w:t>
      </w:r>
      <w:r w:rsidR="0051462C" w:rsidRPr="00BF296F">
        <w:rPr>
          <w:rFonts w:hint="cs"/>
          <w:b/>
          <w:bCs/>
          <w:rtl/>
        </w:rPr>
        <w:t>אוטם שריר הלב כתאונת עבודה</w:t>
      </w:r>
      <w:r w:rsidR="0051462C" w:rsidRPr="00E17385">
        <w:rPr>
          <w:rFonts w:hint="cs"/>
          <w:rtl/>
        </w:rPr>
        <w:t xml:space="preserve">" </w:t>
      </w:r>
      <w:r w:rsidR="0051462C" w:rsidRPr="00BF296F">
        <w:rPr>
          <w:rFonts w:hint="cs"/>
          <w:rtl/>
        </w:rPr>
        <w:t>הפרקליט מ(ב)</w:t>
      </w:r>
      <w:r w:rsidR="0051462C" w:rsidRPr="00E17385">
        <w:rPr>
          <w:rFonts w:hint="cs"/>
          <w:rtl/>
        </w:rPr>
        <w:t xml:space="preserve"> 241 </w:t>
      </w:r>
      <w:r w:rsidR="0051462C" w:rsidRPr="00E17385">
        <w:rPr>
          <w:rFonts w:hint="cs"/>
          <w:rtl/>
        </w:rPr>
        <w:lastRenderedPageBreak/>
        <w:t>(התשנ"ב))</w:t>
      </w:r>
      <w:r w:rsidRPr="00E17385">
        <w:rPr>
          <w:rFonts w:hint="cs"/>
          <w:rtl/>
        </w:rPr>
        <w:t xml:space="preserve"> שאוטם שריר הלב יחשב כתאונת עבודה על-אף שמדובר בהליך פיסי מורכב </w:t>
      </w:r>
      <w:r w:rsidR="003D0068">
        <w:rPr>
          <w:rFonts w:hint="cs"/>
          <w:rtl/>
        </w:rPr>
        <w:t>שלוקח שנים להתהוותו</w:t>
      </w:r>
      <w:r w:rsidRPr="00E17385">
        <w:rPr>
          <w:rFonts w:hint="cs"/>
          <w:rtl/>
        </w:rPr>
        <w:t xml:space="preserve">. המוסד לביטוח לאומי כבר הכיר בתביעתה של עובדת, אשר נאנסה על ידי מעבידה, ואף שולמה לה קצבת נכות. עם זאת, למוסד לביטוח לאומי אין מדיניות סדורה בנושא או הנחיות פנימיות </w:t>
      </w:r>
      <w:r w:rsidR="00966CF8" w:rsidRPr="00E17385">
        <w:rPr>
          <w:rFonts w:hint="cs"/>
          <w:rtl/>
        </w:rPr>
        <w:t xml:space="preserve">שהציבור יכול לעיין בהן ושניתן להפעיל עליהן </w:t>
      </w:r>
      <w:r w:rsidRPr="00E17385">
        <w:rPr>
          <w:rFonts w:hint="cs"/>
          <w:rtl/>
        </w:rPr>
        <w:t>ביקורת מ</w:t>
      </w:r>
      <w:r w:rsidR="000D5580">
        <w:rPr>
          <w:rFonts w:hint="cs"/>
          <w:rtl/>
        </w:rPr>
        <w:t>י</w:t>
      </w:r>
      <w:r w:rsidRPr="00E17385">
        <w:rPr>
          <w:rFonts w:hint="cs"/>
          <w:rtl/>
        </w:rPr>
        <w:t xml:space="preserve">נהלית. לפיכך, </w:t>
      </w:r>
      <w:r w:rsidR="00A1463E" w:rsidRPr="00E17385">
        <w:rPr>
          <w:rFonts w:hint="cs"/>
          <w:rtl/>
        </w:rPr>
        <w:t xml:space="preserve">מוצע לקבוע הוראה מפורשת בחוק בעניין זה לפיה </w:t>
      </w:r>
      <w:r w:rsidRPr="00E17385">
        <w:rPr>
          <w:rFonts w:hint="cs"/>
          <w:rtl/>
        </w:rPr>
        <w:t>פגיעה מינית שנעשתה במסגרת יחסי העבודה</w:t>
      </w:r>
      <w:r w:rsidR="00A1463E" w:rsidRPr="00E17385">
        <w:rPr>
          <w:rFonts w:hint="cs"/>
          <w:rtl/>
        </w:rPr>
        <w:t xml:space="preserve"> </w:t>
      </w:r>
      <w:r w:rsidR="00A1463E" w:rsidRPr="00E17385">
        <w:rPr>
          <w:rFonts w:hint="eastAsia"/>
          <w:rtl/>
        </w:rPr>
        <w:t xml:space="preserve">– </w:t>
      </w:r>
      <w:r w:rsidRPr="00E17385">
        <w:rPr>
          <w:rFonts w:hint="cs"/>
          <w:rtl/>
        </w:rPr>
        <w:t xml:space="preserve">תוך כדי עבודה ועקב העבודה </w:t>
      </w:r>
      <w:r w:rsidR="00FB1931">
        <w:rPr>
          <w:rFonts w:hint="eastAsia"/>
          <w:rtl/>
        </w:rPr>
        <w:t xml:space="preserve">– </w:t>
      </w:r>
      <w:r w:rsidRPr="00E17385">
        <w:rPr>
          <w:rFonts w:hint="cs"/>
          <w:rtl/>
        </w:rPr>
        <w:t>יראו אותה כ</w:t>
      </w:r>
      <w:r w:rsidR="00A1463E" w:rsidRPr="00E17385">
        <w:rPr>
          <w:rFonts w:hint="cs"/>
          <w:rtl/>
        </w:rPr>
        <w:t>פגיעה בעבודה</w:t>
      </w:r>
      <w:r w:rsidRPr="00E17385">
        <w:rPr>
          <w:rFonts w:hint="cs"/>
          <w:rtl/>
        </w:rPr>
        <w:t>.</w:t>
      </w:r>
    </w:p>
    <w:p w14:paraId="2D11046E" w14:textId="470653FE" w:rsidR="003A69FC" w:rsidRPr="00E17385" w:rsidRDefault="003A69FC" w:rsidP="00FB1931">
      <w:pPr>
        <w:pStyle w:val="Hesber"/>
        <w:rPr>
          <w:rtl/>
        </w:rPr>
      </w:pPr>
      <w:r w:rsidRPr="00E17385">
        <w:rPr>
          <w:rFonts w:hint="cs"/>
          <w:rtl/>
        </w:rPr>
        <w:t>בנוסף מוצע להאריך את תקופת ההתיישנות לעניין פגיעה מינית בלבד ל-36 חודשים. מטרת הארכת תקופת ההתיישנות מ-12 חודשים ל-36 חודשים, היא לאפשר לנפגע פרק זמן ארוך יותר, בשל המודעות לקושי בהתמודדות הנפשית בהגשת תביעות בפגיעות מסוג זה. בנוסף, ייתכן והנזק הנפשי שנגרם לנפגע יצטבר ועילת התביעה תתגבש מספר שנים לאחר האירוע.</w:t>
      </w:r>
    </w:p>
    <w:p w14:paraId="00E3AF48" w14:textId="31326E99" w:rsidR="003A69FC" w:rsidRPr="00E17385" w:rsidRDefault="00B025DE" w:rsidP="006754A9">
      <w:pPr>
        <w:pStyle w:val="Hesber"/>
        <w:rPr>
          <w:rtl/>
        </w:rPr>
      </w:pPr>
      <w:r w:rsidRPr="00E17385">
        <w:rPr>
          <w:rFonts w:hint="cs"/>
          <w:rtl/>
        </w:rPr>
        <w:t xml:space="preserve">לגבי </w:t>
      </w:r>
      <w:r w:rsidR="000D5580">
        <w:rPr>
          <w:rFonts w:hint="cs"/>
          <w:rtl/>
        </w:rPr>
        <w:t xml:space="preserve">עובד עצמאי </w:t>
      </w:r>
      <w:r w:rsidRPr="00E17385">
        <w:rPr>
          <w:rFonts w:hint="cs"/>
          <w:rtl/>
        </w:rPr>
        <w:t xml:space="preserve">מוצע לקבוע כי יראו כפגיעה מינית בעבודה </w:t>
      </w:r>
      <w:r w:rsidR="008B74F4" w:rsidRPr="00E17385">
        <w:rPr>
          <w:rFonts w:hint="cs"/>
          <w:rtl/>
        </w:rPr>
        <w:t xml:space="preserve">פגיעה שארעה </w:t>
      </w:r>
      <w:r w:rsidRPr="00E17385">
        <w:rPr>
          <w:rFonts w:hint="cs"/>
          <w:rtl/>
        </w:rPr>
        <w:t>תוך כדי עיסוקו במשלח ידו ועקב עיסוקו במשלח ידו</w:t>
      </w:r>
      <w:r w:rsidR="008B74F4" w:rsidRPr="00E17385">
        <w:rPr>
          <w:rFonts w:hint="cs"/>
          <w:rtl/>
        </w:rPr>
        <w:t xml:space="preserve">, קרי גם אם </w:t>
      </w:r>
      <w:r w:rsidR="000D5580">
        <w:rPr>
          <w:rFonts w:hint="cs"/>
          <w:rtl/>
        </w:rPr>
        <w:t>הפוגע ה</w:t>
      </w:r>
      <w:r w:rsidR="003A69FC" w:rsidRPr="00E17385">
        <w:rPr>
          <w:rFonts w:hint="cs"/>
          <w:rtl/>
        </w:rPr>
        <w:t>ו</w:t>
      </w:r>
      <w:r w:rsidR="000D5580">
        <w:rPr>
          <w:rFonts w:hint="cs"/>
          <w:rtl/>
        </w:rPr>
        <w:t>א</w:t>
      </w:r>
      <w:r w:rsidR="003A69FC" w:rsidRPr="00E17385">
        <w:rPr>
          <w:rFonts w:hint="cs"/>
          <w:rtl/>
        </w:rPr>
        <w:t xml:space="preserve"> לקוח, ספק וכדומה. חזקת הסיבתיות לא תחול גם כשמדובר בתאונה שאירעה לעובד עצמאי. לפיכך, עובד עצמאי</w:t>
      </w:r>
      <w:r w:rsidR="00F21326" w:rsidRPr="00E17385">
        <w:rPr>
          <w:rFonts w:hint="cs"/>
          <w:rtl/>
        </w:rPr>
        <w:t xml:space="preserve"> יצטרך להוכיח שהנזק נגרם לו </w:t>
      </w:r>
      <w:r w:rsidR="003A69FC" w:rsidRPr="00E17385">
        <w:rPr>
          <w:rFonts w:hint="cs"/>
          <w:rtl/>
        </w:rPr>
        <w:t>תוך כדי העבודה ועקב העבודה.</w:t>
      </w:r>
    </w:p>
    <w:p w14:paraId="39C7FCED" w14:textId="02E52ACE" w:rsidR="003A69FC" w:rsidRPr="00E17385" w:rsidRDefault="003A69FC" w:rsidP="000D5580">
      <w:pPr>
        <w:pStyle w:val="Hesber"/>
        <w:rPr>
          <w:rtl/>
        </w:rPr>
      </w:pPr>
      <w:r w:rsidRPr="00E17385">
        <w:rPr>
          <w:rFonts w:hint="cs"/>
          <w:rtl/>
        </w:rPr>
        <w:t xml:space="preserve">הצעת החוק נוסחה </w:t>
      </w:r>
      <w:r w:rsidR="000D5580">
        <w:rPr>
          <w:rFonts w:hint="cs"/>
          <w:rtl/>
        </w:rPr>
        <w:t>בסיוע</w:t>
      </w:r>
      <w:r w:rsidRPr="00E17385">
        <w:rPr>
          <w:rFonts w:hint="cs"/>
          <w:rtl/>
        </w:rPr>
        <w:t xml:space="preserve"> הקליניקה לקידום זכויות נשים, המכללה למנהל ובסיוע האגף לקידום מעמד האישה בויצו.</w:t>
      </w:r>
    </w:p>
    <w:p w14:paraId="483EEA89" w14:textId="3C86F2ED" w:rsidR="003A69FC" w:rsidRPr="00E17385" w:rsidRDefault="003A69FC" w:rsidP="00152269">
      <w:pPr>
        <w:pStyle w:val="Hesber"/>
        <w:rPr>
          <w:rtl/>
        </w:rPr>
      </w:pPr>
      <w:r w:rsidRPr="00E17385">
        <w:rPr>
          <w:rFonts w:hint="cs"/>
          <w:rtl/>
        </w:rPr>
        <w:t>הצעות חוק דומות בעיקרן הונחו על שולחן הכנסת השבע-עשרה על ידי חבר הכנסת גדעון סער וקבוצת חברי הכנסת (פ/3848/17), על שולחן הכנסת השמונה-עשרה על ידי חבר הכנסת יצחק הרצוג (פ/4069/18)</w:t>
      </w:r>
      <w:r w:rsidR="007822DF" w:rsidRPr="00E17385">
        <w:rPr>
          <w:rFonts w:hint="cs"/>
          <w:rtl/>
        </w:rPr>
        <w:t xml:space="preserve"> ועל שולחן הכנסת התשע-עשרה </w:t>
      </w:r>
      <w:r w:rsidR="00152269">
        <w:rPr>
          <w:rFonts w:hint="cs"/>
          <w:rtl/>
        </w:rPr>
        <w:t>על ידי</w:t>
      </w:r>
      <w:r w:rsidR="007822DF" w:rsidRPr="00E17385">
        <w:rPr>
          <w:rFonts w:hint="cs"/>
          <w:rtl/>
        </w:rPr>
        <w:t xml:space="preserve"> חבר הכנסת יצחק הרצוג וקבוצת חברי הכנסת (פ/1631/19)</w:t>
      </w:r>
      <w:r w:rsidRPr="00E17385">
        <w:rPr>
          <w:rFonts w:hint="cs"/>
          <w:rtl/>
        </w:rPr>
        <w:t>.</w:t>
      </w:r>
    </w:p>
    <w:p w14:paraId="30B8784A" w14:textId="2DF3C458" w:rsidR="003A69FC" w:rsidRPr="00E17385" w:rsidRDefault="003A69FC" w:rsidP="0051361B">
      <w:pPr>
        <w:pStyle w:val="Hesber"/>
        <w:rPr>
          <w:rtl/>
        </w:rPr>
      </w:pPr>
      <w:r w:rsidRPr="00E17385">
        <w:rPr>
          <w:rFonts w:hint="cs"/>
          <w:rtl/>
        </w:rPr>
        <w:t>הצעות חוק זהות הונחו על שולחן הכנסת השמונה-עשרה על ידי חברת הכנסת שלי יחימוביץ' (פ/231/18), על ידי חברות הכנסת אורית זוארץ וציפי חוטובלי (פ/2144/18)</w:t>
      </w:r>
      <w:r w:rsidR="00C858BE" w:rsidRPr="00E17385">
        <w:rPr>
          <w:rFonts w:hint="cs"/>
          <w:rtl/>
        </w:rPr>
        <w:t xml:space="preserve"> </w:t>
      </w:r>
      <w:r w:rsidRPr="00E17385">
        <w:rPr>
          <w:rFonts w:hint="cs"/>
          <w:rtl/>
        </w:rPr>
        <w:t>ועל ידי חברת הכנסת זהבה גלאון וקבוצת חברי הכנסת (פ/3230/18)</w:t>
      </w:r>
      <w:r w:rsidR="00E9760A">
        <w:rPr>
          <w:rFonts w:hint="cs"/>
          <w:rtl/>
        </w:rPr>
        <w:t>,</w:t>
      </w:r>
      <w:r w:rsidRPr="00E17385">
        <w:rPr>
          <w:rFonts w:hint="cs"/>
          <w:rtl/>
        </w:rPr>
        <w:t xml:space="preserve"> ועל שולחן הכנסת התשע-עשרה על ידי חברת הכנסת שלי יחימוביץ' (פ/308/19) ועל ידי חברת הכנסת זהבה גלאון וקבוצת חברי הכנסת (</w:t>
      </w:r>
      <w:bookmarkStart w:id="8" w:name="LawNum"/>
      <w:r w:rsidRPr="00E17385">
        <w:rPr>
          <w:rFonts w:hint="cs"/>
          <w:rtl/>
        </w:rPr>
        <w:t>פ/765/19</w:t>
      </w:r>
      <w:bookmarkEnd w:id="8"/>
      <w:r w:rsidRPr="00E17385">
        <w:rPr>
          <w:rFonts w:hint="cs"/>
          <w:rtl/>
        </w:rPr>
        <w:t>).</w:t>
      </w:r>
    </w:p>
    <w:p w14:paraId="5B140A10" w14:textId="77777777" w:rsidR="0074545A" w:rsidRDefault="0074545A" w:rsidP="003A69FC">
      <w:pPr>
        <w:pStyle w:val="Hesber"/>
        <w:rPr>
          <w:rFonts w:hint="cs"/>
          <w:sz w:val="26"/>
          <w:rtl/>
        </w:rPr>
      </w:pPr>
    </w:p>
    <w:p w14:paraId="3D44E097" w14:textId="77777777" w:rsidR="00E9760A" w:rsidRDefault="00E9760A" w:rsidP="003A69FC">
      <w:pPr>
        <w:pStyle w:val="Hesber"/>
        <w:rPr>
          <w:sz w:val="26"/>
        </w:rPr>
      </w:pPr>
      <w:bookmarkStart w:id="9" w:name="_GoBack"/>
      <w:bookmarkEnd w:id="9"/>
    </w:p>
    <w:p w14:paraId="1020593E" w14:textId="77777777" w:rsidR="00E9760A" w:rsidRPr="0022704F" w:rsidRDefault="00E9760A" w:rsidP="00E9760A">
      <w:pPr>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w:t>
      </w:r>
    </w:p>
    <w:p w14:paraId="440C6150" w14:textId="77777777" w:rsidR="00E9760A" w:rsidRPr="0022704F" w:rsidRDefault="00E9760A" w:rsidP="00E9760A">
      <w:pPr>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הוגשה ליו"ר הכנסת והסגנים</w:t>
      </w:r>
    </w:p>
    <w:p w14:paraId="29FDFFF9" w14:textId="77777777" w:rsidR="00E9760A" w:rsidRPr="0022704F" w:rsidRDefault="00E9760A" w:rsidP="00E9760A">
      <w:pPr>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והונחה על שולחן הכנסת ביום</w:t>
      </w:r>
    </w:p>
    <w:p w14:paraId="1051B8FE" w14:textId="77777777" w:rsidR="00E9760A" w:rsidRPr="00935520" w:rsidRDefault="00E9760A" w:rsidP="00E9760A">
      <w:pPr>
        <w:ind w:left="340" w:firstLine="0"/>
        <w:rPr>
          <w:rFonts w:ascii="Arial" w:eastAsia="Arial Unicode MS" w:hAnsi="Arial" w:cs="David"/>
          <w:snapToGrid w:val="0"/>
          <w:spacing w:val="0"/>
          <w:sz w:val="20"/>
          <w:szCs w:val="26"/>
        </w:rPr>
      </w:pPr>
      <w:r>
        <w:rPr>
          <w:rFonts w:ascii="Arial" w:eastAsia="Arial Unicode MS" w:hAnsi="Arial" w:cs="David" w:hint="cs"/>
          <w:snapToGrid w:val="0"/>
          <w:spacing w:val="0"/>
          <w:sz w:val="20"/>
          <w:szCs w:val="26"/>
          <w:rtl/>
        </w:rPr>
        <w:t>ט"ו באייר התשע"ה</w:t>
      </w:r>
      <w:r w:rsidRPr="00935520">
        <w:rPr>
          <w:rFonts w:ascii="Arial" w:eastAsia="Arial Unicode MS" w:hAnsi="Arial" w:cs="David" w:hint="cs"/>
          <w:snapToGrid w:val="0"/>
          <w:spacing w:val="0"/>
          <w:sz w:val="20"/>
          <w:szCs w:val="26"/>
          <w:rtl/>
        </w:rPr>
        <w:t xml:space="preserve"> – </w:t>
      </w:r>
      <w:r>
        <w:rPr>
          <w:rFonts w:ascii="Arial" w:eastAsia="Arial Unicode MS" w:hAnsi="Arial" w:cs="David" w:hint="cs"/>
          <w:snapToGrid w:val="0"/>
          <w:spacing w:val="0"/>
          <w:sz w:val="20"/>
          <w:szCs w:val="26"/>
          <w:rtl/>
        </w:rPr>
        <w:t>4</w:t>
      </w:r>
      <w:r w:rsidRPr="00935520">
        <w:rPr>
          <w:rFonts w:ascii="Arial" w:eastAsia="Arial Unicode MS" w:hAnsi="Arial" w:cs="David" w:hint="cs"/>
          <w:snapToGrid w:val="0"/>
          <w:spacing w:val="0"/>
          <w:sz w:val="20"/>
          <w:szCs w:val="26"/>
          <w:rtl/>
        </w:rPr>
        <w:t>.</w:t>
      </w:r>
      <w:r>
        <w:rPr>
          <w:rFonts w:ascii="Arial" w:eastAsia="Arial Unicode MS" w:hAnsi="Arial" w:cs="David" w:hint="cs"/>
          <w:snapToGrid w:val="0"/>
          <w:spacing w:val="0"/>
          <w:sz w:val="20"/>
          <w:szCs w:val="26"/>
          <w:rtl/>
        </w:rPr>
        <w:t>5</w:t>
      </w:r>
      <w:r w:rsidRPr="00935520">
        <w:rPr>
          <w:rFonts w:ascii="Arial" w:eastAsia="Arial Unicode MS" w:hAnsi="Arial" w:cs="David" w:hint="cs"/>
          <w:snapToGrid w:val="0"/>
          <w:spacing w:val="0"/>
          <w:sz w:val="20"/>
          <w:szCs w:val="26"/>
          <w:rtl/>
        </w:rPr>
        <w:t>.</w:t>
      </w:r>
      <w:r>
        <w:rPr>
          <w:rFonts w:ascii="Arial" w:eastAsia="Arial Unicode MS" w:hAnsi="Arial" w:cs="David" w:hint="cs"/>
          <w:snapToGrid w:val="0"/>
          <w:spacing w:val="0"/>
          <w:sz w:val="20"/>
          <w:szCs w:val="26"/>
          <w:rtl/>
        </w:rPr>
        <w:t>15</w:t>
      </w:r>
    </w:p>
    <w:p w14:paraId="2A32B155" w14:textId="77777777" w:rsidR="00E9760A" w:rsidRPr="00E635D3" w:rsidRDefault="00E9760A" w:rsidP="00E9760A">
      <w:pPr>
        <w:ind w:left="340" w:firstLine="0"/>
        <w:rPr>
          <w:rFonts w:ascii="Arial" w:eastAsia="Arial Unicode MS" w:hAnsi="Arial" w:cs="David"/>
          <w:snapToGrid w:val="0"/>
          <w:spacing w:val="0"/>
          <w:sz w:val="20"/>
          <w:szCs w:val="26"/>
          <w:rtl/>
        </w:rPr>
      </w:pPr>
    </w:p>
    <w:p w14:paraId="75C9C12C" w14:textId="77777777" w:rsidR="00E9760A" w:rsidRPr="00BE2391" w:rsidRDefault="00E9760A" w:rsidP="00E9760A">
      <w:pPr>
        <w:spacing w:line="360" w:lineRule="auto"/>
      </w:pPr>
    </w:p>
    <w:p w14:paraId="7F6961CB" w14:textId="77777777" w:rsidR="00E13C27" w:rsidRPr="00E9760A" w:rsidRDefault="00E13C27" w:rsidP="00E9760A">
      <w:pPr>
        <w:pStyle w:val="Hesber"/>
        <w:rPr>
          <w:rtl/>
        </w:rPr>
      </w:pPr>
    </w:p>
    <w:sectPr w:rsidR="00E13C27" w:rsidRPr="00E9760A" w:rsidSect="001207F8">
      <w:footerReference w:type="even" r:id="rId12"/>
      <w:footerReference w:type="default" r:id="rId13"/>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961D3" w14:textId="77777777" w:rsidR="00C23B1A" w:rsidRDefault="00C23B1A">
      <w:r>
        <w:separator/>
      </w:r>
    </w:p>
  </w:endnote>
  <w:endnote w:type="continuationSeparator" w:id="0">
    <w:p w14:paraId="7F6961D4" w14:textId="77777777" w:rsidR="00C23B1A" w:rsidRDefault="00C23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61D5" w14:textId="77777777"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1A0623" w:rsidRDefault="001A062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61D7" w14:textId="77777777"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E9760A">
      <w:rPr>
        <w:rStyle w:val="ab"/>
        <w:noProof/>
        <w:rtl/>
      </w:rPr>
      <w:t>2</w:t>
    </w:r>
    <w:r>
      <w:rPr>
        <w:rStyle w:val="ab"/>
        <w:rtl/>
      </w:rPr>
      <w:fldChar w:fldCharType="end"/>
    </w:r>
  </w:p>
  <w:p w14:paraId="7F6961D8" w14:textId="77777777" w:rsidR="001A0623" w:rsidRDefault="001A062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6961D0" w14:textId="77777777" w:rsidR="00C23B1A" w:rsidRDefault="00C23B1A">
      <w:r>
        <w:separator/>
      </w:r>
    </w:p>
  </w:footnote>
  <w:footnote w:type="continuationSeparator" w:id="0">
    <w:p w14:paraId="7F6961D1" w14:textId="77777777" w:rsidR="00C23B1A" w:rsidRDefault="00C23B1A">
      <w:r>
        <w:continuationSeparator/>
      </w:r>
    </w:p>
  </w:footnote>
  <w:footnote w:type="continuationNotice" w:id="1">
    <w:p w14:paraId="7F6961D2" w14:textId="77777777" w:rsidR="00C23B1A" w:rsidRDefault="00C23B1A"/>
  </w:footnote>
  <w:footnote w:id="2">
    <w:p w14:paraId="2FEB85A7" w14:textId="5584F65D" w:rsidR="003A69FC" w:rsidRDefault="003A69FC" w:rsidP="00AF6486">
      <w:pPr>
        <w:pStyle w:val="a4"/>
        <w:rPr>
          <w:rFonts w:cs="Arial Unicode MS"/>
          <w:rtl/>
        </w:rPr>
      </w:pPr>
      <w:r>
        <w:rPr>
          <w:rStyle w:val="a6"/>
        </w:rPr>
        <w:footnoteRef/>
      </w:r>
      <w:r>
        <w:rPr>
          <w:rFonts w:hint="cs"/>
          <w:sz w:val="20"/>
          <w:rtl/>
        </w:rPr>
        <w:t xml:space="preserve"> ס"ח</w:t>
      </w:r>
      <w:r w:rsidR="00AF6486">
        <w:rPr>
          <w:rFonts w:hint="cs"/>
          <w:sz w:val="20"/>
          <w:rtl/>
        </w:rPr>
        <w:t xml:space="preserve"> התשנ"ה, עמ' 210.</w:t>
      </w:r>
      <w:r>
        <w:rPr>
          <w:rFonts w:hint="cs"/>
          <w:sz w:val="20"/>
          <w:rt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6AAD98"/>
    <w:lvl w:ilvl="0">
      <w:start w:val="1"/>
      <w:numFmt w:val="decimal"/>
      <w:lvlText w:val="%1."/>
      <w:lvlJc w:val="left"/>
      <w:pPr>
        <w:tabs>
          <w:tab w:val="num" w:pos="1492"/>
        </w:tabs>
        <w:ind w:left="1492" w:hanging="360"/>
      </w:pPr>
    </w:lvl>
  </w:abstractNum>
  <w:abstractNum w:abstractNumId="1">
    <w:nsid w:val="FFFFFF7D"/>
    <w:multiLevelType w:val="singleLevel"/>
    <w:tmpl w:val="7D5CAEA8"/>
    <w:lvl w:ilvl="0">
      <w:start w:val="1"/>
      <w:numFmt w:val="decimal"/>
      <w:lvlText w:val="%1."/>
      <w:lvlJc w:val="left"/>
      <w:pPr>
        <w:tabs>
          <w:tab w:val="num" w:pos="1209"/>
        </w:tabs>
        <w:ind w:left="1209" w:hanging="360"/>
      </w:pPr>
    </w:lvl>
  </w:abstractNum>
  <w:abstractNum w:abstractNumId="2">
    <w:nsid w:val="FFFFFF7E"/>
    <w:multiLevelType w:val="singleLevel"/>
    <w:tmpl w:val="67E88A74"/>
    <w:lvl w:ilvl="0">
      <w:start w:val="1"/>
      <w:numFmt w:val="decimal"/>
      <w:lvlText w:val="%1."/>
      <w:lvlJc w:val="left"/>
      <w:pPr>
        <w:tabs>
          <w:tab w:val="num" w:pos="926"/>
        </w:tabs>
        <w:ind w:left="926" w:hanging="360"/>
      </w:pPr>
    </w:lvl>
  </w:abstractNum>
  <w:abstractNum w:abstractNumId="3">
    <w:nsid w:val="FFFFFF7F"/>
    <w:multiLevelType w:val="singleLevel"/>
    <w:tmpl w:val="45DA1EB8"/>
    <w:lvl w:ilvl="0">
      <w:start w:val="1"/>
      <w:numFmt w:val="decimal"/>
      <w:lvlText w:val="%1."/>
      <w:lvlJc w:val="left"/>
      <w:pPr>
        <w:tabs>
          <w:tab w:val="num" w:pos="643"/>
        </w:tabs>
        <w:ind w:left="643" w:hanging="360"/>
      </w:pPr>
    </w:lvl>
  </w:abstractNum>
  <w:abstractNum w:abstractNumId="4">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424606"/>
    <w:lvl w:ilvl="0">
      <w:start w:val="1"/>
      <w:numFmt w:val="decimal"/>
      <w:lvlText w:val="%1."/>
      <w:lvlJc w:val="left"/>
      <w:pPr>
        <w:tabs>
          <w:tab w:val="num" w:pos="360"/>
        </w:tabs>
        <w:ind w:left="360" w:hanging="360"/>
      </w:pPr>
    </w:lvl>
  </w:abstractNum>
  <w:abstractNum w:abstractNumId="9">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7681A"/>
    <w:rsid w:val="000A542E"/>
    <w:rsid w:val="000D228D"/>
    <w:rsid w:val="000D5580"/>
    <w:rsid w:val="000E150B"/>
    <w:rsid w:val="00102B6B"/>
    <w:rsid w:val="001052D4"/>
    <w:rsid w:val="0010644B"/>
    <w:rsid w:val="001207F8"/>
    <w:rsid w:val="00121924"/>
    <w:rsid w:val="001279A8"/>
    <w:rsid w:val="0014195F"/>
    <w:rsid w:val="00150BFA"/>
    <w:rsid w:val="00152269"/>
    <w:rsid w:val="00152609"/>
    <w:rsid w:val="00153E1B"/>
    <w:rsid w:val="001A0623"/>
    <w:rsid w:val="001C23B0"/>
    <w:rsid w:val="00203A7F"/>
    <w:rsid w:val="002200A1"/>
    <w:rsid w:val="002362BF"/>
    <w:rsid w:val="00241B97"/>
    <w:rsid w:val="00246756"/>
    <w:rsid w:val="00251E58"/>
    <w:rsid w:val="00254605"/>
    <w:rsid w:val="002728B4"/>
    <w:rsid w:val="0027600C"/>
    <w:rsid w:val="00292712"/>
    <w:rsid w:val="002A487D"/>
    <w:rsid w:val="002C0BB2"/>
    <w:rsid w:val="002C2E29"/>
    <w:rsid w:val="002D1EE3"/>
    <w:rsid w:val="002F1D80"/>
    <w:rsid w:val="00317B05"/>
    <w:rsid w:val="003232A2"/>
    <w:rsid w:val="00325C14"/>
    <w:rsid w:val="003710F6"/>
    <w:rsid w:val="00386E88"/>
    <w:rsid w:val="00396585"/>
    <w:rsid w:val="00396C0F"/>
    <w:rsid w:val="003A69FC"/>
    <w:rsid w:val="003C321E"/>
    <w:rsid w:val="003D0068"/>
    <w:rsid w:val="003D74A0"/>
    <w:rsid w:val="004033D8"/>
    <w:rsid w:val="004073F0"/>
    <w:rsid w:val="00412A7D"/>
    <w:rsid w:val="00416B4D"/>
    <w:rsid w:val="00417CFC"/>
    <w:rsid w:val="004B24ED"/>
    <w:rsid w:val="004C2317"/>
    <w:rsid w:val="004D0F3A"/>
    <w:rsid w:val="004D2D82"/>
    <w:rsid w:val="004D3876"/>
    <w:rsid w:val="004E4552"/>
    <w:rsid w:val="0051361B"/>
    <w:rsid w:val="0051462C"/>
    <w:rsid w:val="005262B6"/>
    <w:rsid w:val="00553C9D"/>
    <w:rsid w:val="00562A66"/>
    <w:rsid w:val="005948DB"/>
    <w:rsid w:val="005B064E"/>
    <w:rsid w:val="005D51AE"/>
    <w:rsid w:val="0062674B"/>
    <w:rsid w:val="006363B2"/>
    <w:rsid w:val="00644940"/>
    <w:rsid w:val="00651C34"/>
    <w:rsid w:val="006754A9"/>
    <w:rsid w:val="006818A9"/>
    <w:rsid w:val="006A2D81"/>
    <w:rsid w:val="006C1D0D"/>
    <w:rsid w:val="0070601E"/>
    <w:rsid w:val="00712C72"/>
    <w:rsid w:val="00735FE9"/>
    <w:rsid w:val="0074545A"/>
    <w:rsid w:val="00763CAA"/>
    <w:rsid w:val="007644BD"/>
    <w:rsid w:val="00765F66"/>
    <w:rsid w:val="007822DF"/>
    <w:rsid w:val="007B763B"/>
    <w:rsid w:val="007C3FA6"/>
    <w:rsid w:val="007D585A"/>
    <w:rsid w:val="007D5A12"/>
    <w:rsid w:val="007E59F9"/>
    <w:rsid w:val="00810BCD"/>
    <w:rsid w:val="00812C98"/>
    <w:rsid w:val="00814D92"/>
    <w:rsid w:val="0083181D"/>
    <w:rsid w:val="00874BBC"/>
    <w:rsid w:val="00885BC4"/>
    <w:rsid w:val="00892135"/>
    <w:rsid w:val="00895449"/>
    <w:rsid w:val="00897879"/>
    <w:rsid w:val="008A6870"/>
    <w:rsid w:val="008B74F4"/>
    <w:rsid w:val="008C2DDC"/>
    <w:rsid w:val="008C7516"/>
    <w:rsid w:val="008E6EC7"/>
    <w:rsid w:val="008F0D63"/>
    <w:rsid w:val="008F2C35"/>
    <w:rsid w:val="008F6665"/>
    <w:rsid w:val="0091204F"/>
    <w:rsid w:val="009203DB"/>
    <w:rsid w:val="00923CD4"/>
    <w:rsid w:val="00943386"/>
    <w:rsid w:val="009456B6"/>
    <w:rsid w:val="00957589"/>
    <w:rsid w:val="00966CF8"/>
    <w:rsid w:val="00966D06"/>
    <w:rsid w:val="00982412"/>
    <w:rsid w:val="00983A8D"/>
    <w:rsid w:val="009A7257"/>
    <w:rsid w:val="009D6E0A"/>
    <w:rsid w:val="00A1463E"/>
    <w:rsid w:val="00A14672"/>
    <w:rsid w:val="00A26BD6"/>
    <w:rsid w:val="00A443CF"/>
    <w:rsid w:val="00A6611D"/>
    <w:rsid w:val="00A72DFB"/>
    <w:rsid w:val="00A77D0A"/>
    <w:rsid w:val="00A82CB7"/>
    <w:rsid w:val="00A93E93"/>
    <w:rsid w:val="00AA2F03"/>
    <w:rsid w:val="00AC36F7"/>
    <w:rsid w:val="00AC63A4"/>
    <w:rsid w:val="00AD239E"/>
    <w:rsid w:val="00AF6486"/>
    <w:rsid w:val="00B025DE"/>
    <w:rsid w:val="00B10265"/>
    <w:rsid w:val="00B21211"/>
    <w:rsid w:val="00B35784"/>
    <w:rsid w:val="00B733A7"/>
    <w:rsid w:val="00B85F10"/>
    <w:rsid w:val="00B975AD"/>
    <w:rsid w:val="00BC45FB"/>
    <w:rsid w:val="00BC6755"/>
    <w:rsid w:val="00BF148D"/>
    <w:rsid w:val="00BF18E9"/>
    <w:rsid w:val="00BF296F"/>
    <w:rsid w:val="00C23B1A"/>
    <w:rsid w:val="00C310EB"/>
    <w:rsid w:val="00C858BE"/>
    <w:rsid w:val="00C9176A"/>
    <w:rsid w:val="00C91CBA"/>
    <w:rsid w:val="00CA479A"/>
    <w:rsid w:val="00CF1AA2"/>
    <w:rsid w:val="00CF4DC9"/>
    <w:rsid w:val="00D63620"/>
    <w:rsid w:val="00D8410D"/>
    <w:rsid w:val="00D867D7"/>
    <w:rsid w:val="00DB6431"/>
    <w:rsid w:val="00DB7060"/>
    <w:rsid w:val="00DC25D2"/>
    <w:rsid w:val="00DE3153"/>
    <w:rsid w:val="00DF3847"/>
    <w:rsid w:val="00E06736"/>
    <w:rsid w:val="00E13C27"/>
    <w:rsid w:val="00E17385"/>
    <w:rsid w:val="00E33BBD"/>
    <w:rsid w:val="00E45103"/>
    <w:rsid w:val="00E665B9"/>
    <w:rsid w:val="00E80584"/>
    <w:rsid w:val="00E9760A"/>
    <w:rsid w:val="00EA01E6"/>
    <w:rsid w:val="00EA3DE8"/>
    <w:rsid w:val="00EA758F"/>
    <w:rsid w:val="00EC40B3"/>
    <w:rsid w:val="00ED4A6F"/>
    <w:rsid w:val="00EF2734"/>
    <w:rsid w:val="00EF3A3A"/>
    <w:rsid w:val="00F21326"/>
    <w:rsid w:val="00F31B99"/>
    <w:rsid w:val="00F628D6"/>
    <w:rsid w:val="00F67051"/>
    <w:rsid w:val="00F971D2"/>
    <w:rsid w:val="00FA5E88"/>
    <w:rsid w:val="00FB193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62C"/>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51462C"/>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51462C"/>
    <w:rPr>
      <w:sz w:val="36"/>
      <w:szCs w:val="52"/>
    </w:rPr>
  </w:style>
  <w:style w:type="paragraph" w:customStyle="1" w:styleId="Cover3-Haknesset">
    <w:name w:val="Cover 3-Haknesset"/>
    <w:basedOn w:val="Cover1-Reshumot"/>
    <w:rsid w:val="0051462C"/>
    <w:rPr>
      <w:b/>
      <w:bCs/>
      <w:spacing w:val="60"/>
    </w:rPr>
  </w:style>
  <w:style w:type="paragraph" w:customStyle="1" w:styleId="Cover4-Date">
    <w:name w:val="Cover 4-Date"/>
    <w:basedOn w:val="a"/>
    <w:rsid w:val="0051462C"/>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51462C"/>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51462C"/>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51462C"/>
    <w:pPr>
      <w:spacing w:before="120" w:after="120"/>
    </w:pPr>
    <w:rPr>
      <w:color w:val="FF0000"/>
      <w:w w:val="80"/>
    </w:rPr>
  </w:style>
  <w:style w:type="paragraph" w:styleId="a3">
    <w:name w:val="endnote text"/>
    <w:basedOn w:val="a"/>
    <w:semiHidden/>
    <w:rsid w:val="0051462C"/>
    <w:pPr>
      <w:ind w:left="227" w:hanging="227"/>
    </w:pPr>
    <w:rPr>
      <w:sz w:val="14"/>
      <w:szCs w:val="22"/>
    </w:rPr>
  </w:style>
  <w:style w:type="paragraph" w:customStyle="1" w:styleId="TableText">
    <w:name w:val="Table Text"/>
    <w:basedOn w:val="a"/>
    <w:rsid w:val="0051462C"/>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51462C"/>
  </w:style>
  <w:style w:type="paragraph" w:customStyle="1" w:styleId="TableBlock">
    <w:name w:val="Table Block"/>
    <w:basedOn w:val="TableText"/>
    <w:rsid w:val="0051462C"/>
    <w:pPr>
      <w:ind w:right="0"/>
      <w:jc w:val="both"/>
    </w:pPr>
  </w:style>
  <w:style w:type="paragraph" w:customStyle="1" w:styleId="TableHead">
    <w:name w:val="Table Head"/>
    <w:basedOn w:val="TableText"/>
    <w:rsid w:val="0051462C"/>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51462C"/>
  </w:style>
  <w:style w:type="paragraph" w:customStyle="1" w:styleId="Hesber">
    <w:name w:val="Hesber"/>
    <w:basedOn w:val="a"/>
    <w:rsid w:val="0051462C"/>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51462C"/>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51462C"/>
    <w:rPr>
      <w:vertAlign w:val="superscript"/>
    </w:rPr>
  </w:style>
  <w:style w:type="paragraph" w:customStyle="1" w:styleId="HesberHeading">
    <w:name w:val="Hesber Heading"/>
    <w:basedOn w:val="Hesber"/>
    <w:rsid w:val="0051462C"/>
    <w:pPr>
      <w:tabs>
        <w:tab w:val="left" w:pos="624"/>
        <w:tab w:val="left" w:pos="1247"/>
      </w:tabs>
      <w:ind w:firstLine="0"/>
    </w:pPr>
    <w:rPr>
      <w:b/>
      <w:bCs/>
    </w:rPr>
  </w:style>
  <w:style w:type="paragraph" w:customStyle="1" w:styleId="HesberWriters">
    <w:name w:val="Hesber Writers"/>
    <w:basedOn w:val="Hesber"/>
    <w:rsid w:val="0051462C"/>
    <w:pPr>
      <w:spacing w:before="120" w:after="6000"/>
      <w:ind w:left="1418" w:firstLine="0"/>
      <w:jc w:val="right"/>
    </w:pPr>
    <w:rPr>
      <w:b/>
      <w:bCs/>
    </w:rPr>
  </w:style>
  <w:style w:type="paragraph" w:customStyle="1" w:styleId="Hesber1st">
    <w:name w:val="Hesber 1st"/>
    <w:basedOn w:val="Hesber"/>
    <w:rsid w:val="0051462C"/>
    <w:pPr>
      <w:tabs>
        <w:tab w:val="left" w:pos="680"/>
        <w:tab w:val="left" w:pos="1020"/>
      </w:tabs>
      <w:ind w:firstLine="0"/>
    </w:pPr>
  </w:style>
  <w:style w:type="character" w:styleId="a7">
    <w:name w:val="endnote reference"/>
    <w:basedOn w:val="a0"/>
    <w:semiHidden/>
    <w:rsid w:val="0051462C"/>
    <w:rPr>
      <w:vertAlign w:val="superscript"/>
    </w:rPr>
  </w:style>
  <w:style w:type="paragraph" w:customStyle="1" w:styleId="TableBlockOutdent">
    <w:name w:val="Table BlockOutdent"/>
    <w:basedOn w:val="TableBlock"/>
    <w:rsid w:val="0051462C"/>
    <w:pPr>
      <w:ind w:left="624" w:hanging="624"/>
    </w:pPr>
  </w:style>
  <w:style w:type="paragraph" w:styleId="a8">
    <w:name w:val="header"/>
    <w:basedOn w:val="a"/>
    <w:rsid w:val="0051462C"/>
    <w:pPr>
      <w:tabs>
        <w:tab w:val="center" w:pos="4153"/>
        <w:tab w:val="right" w:pos="8306"/>
      </w:tabs>
    </w:pPr>
  </w:style>
  <w:style w:type="paragraph" w:styleId="a9">
    <w:name w:val="footer"/>
    <w:basedOn w:val="a"/>
    <w:rsid w:val="0051462C"/>
    <w:pPr>
      <w:tabs>
        <w:tab w:val="center" w:pos="4153"/>
        <w:tab w:val="right" w:pos="8306"/>
      </w:tabs>
    </w:pPr>
  </w:style>
  <w:style w:type="paragraph" w:customStyle="1" w:styleId="HeadDivreiHesber">
    <w:name w:val="Head DivreiHesber"/>
    <w:basedOn w:val="a"/>
    <w:rsid w:val="0051462C"/>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51462C"/>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51462C"/>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3A69FC"/>
    <w:rPr>
      <w:rFonts w:ascii="Arial" w:eastAsia="Arial Unicode MS" w:hAnsi="Arial" w:cs="David"/>
      <w:snapToGrid w:val="0"/>
      <w:color w:val="000000"/>
      <w:sz w:val="1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62C"/>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51462C"/>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51462C"/>
    <w:rPr>
      <w:sz w:val="36"/>
      <w:szCs w:val="52"/>
    </w:rPr>
  </w:style>
  <w:style w:type="paragraph" w:customStyle="1" w:styleId="Cover3-Haknesset">
    <w:name w:val="Cover 3-Haknesset"/>
    <w:basedOn w:val="Cover1-Reshumot"/>
    <w:rsid w:val="0051462C"/>
    <w:rPr>
      <w:b/>
      <w:bCs/>
      <w:spacing w:val="60"/>
    </w:rPr>
  </w:style>
  <w:style w:type="paragraph" w:customStyle="1" w:styleId="Cover4-Date">
    <w:name w:val="Cover 4-Date"/>
    <w:basedOn w:val="a"/>
    <w:rsid w:val="0051462C"/>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51462C"/>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51462C"/>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51462C"/>
    <w:pPr>
      <w:spacing w:before="120" w:after="120"/>
    </w:pPr>
    <w:rPr>
      <w:color w:val="FF0000"/>
      <w:w w:val="80"/>
    </w:rPr>
  </w:style>
  <w:style w:type="paragraph" w:styleId="a3">
    <w:name w:val="endnote text"/>
    <w:basedOn w:val="a"/>
    <w:semiHidden/>
    <w:rsid w:val="0051462C"/>
    <w:pPr>
      <w:ind w:left="227" w:hanging="227"/>
    </w:pPr>
    <w:rPr>
      <w:sz w:val="14"/>
      <w:szCs w:val="22"/>
    </w:rPr>
  </w:style>
  <w:style w:type="paragraph" w:customStyle="1" w:styleId="TableText">
    <w:name w:val="Table Text"/>
    <w:basedOn w:val="a"/>
    <w:rsid w:val="0051462C"/>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51462C"/>
  </w:style>
  <w:style w:type="paragraph" w:customStyle="1" w:styleId="TableBlock">
    <w:name w:val="Table Block"/>
    <w:basedOn w:val="TableText"/>
    <w:rsid w:val="0051462C"/>
    <w:pPr>
      <w:ind w:right="0"/>
      <w:jc w:val="both"/>
    </w:pPr>
  </w:style>
  <w:style w:type="paragraph" w:customStyle="1" w:styleId="TableHead">
    <w:name w:val="Table Head"/>
    <w:basedOn w:val="TableText"/>
    <w:rsid w:val="0051462C"/>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51462C"/>
  </w:style>
  <w:style w:type="paragraph" w:customStyle="1" w:styleId="Hesber">
    <w:name w:val="Hesber"/>
    <w:basedOn w:val="a"/>
    <w:rsid w:val="0051462C"/>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51462C"/>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51462C"/>
    <w:rPr>
      <w:vertAlign w:val="superscript"/>
    </w:rPr>
  </w:style>
  <w:style w:type="paragraph" w:customStyle="1" w:styleId="HesberHeading">
    <w:name w:val="Hesber Heading"/>
    <w:basedOn w:val="Hesber"/>
    <w:rsid w:val="0051462C"/>
    <w:pPr>
      <w:tabs>
        <w:tab w:val="left" w:pos="624"/>
        <w:tab w:val="left" w:pos="1247"/>
      </w:tabs>
      <w:ind w:firstLine="0"/>
    </w:pPr>
    <w:rPr>
      <w:b/>
      <w:bCs/>
    </w:rPr>
  </w:style>
  <w:style w:type="paragraph" w:customStyle="1" w:styleId="HesberWriters">
    <w:name w:val="Hesber Writers"/>
    <w:basedOn w:val="Hesber"/>
    <w:rsid w:val="0051462C"/>
    <w:pPr>
      <w:spacing w:before="120" w:after="6000"/>
      <w:ind w:left="1418" w:firstLine="0"/>
      <w:jc w:val="right"/>
    </w:pPr>
    <w:rPr>
      <w:b/>
      <w:bCs/>
    </w:rPr>
  </w:style>
  <w:style w:type="paragraph" w:customStyle="1" w:styleId="Hesber1st">
    <w:name w:val="Hesber 1st"/>
    <w:basedOn w:val="Hesber"/>
    <w:rsid w:val="0051462C"/>
    <w:pPr>
      <w:tabs>
        <w:tab w:val="left" w:pos="680"/>
        <w:tab w:val="left" w:pos="1020"/>
      </w:tabs>
      <w:ind w:firstLine="0"/>
    </w:pPr>
  </w:style>
  <w:style w:type="character" w:styleId="a7">
    <w:name w:val="endnote reference"/>
    <w:basedOn w:val="a0"/>
    <w:semiHidden/>
    <w:rsid w:val="0051462C"/>
    <w:rPr>
      <w:vertAlign w:val="superscript"/>
    </w:rPr>
  </w:style>
  <w:style w:type="paragraph" w:customStyle="1" w:styleId="TableBlockOutdent">
    <w:name w:val="Table BlockOutdent"/>
    <w:basedOn w:val="TableBlock"/>
    <w:rsid w:val="0051462C"/>
    <w:pPr>
      <w:ind w:left="624" w:hanging="624"/>
    </w:pPr>
  </w:style>
  <w:style w:type="paragraph" w:styleId="a8">
    <w:name w:val="header"/>
    <w:basedOn w:val="a"/>
    <w:rsid w:val="0051462C"/>
    <w:pPr>
      <w:tabs>
        <w:tab w:val="center" w:pos="4153"/>
        <w:tab w:val="right" w:pos="8306"/>
      </w:tabs>
    </w:pPr>
  </w:style>
  <w:style w:type="paragraph" w:styleId="a9">
    <w:name w:val="footer"/>
    <w:basedOn w:val="a"/>
    <w:rsid w:val="0051462C"/>
    <w:pPr>
      <w:tabs>
        <w:tab w:val="center" w:pos="4153"/>
        <w:tab w:val="right" w:pos="8306"/>
      </w:tabs>
    </w:pPr>
  </w:style>
  <w:style w:type="paragraph" w:customStyle="1" w:styleId="HeadDivreiHesber">
    <w:name w:val="Head DivreiHesber"/>
    <w:basedOn w:val="a"/>
    <w:rsid w:val="0051462C"/>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51462C"/>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51462C"/>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3A69FC"/>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175815">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318A1-B71E-470A-86E3-AC9AA86B3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purl.org/dc/dcmitype/"/>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81771B31-9388-4545-98D7-C4560FF76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Pages>
  <Words>598</Words>
  <Characters>2995</Characters>
  <Application>Microsoft Office Word</Application>
  <DocSecurity>0</DocSecurity>
  <Lines>24</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23</cp:revision>
  <cp:lastPrinted>2015-04-27T08:18:00Z</cp:lastPrinted>
  <dcterms:created xsi:type="dcterms:W3CDTF">2015-03-26T08:06:00Z</dcterms:created>
  <dcterms:modified xsi:type="dcterms:W3CDTF">2015-04-27T08:23:00Z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0354fdee-f711-4d2a-9cf2-2d1c4d9ac92a</vt:lpwstr>
  </property>
  <property fmtid="{D5CDD505-2E9C-101B-9397-08002B2CF9AE}" pid="4" name="SanhedrinDocumentType">
    <vt:r8>10</vt:r8>
  </property>
  <property fmtid="{D5CDD505-2E9C-101B-9397-08002B2CF9AE}" pid="5" name="SanhedrinItemID">
    <vt:r8>562238</vt:r8>
  </property>
</Properties>
</file>