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1B91D" w14:textId="77777777" w:rsidR="008525E2" w:rsidRDefault="00C7276B" w:rsidP="008525E2">
      <w:pPr>
        <w:jc w:val="center"/>
        <w:rPr>
          <w:b/>
          <w:bCs/>
          <w:sz w:val="28"/>
          <w:szCs w:val="28"/>
          <w:rtl/>
        </w:rPr>
      </w:pPr>
      <w:r>
        <w:rPr>
          <w:noProof/>
        </w:rPr>
        <w:drawing>
          <wp:inline distT="0" distB="0" distL="0" distR="0" wp14:anchorId="79C581A1" wp14:editId="290AE437">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4D7737B8" w14:textId="77777777" w:rsidR="008525E2" w:rsidRDefault="008525E2" w:rsidP="008525E2">
      <w:pPr>
        <w:jc w:val="center"/>
        <w:rPr>
          <w:b/>
          <w:bCs/>
          <w:sz w:val="28"/>
          <w:szCs w:val="28"/>
          <w:rtl/>
        </w:rPr>
      </w:pPr>
    </w:p>
    <w:p w14:paraId="71A171CC" w14:textId="77777777" w:rsidR="008525E2" w:rsidRDefault="00220CAF" w:rsidP="008525E2">
      <w:pPr>
        <w:jc w:val="center"/>
        <w:rPr>
          <w:b/>
          <w:bCs/>
          <w:sz w:val="28"/>
          <w:szCs w:val="28"/>
          <w:rtl/>
        </w:rPr>
      </w:pPr>
      <w:bookmarkStart w:id="0" w:name="LGSName"/>
      <w:r>
        <w:rPr>
          <w:rStyle w:val="HeadHatzaotHok0"/>
          <w:rFonts w:hint="cs"/>
          <w:rtl/>
        </w:rPr>
        <w:t xml:space="preserve">חוק סדר הדין הפלילי (תיקון מס' 83), </w:t>
      </w:r>
      <w:proofErr w:type="spellStart"/>
      <w:r>
        <w:rPr>
          <w:rStyle w:val="HeadHatzaotHok0"/>
          <w:rFonts w:hint="cs"/>
          <w:rtl/>
        </w:rPr>
        <w:t>התשע"ח</w:t>
      </w:r>
      <w:proofErr w:type="spellEnd"/>
      <w:r w:rsidR="005B5F27">
        <w:rPr>
          <w:rStyle w:val="HeadHatzaotHok0"/>
          <w:rFonts w:hint="eastAsia"/>
          <w:rtl/>
        </w:rPr>
        <w:t>–</w:t>
      </w:r>
      <w:r>
        <w:rPr>
          <w:rStyle w:val="HeadHatzaotHok0"/>
          <w:rFonts w:hint="cs"/>
          <w:rtl/>
        </w:rPr>
        <w:t>2018</w:t>
      </w:r>
      <w:bookmarkEnd w:id="0"/>
      <w:r w:rsidR="008525E2">
        <w:rPr>
          <w:rStyle w:val="a8"/>
          <w:b/>
          <w:bCs/>
          <w:sz w:val="28"/>
          <w:szCs w:val="28"/>
          <w:rtl/>
        </w:rPr>
        <w:footnoteReference w:customMarkFollows="1" w:id="1"/>
        <w:t>*</w:t>
      </w:r>
    </w:p>
    <w:p w14:paraId="599784C9" w14:textId="77777777" w:rsidR="005B5F27" w:rsidRDefault="005B5F27" w:rsidP="008525E2">
      <w:pPr>
        <w:jc w:val="center"/>
        <w:rPr>
          <w:b/>
          <w:bCs/>
          <w:sz w:val="28"/>
          <w:szCs w:val="28"/>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3"/>
        <w:gridCol w:w="625"/>
        <w:gridCol w:w="624"/>
        <w:gridCol w:w="625"/>
        <w:gridCol w:w="624"/>
        <w:gridCol w:w="4025"/>
      </w:tblGrid>
      <w:tr w:rsidR="005B5F27" w14:paraId="31190E97" w14:textId="77777777" w:rsidTr="005B5F27">
        <w:trPr>
          <w:cantSplit/>
        </w:trPr>
        <w:tc>
          <w:tcPr>
            <w:tcW w:w="1869" w:type="dxa"/>
            <w:hideMark/>
          </w:tcPr>
          <w:p w14:paraId="24CDFF98" w14:textId="77777777" w:rsidR="005B5F27" w:rsidRDefault="005B5F27" w:rsidP="002D1CA8">
            <w:pPr>
              <w:pStyle w:val="TableSideHeading"/>
              <w:keepLines w:val="0"/>
            </w:pPr>
            <w:r>
              <w:rPr>
                <w:rFonts w:hint="cs"/>
                <w:rtl/>
              </w:rPr>
              <w:t>תיקון סעיף 62</w:t>
            </w:r>
          </w:p>
        </w:tc>
        <w:tc>
          <w:tcPr>
            <w:tcW w:w="623" w:type="dxa"/>
            <w:hideMark/>
          </w:tcPr>
          <w:p w14:paraId="0DD32544" w14:textId="77777777" w:rsidR="005B5F27" w:rsidRDefault="005B5F27" w:rsidP="002D1CA8">
            <w:pPr>
              <w:pStyle w:val="TableText"/>
              <w:keepLines w:val="0"/>
            </w:pPr>
            <w:r>
              <w:rPr>
                <w:rFonts w:hint="cs"/>
                <w:rtl/>
              </w:rPr>
              <w:t xml:space="preserve">1. </w:t>
            </w:r>
          </w:p>
        </w:tc>
        <w:tc>
          <w:tcPr>
            <w:tcW w:w="7146" w:type="dxa"/>
            <w:gridSpan w:val="6"/>
            <w:hideMark/>
          </w:tcPr>
          <w:p w14:paraId="78495A45" w14:textId="77777777" w:rsidR="005B5F27" w:rsidRDefault="005B5F27" w:rsidP="005B5F27">
            <w:pPr>
              <w:pStyle w:val="TableBlock"/>
            </w:pPr>
            <w:r>
              <w:rPr>
                <w:rFonts w:hint="cs"/>
                <w:rtl/>
              </w:rPr>
              <w:t xml:space="preserve">בחוק סדר הדין הפלילי [נוסח משולב], </w:t>
            </w:r>
            <w:proofErr w:type="spellStart"/>
            <w:r>
              <w:rPr>
                <w:rFonts w:hint="cs"/>
                <w:rtl/>
              </w:rPr>
              <w:t>התשמ"ב</w:t>
            </w:r>
            <w:proofErr w:type="spellEnd"/>
            <w:r>
              <w:rPr>
                <w:rFonts w:hint="eastAsia"/>
                <w:rtl/>
              </w:rPr>
              <w:t>–</w:t>
            </w:r>
            <w:r>
              <w:rPr>
                <w:rFonts w:hint="cs"/>
                <w:rtl/>
              </w:rPr>
              <w:t>1982</w:t>
            </w:r>
            <w:r w:rsidRPr="005B5F27">
              <w:rPr>
                <w:rStyle w:val="a8"/>
                <w:rFonts w:ascii="David" w:hAnsi="David"/>
                <w:sz w:val="26"/>
                <w:rtl/>
              </w:rPr>
              <w:footnoteReference w:id="2"/>
            </w:r>
            <w:r>
              <w:rPr>
                <w:rFonts w:hint="cs"/>
                <w:rtl/>
              </w:rPr>
              <w:t xml:space="preserve"> (להלן </w:t>
            </w:r>
            <w:r>
              <w:rPr>
                <w:rtl/>
              </w:rPr>
              <w:t>–</w:t>
            </w:r>
            <w:r>
              <w:rPr>
                <w:rFonts w:hint="cs"/>
                <w:rtl/>
              </w:rPr>
              <w:t xml:space="preserve"> החוק העיקרי), בסעיף 62, במקום סעיף קטן (ב) יבוא:  </w:t>
            </w:r>
          </w:p>
        </w:tc>
      </w:tr>
      <w:tr w:rsidR="005B5F27" w14:paraId="27DC72FB" w14:textId="77777777" w:rsidTr="005B5F27">
        <w:trPr>
          <w:cantSplit/>
        </w:trPr>
        <w:tc>
          <w:tcPr>
            <w:tcW w:w="1869" w:type="dxa"/>
          </w:tcPr>
          <w:p w14:paraId="295184B5" w14:textId="77777777" w:rsidR="005B5F27" w:rsidRDefault="005B5F27" w:rsidP="002D1CA8">
            <w:pPr>
              <w:pStyle w:val="TableSideHeading"/>
            </w:pPr>
          </w:p>
        </w:tc>
        <w:tc>
          <w:tcPr>
            <w:tcW w:w="623" w:type="dxa"/>
          </w:tcPr>
          <w:p w14:paraId="375CE307" w14:textId="77777777" w:rsidR="005B5F27" w:rsidRDefault="005B5F27" w:rsidP="002D1CA8">
            <w:pPr>
              <w:pStyle w:val="TableText"/>
            </w:pPr>
          </w:p>
        </w:tc>
        <w:tc>
          <w:tcPr>
            <w:tcW w:w="623" w:type="dxa"/>
          </w:tcPr>
          <w:p w14:paraId="017E6421" w14:textId="77777777" w:rsidR="005B5F27" w:rsidRDefault="005B5F27" w:rsidP="002D1CA8">
            <w:pPr>
              <w:pStyle w:val="TableText"/>
            </w:pPr>
            <w:r>
              <w:rPr>
                <w:rFonts w:hint="cs"/>
                <w:rtl/>
              </w:rPr>
              <w:t>"(</w:t>
            </w:r>
            <w:r w:rsidRPr="000D1077">
              <w:rPr>
                <w:rFonts w:hint="cs"/>
                <w:rtl/>
              </w:rPr>
              <w:t xml:space="preserve">ב) </w:t>
            </w:r>
            <w:r>
              <w:rPr>
                <w:rtl/>
              </w:rPr>
              <w:tab/>
            </w:r>
          </w:p>
        </w:tc>
        <w:tc>
          <w:tcPr>
            <w:tcW w:w="6523" w:type="dxa"/>
            <w:gridSpan w:val="5"/>
          </w:tcPr>
          <w:p w14:paraId="68D3FEA2" w14:textId="77777777" w:rsidR="005B5F27" w:rsidRDefault="005B5F27" w:rsidP="005B5F27">
            <w:pPr>
              <w:pStyle w:val="TableBlock"/>
            </w:pPr>
            <w:r>
              <w:rPr>
                <w:rFonts w:hint="cs"/>
                <w:rtl/>
              </w:rPr>
              <w:t>(1)</w:t>
            </w:r>
            <w:r>
              <w:rPr>
                <w:rtl/>
              </w:rPr>
              <w:tab/>
            </w:r>
            <w:r w:rsidRPr="000D1077">
              <w:rPr>
                <w:rtl/>
              </w:rPr>
              <w:t>על החלטה שלא להעמיד לדין תימסר לחשוד הודעה בכתב</w:t>
            </w:r>
            <w:r w:rsidRPr="000D1077">
              <w:rPr>
                <w:rFonts w:hint="cs"/>
                <w:rtl/>
              </w:rPr>
              <w:t xml:space="preserve"> ללא ציון עילת </w:t>
            </w:r>
            <w:r>
              <w:rPr>
                <w:rFonts w:hint="cs"/>
                <w:rtl/>
              </w:rPr>
              <w:t>סגירת התיק, אולם, י</w:t>
            </w:r>
            <w:r w:rsidRPr="000D1077">
              <w:rPr>
                <w:rFonts w:hint="cs"/>
                <w:rtl/>
              </w:rPr>
              <w:t xml:space="preserve">צוין בה כי החשוד רשאי לברר את עילת </w:t>
            </w:r>
            <w:r>
              <w:rPr>
                <w:rFonts w:hint="cs"/>
                <w:rtl/>
              </w:rPr>
              <w:t>סגירת</w:t>
            </w:r>
            <w:r w:rsidRPr="000D1077">
              <w:rPr>
                <w:rFonts w:hint="cs"/>
                <w:rtl/>
              </w:rPr>
              <w:t xml:space="preserve"> </w:t>
            </w:r>
            <w:r>
              <w:rPr>
                <w:rFonts w:hint="cs"/>
                <w:rtl/>
              </w:rPr>
              <w:t xml:space="preserve">התיק </w:t>
            </w:r>
            <w:r w:rsidRPr="000D1077">
              <w:rPr>
                <w:rFonts w:hint="cs"/>
                <w:rtl/>
              </w:rPr>
              <w:t>באמצעות הגעה לכל תחנת משטרה</w:t>
            </w:r>
            <w:r>
              <w:rPr>
                <w:rFonts w:hint="cs"/>
                <w:rtl/>
              </w:rPr>
              <w:t xml:space="preserve"> וכן באחת הדרכים שנקבעו על ידי המשטרה ו</w:t>
            </w:r>
            <w:r w:rsidRPr="000D1077">
              <w:rPr>
                <w:rFonts w:hint="cs"/>
                <w:rtl/>
              </w:rPr>
              <w:t>שפורט</w:t>
            </w:r>
            <w:r>
              <w:rPr>
                <w:rFonts w:hint="cs"/>
                <w:rtl/>
              </w:rPr>
              <w:t>ו</w:t>
            </w:r>
            <w:r w:rsidRPr="000D1077">
              <w:rPr>
                <w:rFonts w:hint="cs"/>
                <w:rtl/>
              </w:rPr>
              <w:t xml:space="preserve"> בהודעה</w:t>
            </w:r>
            <w:r>
              <w:rPr>
                <w:rFonts w:hint="cs"/>
                <w:rtl/>
              </w:rPr>
              <w:t>.</w:t>
            </w:r>
          </w:p>
        </w:tc>
      </w:tr>
      <w:tr w:rsidR="005B5F27" w14:paraId="34C296FB" w14:textId="77777777" w:rsidTr="005B5F27">
        <w:trPr>
          <w:cantSplit/>
        </w:trPr>
        <w:tc>
          <w:tcPr>
            <w:tcW w:w="1869" w:type="dxa"/>
          </w:tcPr>
          <w:p w14:paraId="4F33DC3A" w14:textId="77777777" w:rsidR="005B5F27" w:rsidRDefault="005B5F27" w:rsidP="002D1CA8">
            <w:pPr>
              <w:pStyle w:val="TableSideHeading"/>
            </w:pPr>
          </w:p>
        </w:tc>
        <w:tc>
          <w:tcPr>
            <w:tcW w:w="623" w:type="dxa"/>
          </w:tcPr>
          <w:p w14:paraId="13947D22" w14:textId="77777777" w:rsidR="005B5F27" w:rsidRDefault="005B5F27" w:rsidP="002D1CA8">
            <w:pPr>
              <w:pStyle w:val="TableText"/>
            </w:pPr>
          </w:p>
        </w:tc>
        <w:tc>
          <w:tcPr>
            <w:tcW w:w="623" w:type="dxa"/>
          </w:tcPr>
          <w:p w14:paraId="42912F95" w14:textId="77777777" w:rsidR="005B5F27" w:rsidRDefault="005B5F27" w:rsidP="002D1CA8">
            <w:pPr>
              <w:pStyle w:val="TableText"/>
            </w:pPr>
          </w:p>
        </w:tc>
        <w:tc>
          <w:tcPr>
            <w:tcW w:w="6523" w:type="dxa"/>
            <w:gridSpan w:val="5"/>
          </w:tcPr>
          <w:p w14:paraId="56DB43BD" w14:textId="77777777" w:rsidR="005B5F27" w:rsidRDefault="005B5F27" w:rsidP="005B5F27">
            <w:pPr>
              <w:pStyle w:val="TableBlock"/>
            </w:pPr>
            <w:r>
              <w:rPr>
                <w:rFonts w:hint="cs"/>
                <w:rtl/>
              </w:rPr>
              <w:t xml:space="preserve">(2) </w:t>
            </w:r>
            <w:r>
              <w:rPr>
                <w:rtl/>
              </w:rPr>
              <w:tab/>
            </w:r>
            <w:r>
              <w:rPr>
                <w:rFonts w:hint="cs"/>
                <w:rtl/>
              </w:rPr>
              <w:t>על אף האמור בפסקה (1), ל</w:t>
            </w:r>
            <w:r w:rsidRPr="000D1077">
              <w:rPr>
                <w:rtl/>
              </w:rPr>
              <w:t>חשוד בעבירת מין או אלימות</w:t>
            </w:r>
            <w:r w:rsidRPr="000D1077">
              <w:rPr>
                <w:rFonts w:hint="cs"/>
                <w:rtl/>
              </w:rPr>
              <w:t>,</w:t>
            </w:r>
            <w:r w:rsidRPr="000D1077">
              <w:rPr>
                <w:rtl/>
              </w:rPr>
              <w:t xml:space="preserve"> כהגדרתה בחוק זכויות נפגעי עבירה, </w:t>
            </w:r>
            <w:proofErr w:type="spellStart"/>
            <w:r w:rsidRPr="000D1077">
              <w:rPr>
                <w:rtl/>
              </w:rPr>
              <w:t>התשס"א</w:t>
            </w:r>
            <w:proofErr w:type="spellEnd"/>
            <w:r w:rsidRPr="000D1077">
              <w:rPr>
                <w:rtl/>
              </w:rPr>
              <w:t>–2001</w:t>
            </w:r>
            <w:r w:rsidRPr="005B5F27">
              <w:rPr>
                <w:rStyle w:val="a8"/>
                <w:rFonts w:ascii="David" w:hAnsi="David"/>
                <w:sz w:val="26"/>
                <w:rtl/>
              </w:rPr>
              <w:footnoteReference w:id="3"/>
            </w:r>
            <w:r w:rsidRPr="000D1077">
              <w:rPr>
                <w:rtl/>
              </w:rPr>
              <w:t xml:space="preserve">, </w:t>
            </w:r>
            <w:r>
              <w:rPr>
                <w:rFonts w:hint="cs"/>
                <w:rtl/>
              </w:rPr>
              <w:t>תימסר הודעה בכתב על החלטה שלא להעמיד לדין בציון עילת סגירת התיק.</w:t>
            </w:r>
          </w:p>
        </w:tc>
      </w:tr>
      <w:tr w:rsidR="005B5F27" w14:paraId="76DDA62D" w14:textId="77777777" w:rsidTr="005B5F27">
        <w:trPr>
          <w:cantSplit/>
        </w:trPr>
        <w:tc>
          <w:tcPr>
            <w:tcW w:w="1869" w:type="dxa"/>
          </w:tcPr>
          <w:p w14:paraId="2826F58D" w14:textId="77777777" w:rsidR="005B5F27" w:rsidRDefault="005B5F27" w:rsidP="002D1CA8">
            <w:pPr>
              <w:pStyle w:val="TableSideHeading"/>
            </w:pPr>
          </w:p>
        </w:tc>
        <w:tc>
          <w:tcPr>
            <w:tcW w:w="623" w:type="dxa"/>
          </w:tcPr>
          <w:p w14:paraId="79A6D7F1" w14:textId="77777777" w:rsidR="005B5F27" w:rsidRDefault="005B5F27" w:rsidP="002D1CA8">
            <w:pPr>
              <w:pStyle w:val="TableText"/>
            </w:pPr>
          </w:p>
        </w:tc>
        <w:tc>
          <w:tcPr>
            <w:tcW w:w="623" w:type="dxa"/>
          </w:tcPr>
          <w:p w14:paraId="10B741D3" w14:textId="77777777" w:rsidR="005B5F27" w:rsidRDefault="005B5F27" w:rsidP="002D1CA8">
            <w:pPr>
              <w:pStyle w:val="TableText"/>
            </w:pPr>
          </w:p>
        </w:tc>
        <w:tc>
          <w:tcPr>
            <w:tcW w:w="6523" w:type="dxa"/>
            <w:gridSpan w:val="5"/>
          </w:tcPr>
          <w:p w14:paraId="6164E623" w14:textId="77777777" w:rsidR="005B5F27" w:rsidRPr="00012A2B" w:rsidRDefault="005B5F27" w:rsidP="005B5F27">
            <w:pPr>
              <w:pStyle w:val="TableBlock"/>
            </w:pPr>
            <w:r>
              <w:rPr>
                <w:rFonts w:hint="cs"/>
                <w:rtl/>
              </w:rPr>
              <w:t>(3)</w:t>
            </w:r>
            <w:r>
              <w:rPr>
                <w:rtl/>
              </w:rPr>
              <w:tab/>
            </w:r>
            <w:r w:rsidRPr="00012A2B">
              <w:rPr>
                <w:rFonts w:hint="cs"/>
                <w:rtl/>
              </w:rPr>
              <w:t>בעת מסירת העילה לסגירת התיק לפי הוראות פסקה (1) או (2), שעניינה שנסיבות העניין בכללותן אינן מתאימות להעמדה לדין, תימסר העילה בנוסח שבחלק א' בתוספת השביעית.</w:t>
            </w:r>
          </w:p>
        </w:tc>
      </w:tr>
      <w:tr w:rsidR="005B5F27" w14:paraId="0AB07024" w14:textId="77777777" w:rsidTr="005B5F27">
        <w:trPr>
          <w:cantSplit/>
        </w:trPr>
        <w:tc>
          <w:tcPr>
            <w:tcW w:w="1869" w:type="dxa"/>
          </w:tcPr>
          <w:p w14:paraId="303D07E8" w14:textId="77777777" w:rsidR="005B5F27" w:rsidRDefault="005B5F27" w:rsidP="002D1CA8">
            <w:pPr>
              <w:pStyle w:val="TableSideHeading"/>
            </w:pPr>
          </w:p>
        </w:tc>
        <w:tc>
          <w:tcPr>
            <w:tcW w:w="623" w:type="dxa"/>
          </w:tcPr>
          <w:p w14:paraId="306516FD" w14:textId="77777777" w:rsidR="005B5F27" w:rsidRDefault="005B5F27" w:rsidP="002D1CA8">
            <w:pPr>
              <w:pStyle w:val="TableText"/>
            </w:pPr>
          </w:p>
        </w:tc>
        <w:tc>
          <w:tcPr>
            <w:tcW w:w="623" w:type="dxa"/>
          </w:tcPr>
          <w:p w14:paraId="312FBB3B" w14:textId="77777777" w:rsidR="005B5F27" w:rsidRDefault="005B5F27" w:rsidP="002D1CA8">
            <w:pPr>
              <w:pStyle w:val="TableText"/>
            </w:pPr>
          </w:p>
        </w:tc>
        <w:tc>
          <w:tcPr>
            <w:tcW w:w="6523" w:type="dxa"/>
            <w:gridSpan w:val="5"/>
          </w:tcPr>
          <w:p w14:paraId="0F2E9FAD" w14:textId="77777777" w:rsidR="005B5F27" w:rsidRPr="00012A2B" w:rsidRDefault="005B5F27" w:rsidP="005B5F27">
            <w:pPr>
              <w:pStyle w:val="TableBlock"/>
            </w:pPr>
            <w:r w:rsidRPr="00012A2B">
              <w:rPr>
                <w:rFonts w:hint="cs"/>
                <w:rtl/>
              </w:rPr>
              <w:t xml:space="preserve">(4) </w:t>
            </w:r>
            <w:r w:rsidRPr="00012A2B">
              <w:rPr>
                <w:rFonts w:ascii="David" w:hAnsi="David"/>
                <w:rtl/>
              </w:rPr>
              <w:tab/>
              <w:t>החשוד יהיה רשאי לפנות לתובע שסגר את התיק בבקשה מנומקת לשנות את עילת הסגירה; תיק שנסגר בשל חוסר אשמה, יימחק רישומו מרישומי המשטרה.</w:t>
            </w:r>
            <w:r w:rsidRPr="00012A2B">
              <w:rPr>
                <w:rFonts w:hint="cs"/>
                <w:rtl/>
              </w:rPr>
              <w:t>"</w:t>
            </w:r>
          </w:p>
        </w:tc>
      </w:tr>
      <w:tr w:rsidR="005B5F27" w14:paraId="1B9BA68F" w14:textId="77777777" w:rsidTr="005B5F27">
        <w:trPr>
          <w:cantSplit/>
        </w:trPr>
        <w:tc>
          <w:tcPr>
            <w:tcW w:w="1869" w:type="dxa"/>
          </w:tcPr>
          <w:p w14:paraId="2DCAC2B6" w14:textId="77777777" w:rsidR="005B5F27" w:rsidRPr="00286A6B" w:rsidRDefault="005B5F27" w:rsidP="002D1CA8">
            <w:pPr>
              <w:pStyle w:val="TableSideHeading"/>
              <w:outlineLvl w:val="9"/>
              <w:rPr>
                <w:rtl/>
              </w:rPr>
            </w:pPr>
            <w:r w:rsidRPr="00286A6B">
              <w:rPr>
                <w:rFonts w:hint="cs"/>
                <w:rtl/>
              </w:rPr>
              <w:t>החלפת סעיף 63</w:t>
            </w:r>
          </w:p>
        </w:tc>
        <w:tc>
          <w:tcPr>
            <w:tcW w:w="623" w:type="dxa"/>
          </w:tcPr>
          <w:p w14:paraId="569C8B58" w14:textId="77777777" w:rsidR="005B5F27" w:rsidRDefault="005B5F27" w:rsidP="002D1CA8">
            <w:pPr>
              <w:pStyle w:val="TableText"/>
              <w:keepLines w:val="0"/>
              <w:rPr>
                <w:rtl/>
              </w:rPr>
            </w:pPr>
            <w:r>
              <w:rPr>
                <w:rFonts w:hint="cs"/>
                <w:rtl/>
              </w:rPr>
              <w:t>2.</w:t>
            </w:r>
          </w:p>
        </w:tc>
        <w:tc>
          <w:tcPr>
            <w:tcW w:w="7146" w:type="dxa"/>
            <w:gridSpan w:val="6"/>
          </w:tcPr>
          <w:p w14:paraId="4E9A96E5" w14:textId="77777777" w:rsidR="005B5F27" w:rsidRPr="00286A6B" w:rsidRDefault="005B5F27" w:rsidP="005B5F27">
            <w:pPr>
              <w:pStyle w:val="TableBlock"/>
              <w:rPr>
                <w:rtl/>
              </w:rPr>
            </w:pPr>
            <w:r w:rsidRPr="00286A6B">
              <w:rPr>
                <w:rFonts w:hint="cs"/>
                <w:rtl/>
              </w:rPr>
              <w:t xml:space="preserve">במקום סעיף 63 לחוק העיקרי יבוא: </w:t>
            </w:r>
          </w:p>
        </w:tc>
      </w:tr>
      <w:tr w:rsidR="005B5F27" w14:paraId="492588CD" w14:textId="77777777" w:rsidTr="003B24BF">
        <w:trPr>
          <w:cantSplit/>
          <w:trHeight w:val="60"/>
        </w:trPr>
        <w:tc>
          <w:tcPr>
            <w:tcW w:w="1869" w:type="dxa"/>
          </w:tcPr>
          <w:p w14:paraId="3D518DD9" w14:textId="77777777" w:rsidR="005B5F27" w:rsidRDefault="005B5F27" w:rsidP="005B5F27">
            <w:pPr>
              <w:pStyle w:val="TableSideHeading"/>
            </w:pPr>
          </w:p>
        </w:tc>
        <w:tc>
          <w:tcPr>
            <w:tcW w:w="623" w:type="dxa"/>
          </w:tcPr>
          <w:p w14:paraId="7CBB85C3" w14:textId="77777777" w:rsidR="005B5F27" w:rsidRDefault="005B5F27" w:rsidP="005B5F27">
            <w:pPr>
              <w:pStyle w:val="TableText"/>
            </w:pPr>
          </w:p>
        </w:tc>
        <w:tc>
          <w:tcPr>
            <w:tcW w:w="1872" w:type="dxa"/>
            <w:gridSpan w:val="3"/>
          </w:tcPr>
          <w:p w14:paraId="41077211" w14:textId="77777777" w:rsidR="005B5F27" w:rsidRDefault="005B5F27" w:rsidP="005B5F27">
            <w:pPr>
              <w:pStyle w:val="TableText"/>
            </w:pPr>
            <w:r w:rsidRPr="005B5F27">
              <w:rPr>
                <w:rFonts w:hint="cs"/>
                <w:rtl/>
              </w:rPr>
              <w:t>"הודעה על החלטה שלא לחקור או שלא להעמיד לדין</w:t>
            </w:r>
          </w:p>
        </w:tc>
        <w:tc>
          <w:tcPr>
            <w:tcW w:w="625" w:type="dxa"/>
          </w:tcPr>
          <w:p w14:paraId="55AFC320" w14:textId="77777777" w:rsidR="005B5F27" w:rsidRDefault="005B5F27" w:rsidP="005B5F27">
            <w:pPr>
              <w:pStyle w:val="TableText"/>
            </w:pPr>
            <w:r>
              <w:rPr>
                <w:rFonts w:hint="cs"/>
                <w:rtl/>
              </w:rPr>
              <w:t>63.</w:t>
            </w:r>
          </w:p>
        </w:tc>
        <w:tc>
          <w:tcPr>
            <w:tcW w:w="624" w:type="dxa"/>
          </w:tcPr>
          <w:p w14:paraId="52DD915E" w14:textId="77777777" w:rsidR="005B5F27" w:rsidRDefault="005B5F27" w:rsidP="005B5F27">
            <w:pPr>
              <w:pStyle w:val="TableText"/>
            </w:pPr>
            <w:r>
              <w:rPr>
                <w:rFonts w:ascii="David" w:hAnsi="David" w:hint="cs"/>
                <w:rtl/>
              </w:rPr>
              <w:t>(א)</w:t>
            </w:r>
          </w:p>
        </w:tc>
        <w:tc>
          <w:tcPr>
            <w:tcW w:w="4025" w:type="dxa"/>
          </w:tcPr>
          <w:p w14:paraId="191EAED3" w14:textId="77777777" w:rsidR="005B5F27" w:rsidRDefault="005B5F27" w:rsidP="005B5F27">
            <w:pPr>
              <w:pStyle w:val="TableBlock"/>
            </w:pPr>
            <w:r>
              <w:rPr>
                <w:rFonts w:ascii="David" w:hAnsi="David" w:hint="cs"/>
                <w:rtl/>
              </w:rPr>
              <w:t>(1)</w:t>
            </w:r>
            <w:r>
              <w:rPr>
                <w:rFonts w:ascii="David" w:hAnsi="David"/>
                <w:rtl/>
              </w:rPr>
              <w:tab/>
            </w:r>
            <w:r>
              <w:rPr>
                <w:rFonts w:ascii="David" w:hAnsi="David" w:hint="cs"/>
                <w:rtl/>
              </w:rPr>
              <w:t xml:space="preserve">על </w:t>
            </w:r>
            <w:r w:rsidRPr="00986101">
              <w:rPr>
                <w:rFonts w:ascii="David" w:hAnsi="David" w:hint="cs"/>
                <w:rtl/>
              </w:rPr>
              <w:t xml:space="preserve">החלטה שלא לחקור תימסר למתלונן הודעה בכתב בציון </w:t>
            </w:r>
            <w:r>
              <w:rPr>
                <w:rFonts w:ascii="David" w:hAnsi="David" w:hint="cs"/>
                <w:rtl/>
              </w:rPr>
              <w:t>עילת סגירת התיק.</w:t>
            </w:r>
          </w:p>
        </w:tc>
      </w:tr>
      <w:tr w:rsidR="005B5F27" w14:paraId="3C2A9511" w14:textId="77777777" w:rsidTr="005B5F27">
        <w:trPr>
          <w:cantSplit/>
        </w:trPr>
        <w:tc>
          <w:tcPr>
            <w:tcW w:w="1869" w:type="dxa"/>
          </w:tcPr>
          <w:p w14:paraId="3FFE0A7F" w14:textId="77777777" w:rsidR="005B5F27" w:rsidRDefault="005B5F27" w:rsidP="005B5F27">
            <w:pPr>
              <w:pStyle w:val="TableSideHeading"/>
            </w:pPr>
          </w:p>
        </w:tc>
        <w:tc>
          <w:tcPr>
            <w:tcW w:w="623" w:type="dxa"/>
          </w:tcPr>
          <w:p w14:paraId="0FE584CE" w14:textId="77777777" w:rsidR="005B5F27" w:rsidRDefault="005B5F27" w:rsidP="005B5F27">
            <w:pPr>
              <w:pStyle w:val="TableText"/>
            </w:pPr>
          </w:p>
        </w:tc>
        <w:tc>
          <w:tcPr>
            <w:tcW w:w="623" w:type="dxa"/>
          </w:tcPr>
          <w:p w14:paraId="73247E11" w14:textId="77777777" w:rsidR="005B5F27" w:rsidRDefault="005B5F27" w:rsidP="005B5F27">
            <w:pPr>
              <w:pStyle w:val="TableText"/>
            </w:pPr>
          </w:p>
        </w:tc>
        <w:tc>
          <w:tcPr>
            <w:tcW w:w="625" w:type="dxa"/>
          </w:tcPr>
          <w:p w14:paraId="5A054AF5" w14:textId="77777777" w:rsidR="005B5F27" w:rsidRDefault="005B5F27" w:rsidP="005B5F27">
            <w:pPr>
              <w:pStyle w:val="TableText"/>
            </w:pPr>
          </w:p>
        </w:tc>
        <w:tc>
          <w:tcPr>
            <w:tcW w:w="624" w:type="dxa"/>
          </w:tcPr>
          <w:p w14:paraId="181991B7" w14:textId="77777777" w:rsidR="005B5F27" w:rsidRDefault="005B5F27" w:rsidP="005B5F27">
            <w:pPr>
              <w:pStyle w:val="TableText"/>
            </w:pPr>
          </w:p>
        </w:tc>
        <w:tc>
          <w:tcPr>
            <w:tcW w:w="625" w:type="dxa"/>
          </w:tcPr>
          <w:p w14:paraId="27F7E4DC" w14:textId="77777777" w:rsidR="005B5F27" w:rsidRPr="00362451" w:rsidRDefault="005B5F27" w:rsidP="005B5F27">
            <w:pPr>
              <w:pStyle w:val="TableText"/>
            </w:pPr>
          </w:p>
        </w:tc>
        <w:tc>
          <w:tcPr>
            <w:tcW w:w="624" w:type="dxa"/>
          </w:tcPr>
          <w:p w14:paraId="6C139B6B" w14:textId="77777777" w:rsidR="005B5F27" w:rsidRPr="00362451" w:rsidRDefault="005B5F27" w:rsidP="005B5F27">
            <w:pPr>
              <w:pStyle w:val="TableText"/>
            </w:pPr>
          </w:p>
        </w:tc>
        <w:tc>
          <w:tcPr>
            <w:tcW w:w="4025" w:type="dxa"/>
          </w:tcPr>
          <w:p w14:paraId="473E4D5C" w14:textId="77777777" w:rsidR="005B5F27" w:rsidRDefault="005B5F27" w:rsidP="005B5F27">
            <w:pPr>
              <w:pStyle w:val="TableBlock"/>
            </w:pPr>
            <w:r>
              <w:rPr>
                <w:rFonts w:ascii="David" w:hAnsi="David" w:hint="cs"/>
                <w:rtl/>
              </w:rPr>
              <w:t>(2)</w:t>
            </w:r>
            <w:r>
              <w:rPr>
                <w:rFonts w:ascii="David" w:hAnsi="David"/>
                <w:rtl/>
              </w:rPr>
              <w:tab/>
            </w:r>
            <w:r w:rsidRPr="00986101">
              <w:rPr>
                <w:rFonts w:ascii="David" w:hAnsi="David" w:hint="cs"/>
                <w:rtl/>
              </w:rPr>
              <w:t xml:space="preserve">על החלטה שלא להעמיד לדין תימסר למתלונן הודעה בכתב ללא ציון </w:t>
            </w:r>
            <w:r>
              <w:rPr>
                <w:rFonts w:ascii="David" w:hAnsi="David" w:hint="cs"/>
                <w:rtl/>
              </w:rPr>
              <w:t xml:space="preserve">עילת סגירת התיק, אולם </w:t>
            </w:r>
            <w:r w:rsidRPr="00986101">
              <w:rPr>
                <w:rFonts w:ascii="David" w:hAnsi="David" w:hint="cs"/>
                <w:rtl/>
              </w:rPr>
              <w:t xml:space="preserve">יצוין </w:t>
            </w:r>
            <w:r>
              <w:rPr>
                <w:rFonts w:ascii="David" w:hAnsi="David" w:hint="cs"/>
                <w:rtl/>
              </w:rPr>
              <w:t xml:space="preserve">בה </w:t>
            </w:r>
            <w:r w:rsidRPr="00986101">
              <w:rPr>
                <w:rFonts w:ascii="David" w:hAnsi="David"/>
                <w:rtl/>
              </w:rPr>
              <w:t xml:space="preserve">כי המתלונן רשאי </w:t>
            </w:r>
            <w:r w:rsidRPr="00986101">
              <w:rPr>
                <w:rFonts w:ascii="David" w:hAnsi="David" w:hint="cs"/>
                <w:rtl/>
              </w:rPr>
              <w:t xml:space="preserve">לברר את </w:t>
            </w:r>
            <w:r>
              <w:rPr>
                <w:rFonts w:ascii="David" w:hAnsi="David" w:hint="cs"/>
                <w:rtl/>
              </w:rPr>
              <w:t>העילה כאמור</w:t>
            </w:r>
            <w:r w:rsidRPr="00986101">
              <w:rPr>
                <w:rFonts w:ascii="David" w:hAnsi="David" w:hint="cs"/>
                <w:rtl/>
              </w:rPr>
              <w:t xml:space="preserve"> באמצעות הגעה לכל תחנת משטרה וכן באחת הדרכים שנקבעו על ידי המשטרה ושפורטו בהודעה; במקרים חריגים</w:t>
            </w:r>
            <w:r>
              <w:rPr>
                <w:rFonts w:ascii="David" w:hAnsi="David" w:hint="cs"/>
                <w:rtl/>
              </w:rPr>
              <w:t>,</w:t>
            </w:r>
            <w:r w:rsidRPr="00986101">
              <w:rPr>
                <w:rFonts w:ascii="David" w:hAnsi="David" w:hint="cs"/>
                <w:rtl/>
              </w:rPr>
              <w:t xml:space="preserve"> </w:t>
            </w:r>
            <w:r>
              <w:rPr>
                <w:rFonts w:ascii="David" w:hAnsi="David" w:hint="cs"/>
                <w:rtl/>
              </w:rPr>
              <w:t>ש</w:t>
            </w:r>
            <w:r w:rsidRPr="00986101">
              <w:rPr>
                <w:rFonts w:ascii="David" w:hAnsi="David" w:hint="cs"/>
                <w:rtl/>
              </w:rPr>
              <w:t xml:space="preserve">בהם לא ניתן לקבל את </w:t>
            </w:r>
            <w:r>
              <w:rPr>
                <w:rFonts w:ascii="David" w:hAnsi="David" w:hint="cs"/>
                <w:rtl/>
              </w:rPr>
              <w:t>העילה לסגירת התיק כאמור</w:t>
            </w:r>
            <w:r w:rsidRPr="00986101">
              <w:rPr>
                <w:rFonts w:ascii="David" w:hAnsi="David" w:hint="cs"/>
                <w:rtl/>
              </w:rPr>
              <w:t xml:space="preserve"> בכל תחנ</w:t>
            </w:r>
            <w:r>
              <w:rPr>
                <w:rFonts w:ascii="David" w:hAnsi="David" w:hint="cs"/>
                <w:rtl/>
              </w:rPr>
              <w:t>ת משטרה</w:t>
            </w:r>
            <w:r w:rsidRPr="00986101">
              <w:rPr>
                <w:rFonts w:ascii="David" w:hAnsi="David" w:hint="cs"/>
                <w:rtl/>
              </w:rPr>
              <w:t>,</w:t>
            </w:r>
            <w:r>
              <w:rPr>
                <w:rFonts w:ascii="David" w:hAnsi="David" w:hint="cs"/>
                <w:rtl/>
              </w:rPr>
              <w:t xml:space="preserve"> המתלונן יהיה רשאי לברר אותה באחת הדרכים שפורטו בהודעה בלבד.</w:t>
            </w:r>
          </w:p>
        </w:tc>
      </w:tr>
      <w:tr w:rsidR="005B5F27" w14:paraId="097675EB" w14:textId="77777777" w:rsidTr="005B5F27">
        <w:trPr>
          <w:cantSplit/>
        </w:trPr>
        <w:tc>
          <w:tcPr>
            <w:tcW w:w="1869" w:type="dxa"/>
          </w:tcPr>
          <w:p w14:paraId="48A5946D" w14:textId="77777777" w:rsidR="005B5F27" w:rsidRDefault="005B5F27" w:rsidP="005B5F27">
            <w:pPr>
              <w:pStyle w:val="TableSideHeading"/>
            </w:pPr>
          </w:p>
        </w:tc>
        <w:tc>
          <w:tcPr>
            <w:tcW w:w="623" w:type="dxa"/>
          </w:tcPr>
          <w:p w14:paraId="133BFEFB" w14:textId="77777777" w:rsidR="005B5F27" w:rsidRDefault="005B5F27" w:rsidP="005B5F27">
            <w:pPr>
              <w:pStyle w:val="TableText"/>
            </w:pPr>
          </w:p>
        </w:tc>
        <w:tc>
          <w:tcPr>
            <w:tcW w:w="623" w:type="dxa"/>
          </w:tcPr>
          <w:p w14:paraId="7FB18D71" w14:textId="77777777" w:rsidR="005B5F27" w:rsidRDefault="005B5F27" w:rsidP="005B5F27">
            <w:pPr>
              <w:pStyle w:val="TableText"/>
            </w:pPr>
          </w:p>
        </w:tc>
        <w:tc>
          <w:tcPr>
            <w:tcW w:w="625" w:type="dxa"/>
          </w:tcPr>
          <w:p w14:paraId="598C12F9" w14:textId="77777777" w:rsidR="005B5F27" w:rsidRDefault="005B5F27" w:rsidP="005B5F27">
            <w:pPr>
              <w:pStyle w:val="TableText"/>
            </w:pPr>
          </w:p>
        </w:tc>
        <w:tc>
          <w:tcPr>
            <w:tcW w:w="624" w:type="dxa"/>
          </w:tcPr>
          <w:p w14:paraId="6DC0BC16" w14:textId="77777777" w:rsidR="005B5F27" w:rsidRDefault="005B5F27" w:rsidP="005B5F27">
            <w:pPr>
              <w:pStyle w:val="TableText"/>
            </w:pPr>
          </w:p>
        </w:tc>
        <w:tc>
          <w:tcPr>
            <w:tcW w:w="625" w:type="dxa"/>
          </w:tcPr>
          <w:p w14:paraId="15FC8BD6" w14:textId="77777777" w:rsidR="005B5F27" w:rsidRPr="00362451" w:rsidRDefault="005B5F27" w:rsidP="005B5F27">
            <w:pPr>
              <w:pStyle w:val="TableText"/>
            </w:pPr>
          </w:p>
        </w:tc>
        <w:tc>
          <w:tcPr>
            <w:tcW w:w="4649" w:type="dxa"/>
            <w:gridSpan w:val="2"/>
          </w:tcPr>
          <w:p w14:paraId="148D3D54" w14:textId="77777777" w:rsidR="005B5F27" w:rsidRPr="00362451" w:rsidRDefault="005B5F27" w:rsidP="005B5F27">
            <w:pPr>
              <w:pStyle w:val="TableBlock"/>
            </w:pPr>
            <w:r w:rsidRPr="00362451">
              <w:rPr>
                <w:rFonts w:hint="cs"/>
                <w:rtl/>
              </w:rPr>
              <w:t xml:space="preserve">(ב) </w:t>
            </w:r>
            <w:r w:rsidRPr="00362451">
              <w:rPr>
                <w:rtl/>
              </w:rPr>
              <w:tab/>
            </w:r>
            <w:r w:rsidRPr="00362451">
              <w:rPr>
                <w:rFonts w:hint="cs"/>
                <w:rtl/>
              </w:rPr>
              <w:t xml:space="preserve">על אף האמור בסעיף קטן (א)(2), לעניין </w:t>
            </w:r>
            <w:r w:rsidRPr="00362451">
              <w:rPr>
                <w:rtl/>
              </w:rPr>
              <w:t xml:space="preserve">עבירת מין או אלימות כהגדרתה בחוק זכויות נפגעי עבירה, </w:t>
            </w:r>
            <w:proofErr w:type="spellStart"/>
            <w:r w:rsidRPr="00362451">
              <w:rPr>
                <w:rtl/>
              </w:rPr>
              <w:t>התשס"א</w:t>
            </w:r>
            <w:proofErr w:type="spellEnd"/>
            <w:r w:rsidRPr="00362451">
              <w:rPr>
                <w:rFonts w:hint="cs"/>
                <w:rtl/>
              </w:rPr>
              <w:t>–</w:t>
            </w:r>
            <w:r w:rsidRPr="00362451">
              <w:rPr>
                <w:rtl/>
              </w:rPr>
              <w:t xml:space="preserve">2001, </w:t>
            </w:r>
            <w:r w:rsidRPr="00362451">
              <w:rPr>
                <w:rFonts w:hint="cs"/>
                <w:rtl/>
              </w:rPr>
              <w:t>תימסר למתלונן הודעה בכתב על החלטה שלא להעמיד לדין בציון</w:t>
            </w:r>
            <w:r w:rsidRPr="00362451">
              <w:rPr>
                <w:rtl/>
              </w:rPr>
              <w:t xml:space="preserve"> </w:t>
            </w:r>
            <w:r w:rsidRPr="00362451">
              <w:rPr>
                <w:rFonts w:hint="cs"/>
                <w:rtl/>
              </w:rPr>
              <w:t>עילת סגירת התיק</w:t>
            </w:r>
            <w:r w:rsidRPr="00362451">
              <w:rPr>
                <w:rtl/>
              </w:rPr>
              <w:t>.</w:t>
            </w:r>
          </w:p>
        </w:tc>
      </w:tr>
      <w:tr w:rsidR="005B5F27" w14:paraId="45046848" w14:textId="77777777" w:rsidTr="005B5F27">
        <w:trPr>
          <w:cantSplit/>
        </w:trPr>
        <w:tc>
          <w:tcPr>
            <w:tcW w:w="1869" w:type="dxa"/>
          </w:tcPr>
          <w:p w14:paraId="209666E7" w14:textId="77777777" w:rsidR="005B5F27" w:rsidRDefault="005B5F27" w:rsidP="005B5F27">
            <w:pPr>
              <w:pStyle w:val="TableSideHeading"/>
            </w:pPr>
          </w:p>
        </w:tc>
        <w:tc>
          <w:tcPr>
            <w:tcW w:w="623" w:type="dxa"/>
          </w:tcPr>
          <w:p w14:paraId="44F67E0A" w14:textId="77777777" w:rsidR="005B5F27" w:rsidRDefault="005B5F27" w:rsidP="005B5F27">
            <w:pPr>
              <w:pStyle w:val="TableText"/>
            </w:pPr>
          </w:p>
        </w:tc>
        <w:tc>
          <w:tcPr>
            <w:tcW w:w="623" w:type="dxa"/>
          </w:tcPr>
          <w:p w14:paraId="3F4E2278" w14:textId="77777777" w:rsidR="005B5F27" w:rsidRDefault="005B5F27" w:rsidP="005B5F27">
            <w:pPr>
              <w:pStyle w:val="TableText"/>
            </w:pPr>
          </w:p>
        </w:tc>
        <w:tc>
          <w:tcPr>
            <w:tcW w:w="625" w:type="dxa"/>
          </w:tcPr>
          <w:p w14:paraId="338D3175" w14:textId="77777777" w:rsidR="005B5F27" w:rsidRDefault="005B5F27" w:rsidP="005B5F27">
            <w:pPr>
              <w:pStyle w:val="TableText"/>
            </w:pPr>
          </w:p>
        </w:tc>
        <w:tc>
          <w:tcPr>
            <w:tcW w:w="624" w:type="dxa"/>
          </w:tcPr>
          <w:p w14:paraId="4AAF2381" w14:textId="77777777" w:rsidR="005B5F27" w:rsidRDefault="005B5F27" w:rsidP="005B5F27">
            <w:pPr>
              <w:pStyle w:val="TableText"/>
            </w:pPr>
          </w:p>
        </w:tc>
        <w:tc>
          <w:tcPr>
            <w:tcW w:w="625" w:type="dxa"/>
          </w:tcPr>
          <w:p w14:paraId="3BF1E913" w14:textId="77777777" w:rsidR="005B5F27" w:rsidRPr="00362451" w:rsidRDefault="005B5F27" w:rsidP="005B5F27">
            <w:pPr>
              <w:pStyle w:val="TableText"/>
            </w:pPr>
          </w:p>
        </w:tc>
        <w:tc>
          <w:tcPr>
            <w:tcW w:w="4649" w:type="dxa"/>
            <w:gridSpan w:val="2"/>
          </w:tcPr>
          <w:p w14:paraId="4A87563E" w14:textId="77777777" w:rsidR="005B5F27" w:rsidRPr="00012A2B" w:rsidRDefault="005B5F27" w:rsidP="005B5F27">
            <w:pPr>
              <w:pStyle w:val="TableBlock"/>
            </w:pPr>
            <w:r w:rsidRPr="00362451">
              <w:rPr>
                <w:rFonts w:hint="cs"/>
                <w:rtl/>
              </w:rPr>
              <w:t xml:space="preserve">(ג) </w:t>
            </w:r>
            <w:r w:rsidRPr="00362451">
              <w:rPr>
                <w:rtl/>
              </w:rPr>
              <w:tab/>
            </w:r>
            <w:r w:rsidRPr="00012A2B">
              <w:rPr>
                <w:rStyle w:val="default"/>
                <w:rFonts w:ascii="David" w:hAnsi="David" w:hint="cs"/>
                <w:color w:val="000000"/>
                <w:rtl/>
                <w:lang w:eastAsia="ja-JP"/>
              </w:rPr>
              <w:t>בעת מסירת העילה לסגירת התיק לפי הוראות סעיף קטן (א) או (ב), שעניינה שנסיבות העניין בכללותן אינן מתאימות לפתיחה בחקירה או להעמדה לדין, תימסר העילה לפי הנוסח שבחלק ב' בתוספת השביעית, לפי העניין."</w:t>
            </w:r>
          </w:p>
        </w:tc>
      </w:tr>
      <w:tr w:rsidR="005B5F27" w14:paraId="7A3E7DD9" w14:textId="77777777" w:rsidTr="005B5F27">
        <w:trPr>
          <w:cantSplit/>
        </w:trPr>
        <w:tc>
          <w:tcPr>
            <w:tcW w:w="1869" w:type="dxa"/>
          </w:tcPr>
          <w:p w14:paraId="5521713D" w14:textId="77777777" w:rsidR="005B5F27" w:rsidRDefault="005B5F27" w:rsidP="005B5F27">
            <w:pPr>
              <w:pStyle w:val="TableSideHeading"/>
              <w:keepLines w:val="0"/>
              <w:rPr>
                <w:rtl/>
              </w:rPr>
            </w:pPr>
            <w:r>
              <w:rPr>
                <w:rFonts w:hint="cs"/>
                <w:rtl/>
              </w:rPr>
              <w:t>תיקון סעיף 65</w:t>
            </w:r>
          </w:p>
        </w:tc>
        <w:tc>
          <w:tcPr>
            <w:tcW w:w="623" w:type="dxa"/>
          </w:tcPr>
          <w:p w14:paraId="7F021E41" w14:textId="77777777" w:rsidR="005B5F27" w:rsidRDefault="005B5F27" w:rsidP="005B5F27">
            <w:pPr>
              <w:pStyle w:val="TableText"/>
              <w:keepLines w:val="0"/>
              <w:rPr>
                <w:rtl/>
              </w:rPr>
            </w:pPr>
            <w:r>
              <w:rPr>
                <w:rFonts w:hint="cs"/>
                <w:rtl/>
              </w:rPr>
              <w:t>3.</w:t>
            </w:r>
          </w:p>
        </w:tc>
        <w:tc>
          <w:tcPr>
            <w:tcW w:w="7146" w:type="dxa"/>
            <w:gridSpan w:val="6"/>
          </w:tcPr>
          <w:p w14:paraId="0F4F8F70" w14:textId="77777777" w:rsidR="005B5F27" w:rsidRDefault="005B5F27" w:rsidP="005B5F27">
            <w:pPr>
              <w:pStyle w:val="TableBlock"/>
              <w:rPr>
                <w:rtl/>
              </w:rPr>
            </w:pPr>
            <w:r>
              <w:rPr>
                <w:rFonts w:hint="cs"/>
                <w:rtl/>
              </w:rPr>
              <w:t>בסעיף 65 לחוק העיקרי, במקום "תוך שלושים ימים" יבוא  "בתוך שישים ימים".</w:t>
            </w:r>
          </w:p>
        </w:tc>
      </w:tr>
      <w:tr w:rsidR="005B5F27" w14:paraId="65F8AE17" w14:textId="77777777" w:rsidTr="005B5F27">
        <w:trPr>
          <w:cantSplit/>
        </w:trPr>
        <w:tc>
          <w:tcPr>
            <w:tcW w:w="1869" w:type="dxa"/>
          </w:tcPr>
          <w:p w14:paraId="4A6ED695" w14:textId="77777777" w:rsidR="005B5F27" w:rsidRDefault="005B5F27" w:rsidP="005B5F27">
            <w:pPr>
              <w:pStyle w:val="TableSideHeading"/>
              <w:keepLines w:val="0"/>
              <w:rPr>
                <w:rtl/>
              </w:rPr>
            </w:pPr>
            <w:r>
              <w:rPr>
                <w:rFonts w:hint="cs"/>
                <w:rtl/>
              </w:rPr>
              <w:t>תחילה</w:t>
            </w:r>
          </w:p>
        </w:tc>
        <w:tc>
          <w:tcPr>
            <w:tcW w:w="623" w:type="dxa"/>
          </w:tcPr>
          <w:p w14:paraId="192AE993" w14:textId="77777777" w:rsidR="005B5F27" w:rsidRDefault="005B5F27" w:rsidP="005B5F27">
            <w:pPr>
              <w:pStyle w:val="TableText"/>
              <w:keepLines w:val="0"/>
              <w:rPr>
                <w:rtl/>
              </w:rPr>
            </w:pPr>
            <w:r>
              <w:rPr>
                <w:rFonts w:hint="cs"/>
                <w:rtl/>
              </w:rPr>
              <w:t>4.</w:t>
            </w:r>
          </w:p>
        </w:tc>
        <w:tc>
          <w:tcPr>
            <w:tcW w:w="7146" w:type="dxa"/>
            <w:gridSpan w:val="6"/>
          </w:tcPr>
          <w:p w14:paraId="1E4F5EE8" w14:textId="77777777" w:rsidR="005B5F27" w:rsidRDefault="005B5F27" w:rsidP="005B5F27">
            <w:pPr>
              <w:pStyle w:val="TableBlock"/>
              <w:rPr>
                <w:rtl/>
              </w:rPr>
            </w:pPr>
            <w:r>
              <w:rPr>
                <w:rFonts w:hint="cs"/>
                <w:rtl/>
              </w:rPr>
              <w:t xml:space="preserve">תחילתו של חוק זה ביום כ"ד בטבת </w:t>
            </w:r>
            <w:proofErr w:type="spellStart"/>
            <w:r>
              <w:rPr>
                <w:rFonts w:hint="cs"/>
                <w:rtl/>
              </w:rPr>
              <w:t>התשע"ט</w:t>
            </w:r>
            <w:proofErr w:type="spellEnd"/>
            <w:r>
              <w:rPr>
                <w:rFonts w:hint="cs"/>
                <w:rtl/>
              </w:rPr>
              <w:t xml:space="preserve"> (1 בינואר 2019).</w:t>
            </w:r>
          </w:p>
        </w:tc>
      </w:tr>
    </w:tbl>
    <w:p w14:paraId="103B90F5"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6D5BABA2" w14:textId="77777777" w:rsidTr="00D114CA">
        <w:tc>
          <w:tcPr>
            <w:tcW w:w="2409" w:type="dxa"/>
            <w:shd w:val="clear" w:color="auto" w:fill="auto"/>
          </w:tcPr>
          <w:p w14:paraId="5834D05C" w14:textId="77777777" w:rsidR="008525E2" w:rsidRPr="00D466D4" w:rsidRDefault="008525E2" w:rsidP="006F3CC7">
            <w:pPr>
              <w:jc w:val="center"/>
              <w:rPr>
                <w:sz w:val="26"/>
                <w:szCs w:val="26"/>
                <w:rtl/>
              </w:rPr>
            </w:pPr>
          </w:p>
        </w:tc>
        <w:tc>
          <w:tcPr>
            <w:tcW w:w="2410" w:type="dxa"/>
            <w:shd w:val="clear" w:color="auto" w:fill="auto"/>
          </w:tcPr>
          <w:p w14:paraId="7D2A2C97" w14:textId="77777777" w:rsidR="008525E2" w:rsidRPr="00D466D4" w:rsidRDefault="00220CAF" w:rsidP="006F3CC7">
            <w:pPr>
              <w:jc w:val="center"/>
              <w:rPr>
                <w:sz w:val="26"/>
                <w:szCs w:val="26"/>
                <w:rtl/>
              </w:rPr>
            </w:pPr>
            <w:bookmarkStart w:id="7" w:name="PrimeMinistryName"/>
            <w:r>
              <w:rPr>
                <w:rFonts w:hint="cs"/>
                <w:sz w:val="26"/>
                <w:szCs w:val="26"/>
                <w:rtl/>
              </w:rPr>
              <w:t>בנימין נתניהו</w:t>
            </w:r>
            <w:bookmarkEnd w:id="7"/>
          </w:p>
          <w:p w14:paraId="55FD8E85" w14:textId="77777777" w:rsidR="008525E2" w:rsidRPr="00D466D4" w:rsidRDefault="008525E2" w:rsidP="006F3CC7">
            <w:pPr>
              <w:jc w:val="center"/>
              <w:rPr>
                <w:sz w:val="26"/>
                <w:szCs w:val="26"/>
                <w:rtl/>
              </w:rPr>
            </w:pPr>
            <w:r w:rsidRPr="00D466D4">
              <w:rPr>
                <w:rFonts w:hint="cs"/>
                <w:sz w:val="26"/>
                <w:szCs w:val="26"/>
                <w:rtl/>
              </w:rPr>
              <w:t>ראש הממשלה</w:t>
            </w:r>
          </w:p>
        </w:tc>
        <w:tc>
          <w:tcPr>
            <w:tcW w:w="2410" w:type="dxa"/>
            <w:shd w:val="clear" w:color="auto" w:fill="auto"/>
          </w:tcPr>
          <w:p w14:paraId="7B517348" w14:textId="77777777" w:rsidR="008525E2" w:rsidRPr="00D466D4" w:rsidRDefault="008525E2" w:rsidP="006F3CC7">
            <w:pPr>
              <w:jc w:val="center"/>
              <w:rPr>
                <w:sz w:val="26"/>
                <w:szCs w:val="26"/>
                <w:rtl/>
              </w:rPr>
            </w:pPr>
          </w:p>
        </w:tc>
        <w:tc>
          <w:tcPr>
            <w:tcW w:w="2410" w:type="dxa"/>
            <w:shd w:val="clear" w:color="auto" w:fill="auto"/>
          </w:tcPr>
          <w:p w14:paraId="7EC091BB" w14:textId="77777777" w:rsidR="008525E2" w:rsidRPr="00D466D4" w:rsidRDefault="005B5F27" w:rsidP="006F3CC7">
            <w:pPr>
              <w:jc w:val="center"/>
              <w:rPr>
                <w:sz w:val="26"/>
                <w:szCs w:val="26"/>
                <w:rtl/>
              </w:rPr>
            </w:pPr>
            <w:r>
              <w:rPr>
                <w:rFonts w:hint="cs"/>
                <w:sz w:val="26"/>
                <w:szCs w:val="26"/>
                <w:rtl/>
              </w:rPr>
              <w:t>איילת שקד</w:t>
            </w:r>
          </w:p>
          <w:p w14:paraId="3CA3A773" w14:textId="77777777" w:rsidR="008525E2" w:rsidRPr="00D466D4" w:rsidRDefault="008525E2" w:rsidP="006F3CC7">
            <w:pPr>
              <w:jc w:val="center"/>
              <w:rPr>
                <w:sz w:val="26"/>
                <w:szCs w:val="26"/>
                <w:rtl/>
              </w:rPr>
            </w:pPr>
            <w:r w:rsidRPr="00D466D4">
              <w:rPr>
                <w:rFonts w:hint="cs"/>
                <w:sz w:val="26"/>
                <w:szCs w:val="26"/>
                <w:rtl/>
              </w:rPr>
              <w:t>שר</w:t>
            </w:r>
            <w:r w:rsidR="005B5F27">
              <w:rPr>
                <w:rFonts w:hint="cs"/>
                <w:sz w:val="26"/>
                <w:szCs w:val="26"/>
                <w:rtl/>
              </w:rPr>
              <w:t>ת המשפטים</w:t>
            </w:r>
          </w:p>
        </w:tc>
      </w:tr>
      <w:tr w:rsidR="008525E2" w:rsidRPr="00D466D4" w14:paraId="3E2FF715" w14:textId="77777777" w:rsidTr="00D114CA">
        <w:tc>
          <w:tcPr>
            <w:tcW w:w="2409" w:type="dxa"/>
            <w:shd w:val="clear" w:color="auto" w:fill="auto"/>
          </w:tcPr>
          <w:p w14:paraId="70D46347" w14:textId="77777777" w:rsidR="008525E2" w:rsidRPr="00D466D4" w:rsidRDefault="008525E2" w:rsidP="006F3CC7">
            <w:pPr>
              <w:jc w:val="center"/>
              <w:rPr>
                <w:sz w:val="26"/>
                <w:szCs w:val="26"/>
                <w:rtl/>
              </w:rPr>
            </w:pPr>
          </w:p>
          <w:p w14:paraId="1EF19DB2" w14:textId="77777777" w:rsidR="008525E2" w:rsidRPr="00D466D4" w:rsidRDefault="008525E2" w:rsidP="006F3CC7">
            <w:pPr>
              <w:jc w:val="center"/>
              <w:rPr>
                <w:sz w:val="26"/>
                <w:szCs w:val="26"/>
                <w:rtl/>
              </w:rPr>
            </w:pPr>
          </w:p>
        </w:tc>
        <w:tc>
          <w:tcPr>
            <w:tcW w:w="2410" w:type="dxa"/>
            <w:shd w:val="clear" w:color="auto" w:fill="auto"/>
          </w:tcPr>
          <w:p w14:paraId="363B75BB" w14:textId="77777777" w:rsidR="008525E2" w:rsidRPr="00D466D4" w:rsidRDefault="008525E2" w:rsidP="006F3CC7">
            <w:pPr>
              <w:jc w:val="center"/>
              <w:rPr>
                <w:sz w:val="26"/>
                <w:szCs w:val="26"/>
                <w:rtl/>
              </w:rPr>
            </w:pPr>
          </w:p>
        </w:tc>
        <w:tc>
          <w:tcPr>
            <w:tcW w:w="2410" w:type="dxa"/>
            <w:shd w:val="clear" w:color="auto" w:fill="auto"/>
          </w:tcPr>
          <w:p w14:paraId="22204606" w14:textId="77777777" w:rsidR="008525E2" w:rsidRPr="00D466D4" w:rsidRDefault="008525E2" w:rsidP="006F3CC7">
            <w:pPr>
              <w:jc w:val="center"/>
              <w:rPr>
                <w:sz w:val="26"/>
                <w:szCs w:val="26"/>
                <w:rtl/>
              </w:rPr>
            </w:pPr>
          </w:p>
        </w:tc>
        <w:tc>
          <w:tcPr>
            <w:tcW w:w="2410" w:type="dxa"/>
            <w:shd w:val="clear" w:color="auto" w:fill="auto"/>
          </w:tcPr>
          <w:p w14:paraId="4B2B2BC5" w14:textId="77777777" w:rsidR="008525E2" w:rsidRPr="00D466D4" w:rsidRDefault="008525E2" w:rsidP="006F3CC7">
            <w:pPr>
              <w:jc w:val="center"/>
              <w:rPr>
                <w:sz w:val="26"/>
                <w:szCs w:val="26"/>
                <w:rtl/>
              </w:rPr>
            </w:pPr>
          </w:p>
          <w:p w14:paraId="523B0B5E" w14:textId="77777777" w:rsidR="008525E2" w:rsidRPr="00D466D4" w:rsidRDefault="008525E2" w:rsidP="006F3CC7">
            <w:pPr>
              <w:jc w:val="center"/>
              <w:rPr>
                <w:sz w:val="26"/>
                <w:szCs w:val="26"/>
                <w:rtl/>
              </w:rPr>
            </w:pPr>
          </w:p>
        </w:tc>
      </w:tr>
      <w:tr w:rsidR="008525E2" w:rsidRPr="00D466D4" w14:paraId="6CBBCEDA" w14:textId="77777777" w:rsidTr="00D114CA">
        <w:tc>
          <w:tcPr>
            <w:tcW w:w="2409" w:type="dxa"/>
            <w:shd w:val="clear" w:color="auto" w:fill="auto"/>
          </w:tcPr>
          <w:p w14:paraId="5126A39D" w14:textId="77777777" w:rsidR="008525E2" w:rsidRPr="00D466D4" w:rsidRDefault="008525E2" w:rsidP="006F3CC7">
            <w:pPr>
              <w:jc w:val="center"/>
              <w:rPr>
                <w:sz w:val="26"/>
                <w:szCs w:val="26"/>
                <w:rtl/>
              </w:rPr>
            </w:pPr>
            <w:r w:rsidRPr="003710E7">
              <w:rPr>
                <w:rFonts w:hint="cs"/>
                <w:sz w:val="26"/>
                <w:szCs w:val="26"/>
                <w:rtl/>
              </w:rPr>
              <w:t>ראובן ריבלין</w:t>
            </w:r>
          </w:p>
          <w:p w14:paraId="525FA6B6" w14:textId="77777777" w:rsidR="008525E2" w:rsidRPr="00D466D4" w:rsidRDefault="008525E2" w:rsidP="006F3CC7">
            <w:pPr>
              <w:jc w:val="center"/>
              <w:rPr>
                <w:sz w:val="26"/>
                <w:szCs w:val="26"/>
                <w:rtl/>
              </w:rPr>
            </w:pPr>
            <w:r w:rsidRPr="00D466D4">
              <w:rPr>
                <w:rFonts w:hint="cs"/>
                <w:sz w:val="26"/>
                <w:szCs w:val="26"/>
                <w:rtl/>
              </w:rPr>
              <w:t>נשיא המדינה</w:t>
            </w:r>
          </w:p>
        </w:tc>
        <w:tc>
          <w:tcPr>
            <w:tcW w:w="2410" w:type="dxa"/>
            <w:shd w:val="clear" w:color="auto" w:fill="auto"/>
          </w:tcPr>
          <w:p w14:paraId="3A8B6471" w14:textId="77777777" w:rsidR="008525E2" w:rsidRPr="00D466D4" w:rsidRDefault="008525E2" w:rsidP="006F3CC7">
            <w:pPr>
              <w:jc w:val="center"/>
              <w:rPr>
                <w:sz w:val="26"/>
                <w:szCs w:val="26"/>
                <w:rtl/>
              </w:rPr>
            </w:pPr>
          </w:p>
        </w:tc>
        <w:tc>
          <w:tcPr>
            <w:tcW w:w="2410" w:type="dxa"/>
            <w:shd w:val="clear" w:color="auto" w:fill="auto"/>
          </w:tcPr>
          <w:p w14:paraId="1099121A" w14:textId="77777777" w:rsidR="008525E2" w:rsidRPr="00D466D4" w:rsidRDefault="00220CAF" w:rsidP="006F3CC7">
            <w:pPr>
              <w:jc w:val="center"/>
              <w:rPr>
                <w:sz w:val="26"/>
                <w:szCs w:val="26"/>
                <w:rtl/>
              </w:rPr>
            </w:pPr>
            <w:bookmarkStart w:id="8" w:name="HeadKnessetName"/>
            <w:r>
              <w:rPr>
                <w:rFonts w:hint="cs"/>
                <w:sz w:val="26"/>
                <w:szCs w:val="26"/>
                <w:rtl/>
              </w:rPr>
              <w:t>יולי יואל אדלשטיין</w:t>
            </w:r>
            <w:bookmarkEnd w:id="8"/>
          </w:p>
          <w:p w14:paraId="5B583B1F" w14:textId="77777777" w:rsidR="008525E2" w:rsidRPr="00D466D4" w:rsidRDefault="008525E2" w:rsidP="006F3CC7">
            <w:pPr>
              <w:jc w:val="center"/>
              <w:rPr>
                <w:sz w:val="26"/>
                <w:szCs w:val="26"/>
                <w:rtl/>
              </w:rPr>
            </w:pPr>
            <w:r w:rsidRPr="00D466D4">
              <w:rPr>
                <w:rFonts w:hint="cs"/>
                <w:sz w:val="26"/>
                <w:szCs w:val="26"/>
                <w:rtl/>
              </w:rPr>
              <w:t>יושב ראש הכנסת</w:t>
            </w:r>
          </w:p>
        </w:tc>
        <w:tc>
          <w:tcPr>
            <w:tcW w:w="2410" w:type="dxa"/>
            <w:shd w:val="clear" w:color="auto" w:fill="auto"/>
          </w:tcPr>
          <w:p w14:paraId="62E0FFA2" w14:textId="77777777" w:rsidR="008525E2" w:rsidRPr="00D466D4" w:rsidRDefault="008525E2" w:rsidP="006F3CC7">
            <w:pPr>
              <w:jc w:val="center"/>
              <w:rPr>
                <w:sz w:val="26"/>
                <w:szCs w:val="26"/>
                <w:rtl/>
              </w:rPr>
            </w:pPr>
          </w:p>
        </w:tc>
      </w:tr>
    </w:tbl>
    <w:p w14:paraId="7BFB7BB3" w14:textId="77777777" w:rsidR="002137F8" w:rsidRPr="008525E2" w:rsidRDefault="002137F8" w:rsidP="00D114CA">
      <w:pPr>
        <w:rPr>
          <w:rtl/>
        </w:rPr>
      </w:pPr>
    </w:p>
    <w:sectPr w:rsidR="002137F8" w:rsidRPr="008525E2" w:rsidSect="005B5F27">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DAC44" w14:textId="77777777" w:rsidR="00AC209E" w:rsidRDefault="00AC209E" w:rsidP="00B416AF">
      <w:pPr>
        <w:pStyle w:val="HeadHatzaotHok"/>
      </w:pPr>
      <w:r>
        <w:separator/>
      </w:r>
    </w:p>
  </w:endnote>
  <w:endnote w:type="continuationSeparator" w:id="0">
    <w:p w14:paraId="07383B87"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4259"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3FE9236E"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1EE5F" w14:textId="77777777" w:rsidR="00AC209E" w:rsidRDefault="00AC209E" w:rsidP="005B5F27">
      <w:pPr>
        <w:pStyle w:val="HeadHatzaotHok"/>
        <w:spacing w:before="0"/>
        <w:ind w:left="0"/>
        <w:jc w:val="left"/>
      </w:pPr>
      <w:r>
        <w:separator/>
      </w:r>
    </w:p>
  </w:footnote>
  <w:footnote w:type="continuationSeparator" w:id="0">
    <w:p w14:paraId="2AF3BFB1" w14:textId="77777777" w:rsidR="00AC209E" w:rsidRPr="00696C5E" w:rsidRDefault="00AC209E" w:rsidP="00696C5E">
      <w:pPr>
        <w:pStyle w:val="HeadHatzaotHok"/>
        <w:spacing w:before="0"/>
        <w:jc w:val="left"/>
      </w:pPr>
      <w:r>
        <w:separator/>
      </w:r>
    </w:p>
  </w:footnote>
  <w:footnote w:id="1">
    <w:p w14:paraId="681D3C49" w14:textId="77777777" w:rsidR="008525E2" w:rsidRDefault="008525E2" w:rsidP="005B5F27">
      <w:pPr>
        <w:pStyle w:val="a9"/>
        <w:rPr>
          <w:rtl/>
        </w:rPr>
      </w:pPr>
      <w:r>
        <w:rPr>
          <w:rStyle w:val="a8"/>
        </w:rPr>
        <w:t>*</w:t>
      </w:r>
      <w:r>
        <w:rPr>
          <w:rFonts w:hint="cs"/>
          <w:rtl/>
        </w:rPr>
        <w:t xml:space="preserve"> התקבל בכנסת ביום </w:t>
      </w:r>
      <w:bookmarkStart w:id="1" w:name="LGSVote3Date"/>
      <w:r w:rsidR="005B5F27">
        <w:rPr>
          <w:rFonts w:hint="cs"/>
          <w:rtl/>
        </w:rPr>
        <w:t>ו</w:t>
      </w:r>
      <w:bookmarkStart w:id="2" w:name="_GoBack"/>
      <w:bookmarkEnd w:id="2"/>
      <w:r>
        <w:rPr>
          <w:rFonts w:hint="cs"/>
          <w:rtl/>
        </w:rPr>
        <w:t xml:space="preserve">' באב </w:t>
      </w:r>
      <w:proofErr w:type="spellStart"/>
      <w:r>
        <w:rPr>
          <w:rFonts w:hint="cs"/>
          <w:rtl/>
        </w:rPr>
        <w:t>התשע"ח</w:t>
      </w:r>
      <w:proofErr w:type="spellEnd"/>
      <w:r>
        <w:rPr>
          <w:rFonts w:hint="cs"/>
          <w:rtl/>
        </w:rPr>
        <w:t xml:space="preserve"> (</w:t>
      </w:r>
      <w:r w:rsidR="005B5F27">
        <w:rPr>
          <w:rFonts w:hint="cs"/>
          <w:rtl/>
        </w:rPr>
        <w:t>18</w:t>
      </w:r>
      <w:r>
        <w:rPr>
          <w:rFonts w:hint="cs"/>
          <w:rtl/>
        </w:rPr>
        <w:t xml:space="preserve"> ביולי 2018)</w:t>
      </w:r>
      <w:bookmarkEnd w:id="1"/>
      <w:r w:rsidR="005B5F27">
        <w:rPr>
          <w:rFonts w:hint="cs"/>
          <w:rtl/>
        </w:rPr>
        <w:t xml:space="preserve"> [בישיבה שהחלה ביום ה' באב </w:t>
      </w:r>
      <w:proofErr w:type="spellStart"/>
      <w:r w:rsidR="005B5F27">
        <w:rPr>
          <w:rFonts w:hint="cs"/>
          <w:rtl/>
        </w:rPr>
        <w:t>התשע"ח</w:t>
      </w:r>
      <w:proofErr w:type="spellEnd"/>
      <w:r w:rsidR="005B5F27">
        <w:rPr>
          <w:rFonts w:hint="cs"/>
          <w:rtl/>
        </w:rPr>
        <w:t xml:space="preserve"> (17 ביולי 2018)]</w:t>
      </w:r>
      <w:r>
        <w:rPr>
          <w:rFonts w:hint="cs"/>
          <w:rtl/>
        </w:rPr>
        <w:t xml:space="preserve">; הצעת החוק ודברי הסבר פורסמו בהצעות חוק </w:t>
      </w:r>
      <w:bookmarkStart w:id="3" w:name="LGSType"/>
      <w:r>
        <w:rPr>
          <w:rFonts w:hint="cs"/>
          <w:rtl/>
        </w:rPr>
        <w:t>הכנסת</w:t>
      </w:r>
      <w:bookmarkEnd w:id="3"/>
      <w:r>
        <w:rPr>
          <w:rFonts w:hint="cs"/>
          <w:rtl/>
        </w:rPr>
        <w:t xml:space="preserve"> </w:t>
      </w:r>
      <w:r>
        <w:rPr>
          <w:rFonts w:hint="eastAsia"/>
          <w:rtl/>
        </w:rPr>
        <w:t>–</w:t>
      </w:r>
      <w:r>
        <w:rPr>
          <w:rFonts w:hint="cs"/>
          <w:rtl/>
        </w:rPr>
        <w:t xml:space="preserve"> </w:t>
      </w:r>
      <w:bookmarkStart w:id="4" w:name="LGSNum"/>
      <w:r>
        <w:rPr>
          <w:rFonts w:hint="cs"/>
          <w:rtl/>
        </w:rPr>
        <w:t>755</w:t>
      </w:r>
      <w:bookmarkEnd w:id="4"/>
      <w:r>
        <w:rPr>
          <w:rFonts w:hint="eastAsia"/>
          <w:rtl/>
        </w:rPr>
        <w:t xml:space="preserve">, מיום </w:t>
      </w:r>
      <w:bookmarkStart w:id="5" w:name="HebDate"/>
      <w:r>
        <w:rPr>
          <w:rFonts w:hint="cs"/>
          <w:rtl/>
        </w:rPr>
        <w:t>י"ג בשבט התשע"ח</w:t>
      </w:r>
      <w:bookmarkEnd w:id="5"/>
      <w:r w:rsidRPr="00827E61">
        <w:rPr>
          <w:rFonts w:hint="cs"/>
          <w:rtl/>
        </w:rPr>
        <w:t xml:space="preserve"> (</w:t>
      </w:r>
      <w:bookmarkStart w:id="6" w:name="EngDate"/>
      <w:r>
        <w:rPr>
          <w:rFonts w:hint="cs"/>
          <w:rtl/>
        </w:rPr>
        <w:t>29 בינואר 2018</w:t>
      </w:r>
      <w:bookmarkEnd w:id="6"/>
      <w:r w:rsidRPr="00827E61">
        <w:rPr>
          <w:rFonts w:hint="cs"/>
          <w:rtl/>
        </w:rPr>
        <w:t>), עמ'</w:t>
      </w:r>
      <w:r w:rsidR="005B5F27">
        <w:rPr>
          <w:rFonts w:hint="cs"/>
          <w:rtl/>
        </w:rPr>
        <w:t xml:space="preserve"> 86</w:t>
      </w:r>
      <w:r>
        <w:rPr>
          <w:rFonts w:hint="cs"/>
          <w:rtl/>
        </w:rPr>
        <w:t>.</w:t>
      </w:r>
    </w:p>
  </w:footnote>
  <w:footnote w:id="2">
    <w:p w14:paraId="449E9948" w14:textId="77777777" w:rsidR="005B5F27" w:rsidRDefault="005B5F27" w:rsidP="005B5F27">
      <w:pPr>
        <w:pStyle w:val="a9"/>
        <w:rPr>
          <w:rtl/>
        </w:rPr>
      </w:pPr>
      <w:r>
        <w:rPr>
          <w:rStyle w:val="a8"/>
        </w:rPr>
        <w:footnoteRef/>
      </w:r>
      <w:r>
        <w:rPr>
          <w:rtl/>
        </w:rPr>
        <w:t xml:space="preserve"> </w:t>
      </w:r>
      <w:r>
        <w:rPr>
          <w:rFonts w:hint="cs"/>
          <w:rtl/>
        </w:rPr>
        <w:t xml:space="preserve">ס"ח </w:t>
      </w:r>
      <w:proofErr w:type="spellStart"/>
      <w:r>
        <w:rPr>
          <w:rFonts w:hint="cs"/>
          <w:rtl/>
        </w:rPr>
        <w:t>התשמ"ב</w:t>
      </w:r>
      <w:proofErr w:type="spellEnd"/>
      <w:r>
        <w:rPr>
          <w:rFonts w:hint="cs"/>
          <w:rtl/>
        </w:rPr>
        <w:t>, ע</w:t>
      </w:r>
      <w:r w:rsidRPr="00B651E6">
        <w:rPr>
          <w:rFonts w:hint="cs"/>
          <w:rtl/>
        </w:rPr>
        <w:t xml:space="preserve">מ' 43; </w:t>
      </w:r>
      <w:proofErr w:type="spellStart"/>
      <w:r w:rsidRPr="00B651E6">
        <w:rPr>
          <w:rFonts w:hint="cs"/>
          <w:rtl/>
        </w:rPr>
        <w:t>התשע"ח</w:t>
      </w:r>
      <w:proofErr w:type="spellEnd"/>
      <w:r w:rsidRPr="00B651E6">
        <w:rPr>
          <w:rFonts w:hint="cs"/>
          <w:rtl/>
        </w:rPr>
        <w:t>, עמ' 192.</w:t>
      </w:r>
    </w:p>
  </w:footnote>
  <w:footnote w:id="3">
    <w:p w14:paraId="136B340E" w14:textId="77777777" w:rsidR="005B5F27" w:rsidRDefault="005B5F27" w:rsidP="005B5F27">
      <w:pPr>
        <w:pStyle w:val="a9"/>
        <w:rPr>
          <w:rtl/>
        </w:rPr>
      </w:pPr>
      <w:r>
        <w:rPr>
          <w:rStyle w:val="a8"/>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התשס</w:t>
      </w:r>
      <w:r>
        <w:rPr>
          <w:rtl/>
        </w:rPr>
        <w:t>"</w:t>
      </w:r>
      <w:r>
        <w:rPr>
          <w:rFonts w:hint="eastAsia"/>
          <w:rtl/>
        </w:rPr>
        <w:t>א</w:t>
      </w:r>
      <w:proofErr w:type="spellEnd"/>
      <w:r>
        <w:rPr>
          <w:rtl/>
        </w:rPr>
        <w:t xml:space="preserve">, </w:t>
      </w:r>
      <w:r>
        <w:rPr>
          <w:rFonts w:hint="eastAsia"/>
          <w:rtl/>
        </w:rPr>
        <w:t>עמ</w:t>
      </w:r>
      <w:r>
        <w:rPr>
          <w:rtl/>
        </w:rPr>
        <w:t>' 183</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C94F"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3D978283"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F48AE"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5B5F27">
      <w:rPr>
        <w:rStyle w:val="ac"/>
        <w:noProof/>
        <w:rtl/>
      </w:rPr>
      <w:t>2</w:t>
    </w:r>
    <w:r w:rsidRPr="00E125CC">
      <w:rPr>
        <w:rStyle w:val="ac"/>
        <w:rtl/>
      </w:rPr>
      <w:fldChar w:fldCharType="end"/>
    </w:r>
    <w:r>
      <w:rPr>
        <w:rStyle w:val="ac"/>
        <w:rFonts w:hint="cs"/>
        <w:rtl/>
      </w:rPr>
      <w:t xml:space="preserve"> -</w:t>
    </w:r>
  </w:p>
  <w:p w14:paraId="62B43D36"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12"/>
  </w:num>
  <w:num w:numId="5">
    <w:abstractNumId w:val="15"/>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5F27"/>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EFAD1"/>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2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B5F2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B5F2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B5F2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B5F2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B5F27"/>
    <w:pPr>
      <w:spacing w:line="259" w:lineRule="auto"/>
      <w:outlineLvl w:val="4"/>
    </w:pPr>
    <w:rPr>
      <w:color w:val="000000" w:themeColor="text1"/>
    </w:rPr>
  </w:style>
  <w:style w:type="character" w:default="1" w:styleId="a0">
    <w:name w:val="Default Paragraph Font"/>
    <w:uiPriority w:val="1"/>
    <w:semiHidden/>
    <w:unhideWhenUsed/>
    <w:rsid w:val="005B5F2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B5F27"/>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5B5F2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B5F27"/>
    <w:rPr>
      <w:sz w:val="36"/>
      <w:szCs w:val="52"/>
    </w:rPr>
  </w:style>
  <w:style w:type="paragraph" w:customStyle="1" w:styleId="Cover3-Haknesset">
    <w:name w:val="Cover 3-Haknesset"/>
    <w:basedOn w:val="Cover1-Reshumot"/>
    <w:rsid w:val="005B5F27"/>
    <w:rPr>
      <w:b/>
      <w:bCs/>
      <w:spacing w:val="60"/>
    </w:rPr>
  </w:style>
  <w:style w:type="paragraph" w:customStyle="1" w:styleId="Cover4-Date">
    <w:name w:val="Cover 4-Date"/>
    <w:basedOn w:val="a"/>
    <w:rsid w:val="005B5F2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5B5F27"/>
    <w:rPr>
      <w:vertAlign w:val="superscript"/>
    </w:rPr>
  </w:style>
  <w:style w:type="paragraph" w:customStyle="1" w:styleId="Ragil">
    <w:name w:val="Ragil"/>
    <w:basedOn w:val="a"/>
    <w:rsid w:val="005B5F27"/>
    <w:pPr>
      <w:snapToGrid w:val="0"/>
      <w:jc w:val="left"/>
    </w:pPr>
    <w:rPr>
      <w:rFonts w:ascii="Arial" w:eastAsia="Arial Unicode MS" w:hAnsi="Arial"/>
      <w:snapToGrid w:val="0"/>
      <w:sz w:val="20"/>
      <w:szCs w:val="26"/>
    </w:rPr>
  </w:style>
  <w:style w:type="paragraph" w:styleId="a6">
    <w:name w:val="endnote text"/>
    <w:basedOn w:val="a"/>
    <w:semiHidden/>
    <w:rsid w:val="005B5F27"/>
    <w:pPr>
      <w:ind w:left="227" w:hanging="227"/>
    </w:pPr>
    <w:rPr>
      <w:sz w:val="14"/>
      <w:szCs w:val="22"/>
    </w:rPr>
  </w:style>
  <w:style w:type="paragraph" w:styleId="a7">
    <w:name w:val="footer"/>
    <w:basedOn w:val="a"/>
    <w:rsid w:val="005B5F27"/>
    <w:pPr>
      <w:tabs>
        <w:tab w:val="center" w:pos="4153"/>
        <w:tab w:val="right" w:pos="8306"/>
      </w:tabs>
    </w:pPr>
  </w:style>
  <w:style w:type="character" w:styleId="a8">
    <w:name w:val="footnote reference"/>
    <w:aliases w:val="Footnote Reference"/>
    <w:basedOn w:val="a0"/>
    <w:semiHidden/>
    <w:rsid w:val="005B5F27"/>
    <w:rPr>
      <w:vertAlign w:val="superscript"/>
    </w:rPr>
  </w:style>
  <w:style w:type="paragraph" w:styleId="a9">
    <w:name w:val="footnote text"/>
    <w:basedOn w:val="a"/>
    <w:link w:val="aa"/>
    <w:autoRedefine/>
    <w:semiHidden/>
    <w:rsid w:val="005B5F27"/>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5B5F27"/>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5B5F2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B5F27"/>
    <w:pPr>
      <w:spacing w:before="120" w:after="120"/>
    </w:pPr>
    <w:rPr>
      <w:color w:val="FF0000"/>
      <w:w w:val="80"/>
    </w:rPr>
  </w:style>
  <w:style w:type="paragraph" w:customStyle="1" w:styleId="HeadMitparsemetBaze">
    <w:name w:val="Head MitparsemetBaze"/>
    <w:basedOn w:val="a"/>
    <w:rsid w:val="005B5F27"/>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5B5F27"/>
    <w:pPr>
      <w:tabs>
        <w:tab w:val="center" w:pos="4153"/>
        <w:tab w:val="right" w:pos="8306"/>
      </w:tabs>
    </w:pPr>
  </w:style>
  <w:style w:type="paragraph" w:customStyle="1" w:styleId="Hesber">
    <w:name w:val="Hesber"/>
    <w:basedOn w:val="a"/>
    <w:rsid w:val="005B5F27"/>
    <w:pPr>
      <w:snapToGrid w:val="0"/>
      <w:ind w:left="0" w:firstLine="340"/>
    </w:pPr>
    <w:rPr>
      <w:rFonts w:ascii="Arial" w:eastAsia="Arial Unicode MS" w:hAnsi="Arial"/>
      <w:snapToGrid w:val="0"/>
      <w:sz w:val="20"/>
      <w:szCs w:val="26"/>
    </w:rPr>
  </w:style>
  <w:style w:type="paragraph" w:customStyle="1" w:styleId="Hesber1st">
    <w:name w:val="Hesber 1st"/>
    <w:basedOn w:val="Hesber"/>
    <w:rsid w:val="005B5F27"/>
    <w:pPr>
      <w:tabs>
        <w:tab w:val="left" w:pos="680"/>
        <w:tab w:val="left" w:pos="1020"/>
      </w:tabs>
      <w:ind w:firstLine="0"/>
    </w:pPr>
  </w:style>
  <w:style w:type="paragraph" w:customStyle="1" w:styleId="HesberHeading">
    <w:name w:val="Hesber Heading"/>
    <w:basedOn w:val="Hesber"/>
    <w:rsid w:val="005B5F27"/>
    <w:pPr>
      <w:tabs>
        <w:tab w:val="left" w:pos="624"/>
        <w:tab w:val="left" w:pos="1247"/>
      </w:tabs>
    </w:pPr>
    <w:rPr>
      <w:b/>
      <w:bCs/>
    </w:rPr>
  </w:style>
  <w:style w:type="paragraph" w:customStyle="1" w:styleId="HesberWriters">
    <w:name w:val="Hesber Writers"/>
    <w:basedOn w:val="Hesber"/>
    <w:rsid w:val="005B5F27"/>
    <w:pPr>
      <w:spacing w:before="120" w:after="120"/>
      <w:ind w:left="1418"/>
      <w:jc w:val="right"/>
    </w:pPr>
    <w:rPr>
      <w:b/>
      <w:bCs/>
    </w:rPr>
  </w:style>
  <w:style w:type="character" w:styleId="Hyperlink">
    <w:name w:val="Hyperlink"/>
    <w:basedOn w:val="a0"/>
    <w:uiPriority w:val="99"/>
    <w:unhideWhenUsed/>
    <w:rsid w:val="005B5F27"/>
    <w:rPr>
      <w:color w:val="0563C1" w:themeColor="hyperlink"/>
      <w:u w:val="single"/>
    </w:rPr>
  </w:style>
  <w:style w:type="character" w:styleId="ac">
    <w:name w:val="page number"/>
    <w:basedOn w:val="a0"/>
    <w:rsid w:val="005B5F27"/>
  </w:style>
  <w:style w:type="paragraph" w:customStyle="1" w:styleId="TableText">
    <w:name w:val="Table Text"/>
    <w:basedOn w:val="a"/>
    <w:rsid w:val="005B5F2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5B5F27"/>
    <w:pPr>
      <w:jc w:val="both"/>
    </w:pPr>
  </w:style>
  <w:style w:type="paragraph" w:customStyle="1" w:styleId="TableBlockOutdent">
    <w:name w:val="Table BlockOutdent"/>
    <w:basedOn w:val="TableBlock"/>
    <w:rsid w:val="005B5F27"/>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5B5F27"/>
    <w:pPr>
      <w:jc w:val="center"/>
      <w:outlineLvl w:val="1"/>
    </w:pPr>
    <w:rPr>
      <w:b/>
      <w:bCs/>
    </w:rPr>
  </w:style>
  <w:style w:type="paragraph" w:customStyle="1" w:styleId="TableSideHeading">
    <w:name w:val="Table SideHeading"/>
    <w:basedOn w:val="TableText"/>
    <w:rsid w:val="005B5F27"/>
    <w:pPr>
      <w:outlineLvl w:val="2"/>
    </w:pPr>
  </w:style>
  <w:style w:type="paragraph" w:customStyle="1" w:styleId="TableInnerSideHeading">
    <w:name w:val="Table InnerSideHeading"/>
    <w:basedOn w:val="TableSideHeading"/>
    <w:rsid w:val="005B5F27"/>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default">
    <w:name w:val="default"/>
    <w:basedOn w:val="a0"/>
    <w:rsid w:val="005B5F27"/>
  </w:style>
  <w:style w:type="character" w:customStyle="1" w:styleId="30">
    <w:name w:val="כותרת 3 תו"/>
    <w:basedOn w:val="a0"/>
    <w:link w:val="3"/>
    <w:rsid w:val="005B5F27"/>
    <w:rPr>
      <w:rFonts w:asciiTheme="majorHAnsi" w:eastAsiaTheme="majorEastAsia" w:hAnsiTheme="majorHAnsi" w:cs="David"/>
      <w:sz w:val="24"/>
      <w:szCs w:val="28"/>
      <w:u w:val="double"/>
    </w:rPr>
  </w:style>
  <w:style w:type="character" w:customStyle="1" w:styleId="40">
    <w:name w:val="כותרת 4 תו"/>
    <w:basedOn w:val="a0"/>
    <w:link w:val="4"/>
    <w:uiPriority w:val="9"/>
    <w:rsid w:val="005B5F2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B5F27"/>
    <w:rPr>
      <w:rFonts w:ascii="David" w:eastAsiaTheme="minorHAnsi" w:hAnsi="David" w:cs="David"/>
      <w:color w:val="000000" w:themeColor="text1"/>
      <w:sz w:val="24"/>
      <w:szCs w:val="24"/>
    </w:rPr>
  </w:style>
  <w:style w:type="character" w:customStyle="1" w:styleId="10">
    <w:name w:val="כותרת 1 תו"/>
    <w:basedOn w:val="a0"/>
    <w:link w:val="1"/>
    <w:uiPriority w:val="9"/>
    <w:rsid w:val="005B5F27"/>
    <w:rPr>
      <w:rFonts w:asciiTheme="majorHAnsi" w:eastAsiaTheme="majorEastAsia" w:hAnsiTheme="majorHAnsi" w:cs="David"/>
      <w:bCs/>
      <w:sz w:val="32"/>
      <w:szCs w:val="36"/>
    </w:rPr>
  </w:style>
  <w:style w:type="paragraph" w:styleId="af0">
    <w:name w:val="TOC Heading"/>
    <w:basedOn w:val="1"/>
    <w:next w:val="a"/>
    <w:uiPriority w:val="39"/>
    <w:unhideWhenUsed/>
    <w:qFormat/>
    <w:rsid w:val="005B5F27"/>
    <w:pPr>
      <w:widowControl/>
      <w:spacing w:before="120" w:after="120"/>
      <w:outlineLvl w:val="9"/>
    </w:pPr>
    <w:rPr>
      <w:rtl/>
      <w:cs/>
    </w:rPr>
  </w:style>
  <w:style w:type="paragraph" w:styleId="TOC1">
    <w:name w:val="toc 1"/>
    <w:basedOn w:val="a"/>
    <w:next w:val="a"/>
    <w:autoRedefine/>
    <w:uiPriority w:val="39"/>
    <w:unhideWhenUsed/>
    <w:rsid w:val="005B5F27"/>
    <w:pPr>
      <w:tabs>
        <w:tab w:val="right" w:leader="dot" w:pos="9629"/>
      </w:tabs>
      <w:spacing w:after="100"/>
    </w:pPr>
    <w:rPr>
      <w:bCs/>
      <w:szCs w:val="22"/>
    </w:rPr>
  </w:style>
  <w:style w:type="paragraph" w:styleId="TOC2">
    <w:name w:val="toc 2"/>
    <w:basedOn w:val="a"/>
    <w:next w:val="a"/>
    <w:uiPriority w:val="39"/>
    <w:unhideWhenUsed/>
    <w:rsid w:val="005B5F27"/>
    <w:pPr>
      <w:tabs>
        <w:tab w:val="right" w:leader="dot" w:pos="9628"/>
      </w:tabs>
      <w:spacing w:after="100"/>
    </w:pPr>
    <w:rPr>
      <w:szCs w:val="22"/>
    </w:rPr>
  </w:style>
  <w:style w:type="paragraph" w:styleId="TOC3">
    <w:name w:val="toc 3"/>
    <w:basedOn w:val="a"/>
    <w:next w:val="a"/>
    <w:uiPriority w:val="39"/>
    <w:unhideWhenUsed/>
    <w:rsid w:val="005B5F27"/>
    <w:pPr>
      <w:tabs>
        <w:tab w:val="right" w:leader="dot" w:pos="9629"/>
      </w:tabs>
      <w:spacing w:after="100"/>
      <w:ind w:left="567"/>
    </w:pPr>
    <w:rPr>
      <w:szCs w:val="22"/>
    </w:rPr>
  </w:style>
  <w:style w:type="paragraph" w:styleId="TOC4">
    <w:name w:val="toc 4"/>
    <w:basedOn w:val="a"/>
    <w:next w:val="a"/>
    <w:autoRedefine/>
    <w:unhideWhenUsed/>
    <w:qFormat/>
    <w:rsid w:val="005B5F2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B5F27"/>
    <w:pPr>
      <w:tabs>
        <w:tab w:val="right" w:leader="dot" w:pos="9628"/>
      </w:tabs>
      <w:spacing w:after="100"/>
      <w:ind w:left="567"/>
    </w:pPr>
    <w:rPr>
      <w:szCs w:val="22"/>
    </w:rPr>
  </w:style>
  <w:style w:type="paragraph" w:styleId="TOC6">
    <w:name w:val="toc 6"/>
    <w:basedOn w:val="a"/>
    <w:next w:val="a"/>
    <w:autoRedefine/>
    <w:semiHidden/>
    <w:unhideWhenUsed/>
    <w:rsid w:val="005B5F27"/>
    <w:pPr>
      <w:spacing w:after="100"/>
      <w:ind w:left="850"/>
    </w:pPr>
  </w:style>
  <w:style w:type="paragraph" w:styleId="TOC7">
    <w:name w:val="toc 7"/>
    <w:basedOn w:val="a"/>
    <w:next w:val="a"/>
    <w:autoRedefine/>
    <w:semiHidden/>
    <w:unhideWhenUsed/>
    <w:rsid w:val="005B5F27"/>
    <w:pPr>
      <w:spacing w:after="100"/>
      <w:ind w:left="1020"/>
    </w:pPr>
  </w:style>
  <w:style w:type="paragraph" w:styleId="TOC8">
    <w:name w:val="toc 8"/>
    <w:basedOn w:val="a"/>
    <w:next w:val="a"/>
    <w:autoRedefine/>
    <w:semiHidden/>
    <w:unhideWhenUsed/>
    <w:rsid w:val="005B5F27"/>
    <w:pPr>
      <w:spacing w:after="100"/>
      <w:ind w:left="1190"/>
    </w:pPr>
  </w:style>
  <w:style w:type="paragraph" w:styleId="TOC9">
    <w:name w:val="toc 9"/>
    <w:basedOn w:val="a"/>
    <w:next w:val="a"/>
    <w:autoRedefine/>
    <w:semiHidden/>
    <w:unhideWhenUsed/>
    <w:rsid w:val="005B5F27"/>
    <w:pPr>
      <w:spacing w:after="100"/>
      <w:ind w:left="1360"/>
    </w:pPr>
  </w:style>
  <w:style w:type="character" w:customStyle="1" w:styleId="20">
    <w:name w:val="כותרת 2 תו"/>
    <w:basedOn w:val="a0"/>
    <w:link w:val="2"/>
    <w:rsid w:val="005B5F27"/>
    <w:rPr>
      <w:rFonts w:asciiTheme="majorHAnsi" w:eastAsiaTheme="majorEastAsia" w:hAnsiTheme="majorHAnsi" w:cs="David"/>
      <w:bCs/>
      <w:sz w:val="26"/>
      <w:szCs w:val="36"/>
      <w:u w:val="single"/>
    </w:rPr>
  </w:style>
  <w:style w:type="paragraph" w:customStyle="1" w:styleId="TableHead2">
    <w:name w:val="Table Head2"/>
    <w:basedOn w:val="TableHead"/>
    <w:qFormat/>
    <w:rsid w:val="005B5F27"/>
    <w:pPr>
      <w:outlineLvl w:val="9"/>
    </w:pPr>
  </w:style>
  <w:style w:type="paragraph" w:customStyle="1" w:styleId="TableSideHeading2">
    <w:name w:val="Table SideHeading2"/>
    <w:basedOn w:val="TableSideHeading"/>
    <w:autoRedefine/>
    <w:qFormat/>
    <w:rsid w:val="005B5F27"/>
    <w:pPr>
      <w:keepLines w:val="0"/>
      <w:outlineLvl w:val="9"/>
    </w:pPr>
  </w:style>
  <w:style w:type="paragraph" w:customStyle="1" w:styleId="0">
    <w:name w:val="סגנון שורה ראשונה:  0  ס''מ"/>
    <w:basedOn w:val="2"/>
    <w:rsid w:val="005B5F27"/>
    <w:rPr>
      <w:rFonts w:eastAsia="Times New Roman"/>
    </w:rPr>
  </w:style>
  <w:style w:type="paragraph" w:styleId="af1">
    <w:name w:val="List Paragraph"/>
    <w:basedOn w:val="a"/>
    <w:uiPriority w:val="34"/>
    <w:qFormat/>
    <w:rsid w:val="005B5F27"/>
    <w:pPr>
      <w:widowControl/>
      <w:spacing w:line="259" w:lineRule="auto"/>
    </w:pPr>
    <w:rPr>
      <w:rFonts w:asciiTheme="minorHAnsi" w:hAnsiTheme="minorHAnsi"/>
      <w:sz w:val="22"/>
    </w:rPr>
  </w:style>
  <w:style w:type="table" w:styleId="af2">
    <w:name w:val="Table Grid"/>
    <w:basedOn w:val="a1"/>
    <w:rsid w:val="005B5F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5B5F27"/>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5B5F27"/>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5B5F27"/>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5B5F27"/>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6566D9-435B-4526-A152-47DC5324A770}">
  <ds:schemaRefs>
    <ds:schemaRef ds:uri="http://schemas.microsoft.com/sharepoint/events"/>
  </ds:schemaRefs>
</ds:datastoreItem>
</file>

<file path=customXml/itemProps2.xml><?xml version="1.0" encoding="utf-8"?>
<ds:datastoreItem xmlns:ds="http://schemas.openxmlformats.org/officeDocument/2006/customXml" ds:itemID="{9AAD3E59-1685-4866-88AE-10917921A27A}">
  <ds:schemaRefs>
    <ds:schemaRef ds:uri="http://purl.org/dc/elements/1.1/"/>
    <ds:schemaRef ds:uri="http://schemas.microsoft.com/office/2006/metadata/properties"/>
    <ds:schemaRef ds:uri="e860c347-3c75-42f3-9b43-fe3c3ef9805f"/>
    <ds:schemaRef ds:uri="f380af25-22dd-4a89-bd18-c5bf793c562b"/>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8ce1d4b-e1f6-446e-84c0-71ee544e8fe0"/>
    <ds:schemaRef ds:uri="http://www.w3.org/XML/1998/namespace"/>
  </ds:schemaRefs>
</ds:datastoreItem>
</file>

<file path=customXml/itemProps3.xml><?xml version="1.0" encoding="utf-8"?>
<ds:datastoreItem xmlns:ds="http://schemas.openxmlformats.org/officeDocument/2006/customXml" ds:itemID="{BDD19F5B-57AF-4B29-953B-31B0CF15EC3A}"/>
</file>

<file path=customXml/itemProps4.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5.xml><?xml version="1.0" encoding="utf-8"?>
<ds:datastoreItem xmlns:ds="http://schemas.openxmlformats.org/officeDocument/2006/customXml" ds:itemID="{C3E1657D-317C-48BB-A872-2C64BBB17B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364</Words>
  <Characters>1715</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4</cp:revision>
  <cp:lastPrinted>2018-07-24T08:54:00Z</cp:lastPrinted>
  <dcterms:created xsi:type="dcterms:W3CDTF">2018-06-18T13:53:00Z</dcterms:created>
  <dcterms:modified xsi:type="dcterms:W3CDTF">2018-07-24T09:12:00Z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b43cd46b-7563-49ef-8060-37217475cca9</vt:lpwstr>
  </property>
  <property fmtid="{D5CDD505-2E9C-101B-9397-08002B2CF9AE}" pid="20" name="SanhedrinItemID">
    <vt:r8>565678</vt:r8>
  </property>
  <property fmtid="{D5CDD505-2E9C-101B-9397-08002B2CF9AE}" pid="21" name="SanhedrinDocumentType">
    <vt:r8>42</vt:r8>
  </property>
</Properties>
</file>