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EA9A6" w14:textId="77777777" w:rsidR="008525E2" w:rsidRDefault="00C7276B" w:rsidP="008525E2">
      <w:pPr>
        <w:jc w:val="center"/>
        <w:rPr>
          <w:b/>
          <w:bCs/>
          <w:sz w:val="28"/>
          <w:szCs w:val="28"/>
          <w:rtl/>
        </w:rPr>
      </w:pPr>
      <w:r>
        <w:rPr>
          <w:noProof/>
        </w:rPr>
        <w:drawing>
          <wp:inline distT="0" distB="0" distL="0" distR="0" wp14:anchorId="04C831FA" wp14:editId="0F31FA60">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0EF31BB" w14:textId="77777777" w:rsidR="008525E2" w:rsidRDefault="008525E2" w:rsidP="008525E2">
      <w:pPr>
        <w:jc w:val="center"/>
        <w:rPr>
          <w:b/>
          <w:bCs/>
          <w:sz w:val="28"/>
          <w:szCs w:val="28"/>
          <w:rtl/>
        </w:rPr>
      </w:pPr>
    </w:p>
    <w:p w14:paraId="4353800A" w14:textId="77777777" w:rsidR="008525E2" w:rsidRDefault="00220CAF" w:rsidP="008E065A">
      <w:pPr>
        <w:jc w:val="center"/>
        <w:rPr>
          <w:b/>
          <w:bCs/>
          <w:sz w:val="28"/>
          <w:szCs w:val="28"/>
          <w:rtl/>
        </w:rPr>
      </w:pPr>
      <w:bookmarkStart w:id="0" w:name="LGSName"/>
      <w:r>
        <w:rPr>
          <w:rStyle w:val="HeadHatzaotHok0"/>
          <w:rFonts w:hint="cs"/>
          <w:rtl/>
        </w:rPr>
        <w:t xml:space="preserve">חוק מימון מפלגות (תיקון מס' 36), </w:t>
      </w:r>
      <w:proofErr w:type="spellStart"/>
      <w:r>
        <w:rPr>
          <w:rStyle w:val="HeadHatzaotHok0"/>
          <w:rFonts w:hint="cs"/>
          <w:rtl/>
        </w:rPr>
        <w:t>התשע"ח</w:t>
      </w:r>
      <w:proofErr w:type="spellEnd"/>
      <w:r w:rsidR="008E065A">
        <w:rPr>
          <w:rStyle w:val="HeadHatzaotHok0"/>
          <w:rFonts w:hint="eastAsia"/>
          <w:rtl/>
        </w:rPr>
        <w:t>–</w:t>
      </w:r>
      <w:r>
        <w:rPr>
          <w:rStyle w:val="HeadHatzaotHok0"/>
          <w:rFonts w:hint="cs"/>
          <w:rtl/>
        </w:rPr>
        <w:t>2018</w:t>
      </w:r>
      <w:bookmarkEnd w:id="0"/>
      <w:r w:rsidR="008525E2">
        <w:rPr>
          <w:rStyle w:val="a8"/>
          <w:b/>
          <w:bCs/>
          <w:sz w:val="28"/>
          <w:szCs w:val="28"/>
          <w:rtl/>
        </w:rPr>
        <w:footnoteReference w:customMarkFollows="1" w:id="1"/>
        <w:t>*</w:t>
      </w:r>
    </w:p>
    <w:p w14:paraId="7563E6CE" w14:textId="77777777" w:rsidR="008E065A" w:rsidRDefault="008E065A" w:rsidP="008E065A">
      <w:pPr>
        <w:jc w:val="center"/>
        <w:rPr>
          <w:b/>
          <w:bCs/>
          <w:sz w:val="28"/>
          <w:szCs w:val="28"/>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4023"/>
      </w:tblGrid>
      <w:tr w:rsidR="008E065A" w:rsidRPr="005D7B75" w14:paraId="02CE492B" w14:textId="77777777" w:rsidTr="008E065A">
        <w:trPr>
          <w:cantSplit/>
        </w:trPr>
        <w:tc>
          <w:tcPr>
            <w:tcW w:w="1871" w:type="dxa"/>
            <w:shd w:val="clear" w:color="auto" w:fill="auto"/>
            <w:tcMar>
              <w:top w:w="91" w:type="dxa"/>
              <w:left w:w="0" w:type="dxa"/>
              <w:bottom w:w="91" w:type="dxa"/>
              <w:right w:w="0" w:type="dxa"/>
            </w:tcMar>
          </w:tcPr>
          <w:p w14:paraId="149A719D" w14:textId="77777777" w:rsidR="008E065A" w:rsidRPr="005D7B75" w:rsidRDefault="008E065A" w:rsidP="006A2677">
            <w:pPr>
              <w:pStyle w:val="TableSideHeading"/>
              <w:rPr>
                <w:rtl/>
              </w:rPr>
            </w:pPr>
            <w:r w:rsidRPr="005D7B75">
              <w:rPr>
                <w:rtl/>
              </w:rPr>
              <w:t xml:space="preserve">תיקון </w:t>
            </w:r>
            <w:r>
              <w:rPr>
                <w:rFonts w:hint="cs"/>
                <w:rtl/>
              </w:rPr>
              <w:t>סעיף 1</w:t>
            </w:r>
          </w:p>
        </w:tc>
        <w:tc>
          <w:tcPr>
            <w:tcW w:w="624" w:type="dxa"/>
            <w:shd w:val="clear" w:color="auto" w:fill="auto"/>
            <w:tcMar>
              <w:top w:w="91" w:type="dxa"/>
              <w:left w:w="0" w:type="dxa"/>
              <w:bottom w:w="91" w:type="dxa"/>
              <w:right w:w="0" w:type="dxa"/>
            </w:tcMar>
          </w:tcPr>
          <w:p w14:paraId="0405426B" w14:textId="77777777" w:rsidR="008E065A" w:rsidRPr="005D7B75" w:rsidRDefault="008E065A" w:rsidP="006A2677">
            <w:pPr>
              <w:pStyle w:val="TableText"/>
              <w:rPr>
                <w:rtl/>
              </w:rPr>
            </w:pPr>
            <w:r>
              <w:rPr>
                <w:rFonts w:hint="cs"/>
                <w:rtl/>
              </w:rPr>
              <w:t>1.</w:t>
            </w:r>
          </w:p>
        </w:tc>
        <w:tc>
          <w:tcPr>
            <w:tcW w:w="7143" w:type="dxa"/>
            <w:gridSpan w:val="6"/>
            <w:shd w:val="clear" w:color="auto" w:fill="auto"/>
            <w:tcMar>
              <w:top w:w="91" w:type="dxa"/>
              <w:left w:w="0" w:type="dxa"/>
              <w:bottom w:w="91" w:type="dxa"/>
              <w:right w:w="0" w:type="dxa"/>
            </w:tcMar>
          </w:tcPr>
          <w:p w14:paraId="58D1C70E" w14:textId="77777777" w:rsidR="008E065A" w:rsidRPr="005D7B75" w:rsidRDefault="008E065A" w:rsidP="008E065A">
            <w:pPr>
              <w:pStyle w:val="TableBlock"/>
              <w:rPr>
                <w:rtl/>
              </w:rPr>
            </w:pPr>
            <w:r w:rsidRPr="005D7B75">
              <w:rPr>
                <w:rtl/>
              </w:rPr>
              <w:t xml:space="preserve">בחוק מימון מפלגות, </w:t>
            </w:r>
            <w:proofErr w:type="spellStart"/>
            <w:r w:rsidRPr="005D7B75">
              <w:rPr>
                <w:rtl/>
              </w:rPr>
              <w:t>התשל"ג</w:t>
            </w:r>
            <w:proofErr w:type="spellEnd"/>
            <w:r w:rsidRPr="005D7B75">
              <w:rPr>
                <w:rtl/>
              </w:rPr>
              <w:t>–1973‏</w:t>
            </w:r>
            <w:r w:rsidRPr="008E065A">
              <w:rPr>
                <w:rStyle w:val="a8"/>
                <w:rFonts w:ascii="David" w:hAnsi="David"/>
                <w:sz w:val="26"/>
                <w:rtl/>
              </w:rPr>
              <w:footnoteReference w:id="2"/>
            </w:r>
            <w:r>
              <w:rPr>
                <w:rFonts w:hint="cs"/>
                <w:rtl/>
              </w:rPr>
              <w:t xml:space="preserve"> (להלן </w:t>
            </w:r>
            <w:r>
              <w:rPr>
                <w:rtl/>
              </w:rPr>
              <w:t>–</w:t>
            </w:r>
            <w:r>
              <w:rPr>
                <w:rFonts w:hint="cs"/>
                <w:rtl/>
              </w:rPr>
              <w:t xml:space="preserve"> החוק העיקרי),</w:t>
            </w:r>
            <w:r w:rsidRPr="00234E54">
              <w:rPr>
                <w:rFonts w:hint="cs"/>
                <w:rtl/>
              </w:rPr>
              <w:t xml:space="preserve"> בסעיף 1, </w:t>
            </w:r>
            <w:r w:rsidRPr="00B53C2A">
              <w:rPr>
                <w:rFonts w:hint="cs"/>
                <w:rtl/>
              </w:rPr>
              <w:t>אחרי ה</w:t>
            </w:r>
            <w:r>
              <w:rPr>
                <w:rFonts w:hint="cs"/>
                <w:rtl/>
              </w:rPr>
              <w:t>ה</w:t>
            </w:r>
            <w:r w:rsidRPr="00B53C2A">
              <w:rPr>
                <w:rFonts w:hint="cs"/>
                <w:rtl/>
              </w:rPr>
              <w:t>גדרה "רשימת מועמדים" יבוא:</w:t>
            </w:r>
          </w:p>
        </w:tc>
      </w:tr>
      <w:tr w:rsidR="008E065A" w:rsidRPr="00B53C2A" w14:paraId="376FE1D5" w14:textId="77777777" w:rsidTr="008E065A">
        <w:tblPrEx>
          <w:tblLook w:val="01E0" w:firstRow="1" w:lastRow="1" w:firstColumn="1" w:lastColumn="1" w:noHBand="0" w:noVBand="0"/>
        </w:tblPrEx>
        <w:trPr>
          <w:cantSplit/>
        </w:trPr>
        <w:tc>
          <w:tcPr>
            <w:tcW w:w="1871" w:type="dxa"/>
          </w:tcPr>
          <w:p w14:paraId="3ED9AB5F" w14:textId="77777777" w:rsidR="008E065A" w:rsidRDefault="008E065A" w:rsidP="006A2677">
            <w:pPr>
              <w:pStyle w:val="TableSideHeading"/>
              <w:keepLines w:val="0"/>
              <w:rPr>
                <w:rtl/>
              </w:rPr>
            </w:pPr>
          </w:p>
        </w:tc>
        <w:tc>
          <w:tcPr>
            <w:tcW w:w="624" w:type="dxa"/>
          </w:tcPr>
          <w:p w14:paraId="3F90308F" w14:textId="77777777" w:rsidR="008E065A" w:rsidRDefault="008E065A" w:rsidP="006A2677">
            <w:pPr>
              <w:pStyle w:val="TableText"/>
              <w:rPr>
                <w:rtl/>
              </w:rPr>
            </w:pPr>
          </w:p>
        </w:tc>
        <w:tc>
          <w:tcPr>
            <w:tcW w:w="7143" w:type="dxa"/>
            <w:gridSpan w:val="6"/>
          </w:tcPr>
          <w:p w14:paraId="19A3AEA6" w14:textId="77777777" w:rsidR="008E065A" w:rsidRPr="00B53C2A" w:rsidRDefault="008E065A" w:rsidP="008E065A">
            <w:pPr>
              <w:pStyle w:val="TableBlockOutdent"/>
              <w:rPr>
                <w:rtl/>
              </w:rPr>
            </w:pPr>
            <w:r w:rsidRPr="00B53C2A">
              <w:rPr>
                <w:rFonts w:hint="cs"/>
                <w:rtl/>
              </w:rPr>
              <w:t>""</w:t>
            </w:r>
            <w:r w:rsidRPr="00B53C2A">
              <w:rPr>
                <w:rtl/>
              </w:rPr>
              <w:t>רשימת מועמדים משותפת</w:t>
            </w:r>
            <w:r w:rsidRPr="00B53C2A">
              <w:rPr>
                <w:rFonts w:hint="cs"/>
                <w:rtl/>
              </w:rPr>
              <w:t>"</w:t>
            </w:r>
            <w:r w:rsidRPr="00B53C2A">
              <w:rPr>
                <w:rtl/>
              </w:rPr>
              <w:t xml:space="preserve"> </w:t>
            </w:r>
            <w:r w:rsidRPr="00B53C2A">
              <w:rPr>
                <w:rFonts w:hint="cs"/>
                <w:rtl/>
              </w:rPr>
              <w:t>–</w:t>
            </w:r>
            <w:r>
              <w:rPr>
                <w:rFonts w:hint="cs"/>
                <w:rtl/>
              </w:rPr>
              <w:t xml:space="preserve"> כהגדרתה בסעיף 57 ל</w:t>
            </w:r>
            <w:r w:rsidRPr="00B53C2A">
              <w:rPr>
                <w:rtl/>
              </w:rPr>
              <w:t>חוק הבחירות</w:t>
            </w:r>
            <w:r>
              <w:rPr>
                <w:rFonts w:hint="cs"/>
                <w:rtl/>
              </w:rPr>
              <w:t>;</w:t>
            </w:r>
          </w:p>
        </w:tc>
      </w:tr>
      <w:tr w:rsidR="008E065A" w:rsidRPr="00B53C2A" w14:paraId="0975906E" w14:textId="77777777" w:rsidTr="008E065A">
        <w:tblPrEx>
          <w:tblLook w:val="01E0" w:firstRow="1" w:lastRow="1" w:firstColumn="1" w:lastColumn="1" w:noHBand="0" w:noVBand="0"/>
        </w:tblPrEx>
        <w:trPr>
          <w:cantSplit/>
        </w:trPr>
        <w:tc>
          <w:tcPr>
            <w:tcW w:w="1871" w:type="dxa"/>
          </w:tcPr>
          <w:p w14:paraId="5A3785D0" w14:textId="77777777" w:rsidR="008E065A" w:rsidRPr="0023024D" w:rsidRDefault="008E065A" w:rsidP="006A2677">
            <w:pPr>
              <w:pStyle w:val="TableSideHeading"/>
              <w:keepLines w:val="0"/>
              <w:rPr>
                <w:rtl/>
              </w:rPr>
            </w:pPr>
          </w:p>
        </w:tc>
        <w:tc>
          <w:tcPr>
            <w:tcW w:w="624" w:type="dxa"/>
          </w:tcPr>
          <w:p w14:paraId="1F1569CF" w14:textId="77777777" w:rsidR="008E065A" w:rsidRDefault="008E065A" w:rsidP="006A2677">
            <w:pPr>
              <w:pStyle w:val="TableText"/>
              <w:rPr>
                <w:rtl/>
              </w:rPr>
            </w:pPr>
          </w:p>
        </w:tc>
        <w:tc>
          <w:tcPr>
            <w:tcW w:w="7143" w:type="dxa"/>
            <w:gridSpan w:val="6"/>
          </w:tcPr>
          <w:p w14:paraId="1388FD99" w14:textId="77777777" w:rsidR="008E065A" w:rsidRPr="00B53C2A" w:rsidRDefault="008E065A" w:rsidP="008E065A">
            <w:pPr>
              <w:pStyle w:val="TableBlockOutdent"/>
              <w:rPr>
                <w:rtl/>
              </w:rPr>
            </w:pPr>
            <w:r>
              <w:rPr>
                <w:rFonts w:hint="cs"/>
                <w:rtl/>
              </w:rPr>
              <w:t xml:space="preserve">"הסכם מימון שוטף" </w:t>
            </w:r>
            <w:r>
              <w:rPr>
                <w:rFonts w:hint="eastAsia"/>
                <w:rtl/>
              </w:rPr>
              <w:t>–</w:t>
            </w:r>
            <w:r>
              <w:rPr>
                <w:rFonts w:hint="cs"/>
                <w:rtl/>
              </w:rPr>
              <w:t xml:space="preserve"> הסכם בין מפלגות שהגישו רשימת מועמדים משותפת לעניין המימון החודשי כאמור בסעיף 12(ד), </w:t>
            </w:r>
            <w:r w:rsidRPr="008663D8">
              <w:rPr>
                <w:rtl/>
              </w:rPr>
              <w:t>שהוגש ליושב ראש ועדת הבחירות המרכזית בעת הגשת רשימת המועמדים המשותפת</w:t>
            </w:r>
            <w:r>
              <w:rPr>
                <w:rFonts w:hint="cs"/>
                <w:rtl/>
              </w:rPr>
              <w:t>;</w:t>
            </w:r>
          </w:p>
        </w:tc>
      </w:tr>
      <w:tr w:rsidR="008E065A" w14:paraId="08A35021" w14:textId="77777777" w:rsidTr="008E065A">
        <w:tblPrEx>
          <w:tblLook w:val="01E0" w:firstRow="1" w:lastRow="1" w:firstColumn="1" w:lastColumn="1" w:noHBand="0" w:noVBand="0"/>
        </w:tblPrEx>
        <w:trPr>
          <w:cantSplit/>
        </w:trPr>
        <w:tc>
          <w:tcPr>
            <w:tcW w:w="1871" w:type="dxa"/>
          </w:tcPr>
          <w:p w14:paraId="7E328820" w14:textId="77777777" w:rsidR="008E065A" w:rsidRDefault="008E065A" w:rsidP="006A2677">
            <w:pPr>
              <w:pStyle w:val="TableSideHeading"/>
              <w:keepLines w:val="0"/>
              <w:rPr>
                <w:rtl/>
              </w:rPr>
            </w:pPr>
          </w:p>
        </w:tc>
        <w:tc>
          <w:tcPr>
            <w:tcW w:w="624" w:type="dxa"/>
          </w:tcPr>
          <w:p w14:paraId="739D2E5B" w14:textId="77777777" w:rsidR="008E065A" w:rsidRDefault="008E065A" w:rsidP="006A2677">
            <w:pPr>
              <w:pStyle w:val="TableText"/>
              <w:rPr>
                <w:rtl/>
              </w:rPr>
            </w:pPr>
          </w:p>
        </w:tc>
        <w:tc>
          <w:tcPr>
            <w:tcW w:w="7143" w:type="dxa"/>
            <w:gridSpan w:val="6"/>
          </w:tcPr>
          <w:p w14:paraId="70084747" w14:textId="77777777" w:rsidR="008E065A" w:rsidRDefault="008E065A" w:rsidP="008E065A">
            <w:pPr>
              <w:pStyle w:val="TableBlockOutdent"/>
              <w:rPr>
                <w:rtl/>
              </w:rPr>
            </w:pPr>
            <w:r>
              <w:rPr>
                <w:rFonts w:hint="cs"/>
                <w:rtl/>
              </w:rPr>
              <w:t xml:space="preserve">"הסכם הוצאות בחירות" </w:t>
            </w:r>
            <w:r>
              <w:rPr>
                <w:rFonts w:hint="eastAsia"/>
                <w:rtl/>
              </w:rPr>
              <w:t>–</w:t>
            </w:r>
            <w:r>
              <w:rPr>
                <w:rFonts w:hint="cs"/>
                <w:rtl/>
              </w:rPr>
              <w:t xml:space="preserve"> הסכם בין מפלגות שהגישו רשימת מועמדים משותפת לעניין מימון הבחירות כאמור בסעיף 13ב(ד);".</w:t>
            </w:r>
          </w:p>
        </w:tc>
      </w:tr>
      <w:tr w:rsidR="008E065A" w:rsidRPr="00A6425C" w14:paraId="0F41F9CD" w14:textId="77777777" w:rsidTr="008E065A">
        <w:trPr>
          <w:cantSplit/>
        </w:trPr>
        <w:tc>
          <w:tcPr>
            <w:tcW w:w="1871" w:type="dxa"/>
            <w:shd w:val="clear" w:color="auto" w:fill="auto"/>
            <w:tcMar>
              <w:top w:w="91" w:type="dxa"/>
              <w:left w:w="0" w:type="dxa"/>
              <w:bottom w:w="91" w:type="dxa"/>
              <w:right w:w="0" w:type="dxa"/>
            </w:tcMar>
          </w:tcPr>
          <w:p w14:paraId="7C45B3AA" w14:textId="77777777" w:rsidR="008E065A" w:rsidRPr="005D7B75" w:rsidRDefault="008E065A" w:rsidP="006A2677">
            <w:pPr>
              <w:pStyle w:val="TableSideHeading"/>
              <w:rPr>
                <w:rtl/>
              </w:rPr>
            </w:pPr>
            <w:r w:rsidRPr="005D7B75">
              <w:rPr>
                <w:rtl/>
              </w:rPr>
              <w:t xml:space="preserve">תיקון </w:t>
            </w:r>
            <w:r>
              <w:rPr>
                <w:rFonts w:hint="cs"/>
                <w:rtl/>
              </w:rPr>
              <w:t>סעיף 3</w:t>
            </w:r>
          </w:p>
        </w:tc>
        <w:tc>
          <w:tcPr>
            <w:tcW w:w="624" w:type="dxa"/>
            <w:shd w:val="clear" w:color="auto" w:fill="auto"/>
            <w:tcMar>
              <w:top w:w="91" w:type="dxa"/>
              <w:left w:w="0" w:type="dxa"/>
              <w:bottom w:w="91" w:type="dxa"/>
              <w:right w:w="0" w:type="dxa"/>
            </w:tcMar>
          </w:tcPr>
          <w:p w14:paraId="190A6B02" w14:textId="77777777" w:rsidR="008E065A" w:rsidRPr="005D7B75" w:rsidRDefault="008E065A" w:rsidP="006A2677">
            <w:pPr>
              <w:pStyle w:val="TableText"/>
              <w:rPr>
                <w:rtl/>
              </w:rPr>
            </w:pPr>
            <w:r>
              <w:rPr>
                <w:rFonts w:hint="cs"/>
                <w:rtl/>
              </w:rPr>
              <w:t>2.</w:t>
            </w:r>
          </w:p>
        </w:tc>
        <w:tc>
          <w:tcPr>
            <w:tcW w:w="7143" w:type="dxa"/>
            <w:gridSpan w:val="6"/>
            <w:shd w:val="clear" w:color="auto" w:fill="auto"/>
            <w:tcMar>
              <w:top w:w="91" w:type="dxa"/>
              <w:left w:w="0" w:type="dxa"/>
              <w:bottom w:w="91" w:type="dxa"/>
              <w:right w:w="0" w:type="dxa"/>
            </w:tcMar>
          </w:tcPr>
          <w:p w14:paraId="3FB7F515" w14:textId="77777777" w:rsidR="008E065A" w:rsidRPr="00A6425C" w:rsidRDefault="008E065A" w:rsidP="008E065A">
            <w:pPr>
              <w:pStyle w:val="TableBlock"/>
              <w:rPr>
                <w:color w:val="BF8F00" w:themeColor="accent4" w:themeShade="BF"/>
                <w:rtl/>
              </w:rPr>
            </w:pPr>
            <w:r w:rsidRPr="008663D8">
              <w:rPr>
                <w:rtl/>
              </w:rPr>
              <w:t>בסעיף 3 לחוק העיקרי, אחרי סעיף קטן (ב) יבוא:</w:t>
            </w:r>
          </w:p>
        </w:tc>
      </w:tr>
      <w:tr w:rsidR="008E065A" w:rsidRPr="00A6425C" w14:paraId="607C18D3" w14:textId="77777777" w:rsidTr="008E065A">
        <w:trPr>
          <w:cantSplit/>
        </w:trPr>
        <w:tc>
          <w:tcPr>
            <w:tcW w:w="1871" w:type="dxa"/>
            <w:shd w:val="clear" w:color="auto" w:fill="auto"/>
            <w:tcMar>
              <w:top w:w="91" w:type="dxa"/>
              <w:left w:w="0" w:type="dxa"/>
              <w:bottom w:w="91" w:type="dxa"/>
              <w:right w:w="0" w:type="dxa"/>
            </w:tcMar>
          </w:tcPr>
          <w:p w14:paraId="7118F8C6" w14:textId="77777777" w:rsidR="008E065A" w:rsidRPr="005D7B75" w:rsidRDefault="008E065A" w:rsidP="006A2677">
            <w:pPr>
              <w:pStyle w:val="TableSideHeading"/>
              <w:spacing w:line="240" w:lineRule="auto"/>
              <w:rPr>
                <w:rtl/>
              </w:rPr>
            </w:pPr>
          </w:p>
        </w:tc>
        <w:tc>
          <w:tcPr>
            <w:tcW w:w="624" w:type="dxa"/>
            <w:shd w:val="clear" w:color="auto" w:fill="auto"/>
            <w:tcMar>
              <w:top w:w="91" w:type="dxa"/>
              <w:left w:w="0" w:type="dxa"/>
              <w:bottom w:w="91" w:type="dxa"/>
              <w:right w:w="0" w:type="dxa"/>
            </w:tcMar>
          </w:tcPr>
          <w:p w14:paraId="660CB2D2" w14:textId="77777777" w:rsidR="008E065A" w:rsidRPr="005D7B75" w:rsidRDefault="008E065A" w:rsidP="006A2677">
            <w:pPr>
              <w:pStyle w:val="TableText"/>
              <w:rPr>
                <w:rtl/>
              </w:rPr>
            </w:pPr>
          </w:p>
        </w:tc>
        <w:tc>
          <w:tcPr>
            <w:tcW w:w="7143" w:type="dxa"/>
            <w:gridSpan w:val="6"/>
            <w:shd w:val="clear" w:color="auto" w:fill="auto"/>
            <w:tcMar>
              <w:top w:w="91" w:type="dxa"/>
              <w:left w:w="0" w:type="dxa"/>
              <w:bottom w:w="91" w:type="dxa"/>
              <w:right w:w="0" w:type="dxa"/>
            </w:tcMar>
          </w:tcPr>
          <w:p w14:paraId="10351BE7" w14:textId="77777777" w:rsidR="008E065A" w:rsidRPr="00A6425C" w:rsidRDefault="008E065A" w:rsidP="008E065A">
            <w:pPr>
              <w:pStyle w:val="TableBlock"/>
              <w:rPr>
                <w:color w:val="BF8F00" w:themeColor="accent4" w:themeShade="BF"/>
                <w:rtl/>
              </w:rPr>
            </w:pPr>
            <w:r>
              <w:rPr>
                <w:rFonts w:hint="cs"/>
                <w:rtl/>
              </w:rPr>
              <w:t>"(ב1)</w:t>
            </w:r>
            <w:r>
              <w:rPr>
                <w:rtl/>
              </w:rPr>
              <w:tab/>
            </w:r>
            <w:r w:rsidRPr="00B53C2A">
              <w:rPr>
                <w:rtl/>
              </w:rPr>
              <w:t xml:space="preserve">המימון של הוצאות הבחירות של </w:t>
            </w:r>
            <w:r>
              <w:rPr>
                <w:rFonts w:hint="cs"/>
                <w:rtl/>
              </w:rPr>
              <w:t>מפלגות</w:t>
            </w:r>
            <w:r w:rsidRPr="00B53C2A">
              <w:rPr>
                <w:rtl/>
              </w:rPr>
              <w:t xml:space="preserve"> </w:t>
            </w:r>
            <w:r>
              <w:rPr>
                <w:rFonts w:hint="cs"/>
                <w:rtl/>
              </w:rPr>
              <w:t>ש</w:t>
            </w:r>
            <w:r w:rsidRPr="00B53C2A">
              <w:rPr>
                <w:rtl/>
              </w:rPr>
              <w:t xml:space="preserve">הגישו רשימת מועמדים משותפת יחושב לכל </w:t>
            </w:r>
            <w:r>
              <w:rPr>
                <w:rFonts w:hint="cs"/>
                <w:rtl/>
              </w:rPr>
              <w:t>מפלגה</w:t>
            </w:r>
            <w:r w:rsidRPr="00B53C2A">
              <w:rPr>
                <w:rtl/>
              </w:rPr>
              <w:t xml:space="preserve"> בנפרד </w:t>
            </w:r>
            <w:r>
              <w:rPr>
                <w:rFonts w:hint="cs"/>
                <w:rtl/>
              </w:rPr>
              <w:t>על פי</w:t>
            </w:r>
            <w:r>
              <w:rPr>
                <w:rtl/>
              </w:rPr>
              <w:t xml:space="preserve"> הוראות </w:t>
            </w:r>
            <w:r>
              <w:rPr>
                <w:rFonts w:hint="cs"/>
                <w:rtl/>
              </w:rPr>
              <w:t xml:space="preserve">סעיפים קטנים </w:t>
            </w:r>
            <w:r>
              <w:rPr>
                <w:rtl/>
              </w:rPr>
              <w:t>(א)</w:t>
            </w:r>
            <w:r>
              <w:rPr>
                <w:rFonts w:hint="cs"/>
                <w:rtl/>
              </w:rPr>
              <w:t xml:space="preserve"> ו-</w:t>
            </w:r>
            <w:r w:rsidRPr="00B53C2A">
              <w:rPr>
                <w:rtl/>
              </w:rPr>
              <w:t>(ב)</w:t>
            </w:r>
            <w:r>
              <w:rPr>
                <w:rFonts w:hint="cs"/>
                <w:rtl/>
              </w:rPr>
              <w:t xml:space="preserve">, בין שחשבון הבחירות מנוהל בנפרד ובין במשותף, לפי הוראות סעיף 13ב(א) או (ב); ואולם, </w:t>
            </w:r>
            <w:r w:rsidRPr="008358B3">
              <w:rPr>
                <w:rtl/>
              </w:rPr>
              <w:t xml:space="preserve">תוספת </w:t>
            </w:r>
            <w:r w:rsidRPr="008358B3">
              <w:rPr>
                <w:rFonts w:hint="cs"/>
                <w:rtl/>
              </w:rPr>
              <w:t>ה</w:t>
            </w:r>
            <w:r w:rsidRPr="008358B3">
              <w:rPr>
                <w:rtl/>
              </w:rPr>
              <w:t xml:space="preserve">סכום השווה ליחידת מימון אחת כאמור </w:t>
            </w:r>
            <w:r w:rsidRPr="008358B3">
              <w:rPr>
                <w:rFonts w:hint="cs"/>
                <w:rtl/>
              </w:rPr>
              <w:t>בסעי</w:t>
            </w:r>
            <w:r>
              <w:rPr>
                <w:rFonts w:hint="cs"/>
                <w:rtl/>
              </w:rPr>
              <w:t xml:space="preserve">פים קטנים </w:t>
            </w:r>
            <w:r w:rsidRPr="008358B3">
              <w:rPr>
                <w:rFonts w:hint="cs"/>
                <w:rtl/>
              </w:rPr>
              <w:t>(א) ו-(ב)</w:t>
            </w:r>
            <w:r w:rsidRPr="008358B3">
              <w:rPr>
                <w:rtl/>
              </w:rPr>
              <w:t xml:space="preserve"> תשולם פעם אחת לכל </w:t>
            </w:r>
            <w:r>
              <w:rPr>
                <w:rFonts w:hint="cs"/>
                <w:rtl/>
              </w:rPr>
              <w:t>המפלגות</w:t>
            </w:r>
            <w:r w:rsidRPr="008358B3">
              <w:rPr>
                <w:rtl/>
              </w:rPr>
              <w:t xml:space="preserve"> </w:t>
            </w:r>
            <w:r>
              <w:rPr>
                <w:rFonts w:hint="cs"/>
                <w:rtl/>
              </w:rPr>
              <w:t>כאמור, והיא תחולק ביניהן לפי שיעור חלקן בפועל בסך הכולל של מימון הוצאות הבחירות הניתן להן לפי סעיפים קטנים (א), (ב) או (ב2).</w:t>
            </w:r>
          </w:p>
        </w:tc>
      </w:tr>
      <w:tr w:rsidR="008E065A" w:rsidRPr="000A3CDE" w14:paraId="705E6BE2" w14:textId="77777777" w:rsidTr="008E065A">
        <w:trPr>
          <w:cantSplit/>
        </w:trPr>
        <w:tc>
          <w:tcPr>
            <w:tcW w:w="1871" w:type="dxa"/>
            <w:shd w:val="clear" w:color="auto" w:fill="auto"/>
            <w:tcMar>
              <w:top w:w="91" w:type="dxa"/>
              <w:left w:w="0" w:type="dxa"/>
              <w:bottom w:w="91" w:type="dxa"/>
              <w:right w:w="0" w:type="dxa"/>
            </w:tcMar>
          </w:tcPr>
          <w:p w14:paraId="13D1416E" w14:textId="77777777" w:rsidR="008E065A" w:rsidRPr="005D7B75" w:rsidRDefault="008E065A" w:rsidP="006A2677">
            <w:pPr>
              <w:pStyle w:val="TableSideHeading"/>
              <w:rPr>
                <w:rtl/>
              </w:rPr>
            </w:pPr>
          </w:p>
        </w:tc>
        <w:tc>
          <w:tcPr>
            <w:tcW w:w="624" w:type="dxa"/>
            <w:shd w:val="clear" w:color="auto" w:fill="auto"/>
            <w:tcMar>
              <w:top w:w="91" w:type="dxa"/>
              <w:left w:w="0" w:type="dxa"/>
              <w:bottom w:w="91" w:type="dxa"/>
              <w:right w:w="0" w:type="dxa"/>
            </w:tcMar>
          </w:tcPr>
          <w:p w14:paraId="5DC7C637" w14:textId="77777777" w:rsidR="008E065A" w:rsidRPr="005D7B75" w:rsidRDefault="008E065A" w:rsidP="006A2677">
            <w:pPr>
              <w:pStyle w:val="TableText"/>
              <w:rPr>
                <w:rtl/>
              </w:rPr>
            </w:pPr>
          </w:p>
        </w:tc>
        <w:tc>
          <w:tcPr>
            <w:tcW w:w="7143" w:type="dxa"/>
            <w:gridSpan w:val="6"/>
            <w:shd w:val="clear" w:color="auto" w:fill="auto"/>
            <w:tcMar>
              <w:top w:w="91" w:type="dxa"/>
              <w:left w:w="0" w:type="dxa"/>
              <w:bottom w:w="91" w:type="dxa"/>
              <w:right w:w="0" w:type="dxa"/>
            </w:tcMar>
          </w:tcPr>
          <w:p w14:paraId="540C2118" w14:textId="77777777" w:rsidR="008E065A" w:rsidRPr="000A3CDE" w:rsidRDefault="008E065A" w:rsidP="008E065A">
            <w:pPr>
              <w:pStyle w:val="TableBlock"/>
              <w:rPr>
                <w:rtl/>
              </w:rPr>
            </w:pPr>
            <w:r w:rsidRPr="000A3CDE">
              <w:rPr>
                <w:rFonts w:hint="cs"/>
                <w:rtl/>
              </w:rPr>
              <w:t>(ב</w:t>
            </w:r>
            <w:r>
              <w:rPr>
                <w:rFonts w:hint="cs"/>
                <w:rtl/>
              </w:rPr>
              <w:t>2</w:t>
            </w:r>
            <w:r w:rsidRPr="000A3CDE">
              <w:rPr>
                <w:rFonts w:hint="cs"/>
                <w:rtl/>
              </w:rPr>
              <w:t>)</w:t>
            </w:r>
            <w:r w:rsidRPr="000A3CDE">
              <w:rPr>
                <w:rtl/>
              </w:rPr>
              <w:tab/>
            </w:r>
            <w:r>
              <w:rPr>
                <w:rFonts w:hint="cs"/>
                <w:rtl/>
              </w:rPr>
              <w:t xml:space="preserve">על אף האמור בסעיפים קטנים </w:t>
            </w:r>
            <w:r>
              <w:rPr>
                <w:rtl/>
              </w:rPr>
              <w:t>(א)</w:t>
            </w:r>
            <w:r>
              <w:rPr>
                <w:rFonts w:hint="cs"/>
                <w:rtl/>
              </w:rPr>
              <w:t xml:space="preserve"> עד (ב1), נערך הסכם מימון שוטף, יראו, לעניין המימון של הוצאות הבחירות, את מספר המנדטים שבהם זכתה כל אחת מהמפלגות שהן צד להסכם כאילו הוא המספר לפי שיעור המימון החודשי בהתאם להסכם במועד התשלום הראשון של מימון ההוצאות השוטפות לפי סעיף 2(א)(2), והמספר לא יעוגל."</w:t>
            </w:r>
          </w:p>
        </w:tc>
      </w:tr>
      <w:tr w:rsidR="008E065A" w:rsidRPr="000A3CDE" w14:paraId="272FFC20" w14:textId="77777777" w:rsidTr="008E065A">
        <w:trPr>
          <w:cantSplit/>
        </w:trPr>
        <w:tc>
          <w:tcPr>
            <w:tcW w:w="1871" w:type="dxa"/>
            <w:shd w:val="clear" w:color="auto" w:fill="auto"/>
            <w:tcMar>
              <w:top w:w="91" w:type="dxa"/>
              <w:left w:w="0" w:type="dxa"/>
              <w:bottom w:w="91" w:type="dxa"/>
              <w:right w:w="0" w:type="dxa"/>
            </w:tcMar>
          </w:tcPr>
          <w:p w14:paraId="715DB8F5" w14:textId="77777777" w:rsidR="008E065A" w:rsidRPr="005D7B75" w:rsidRDefault="008E065A" w:rsidP="006A2677">
            <w:pPr>
              <w:pStyle w:val="TableSideHeading"/>
              <w:rPr>
                <w:rtl/>
              </w:rPr>
            </w:pPr>
            <w:r w:rsidRPr="005D7B75">
              <w:rPr>
                <w:rtl/>
              </w:rPr>
              <w:t xml:space="preserve">תיקון </w:t>
            </w:r>
            <w:r>
              <w:rPr>
                <w:rFonts w:hint="cs"/>
                <w:rtl/>
              </w:rPr>
              <w:t>סעיף 4</w:t>
            </w:r>
          </w:p>
        </w:tc>
        <w:tc>
          <w:tcPr>
            <w:tcW w:w="624" w:type="dxa"/>
            <w:shd w:val="clear" w:color="auto" w:fill="auto"/>
            <w:tcMar>
              <w:top w:w="91" w:type="dxa"/>
              <w:left w:w="0" w:type="dxa"/>
              <w:bottom w:w="91" w:type="dxa"/>
              <w:right w:w="0" w:type="dxa"/>
            </w:tcMar>
          </w:tcPr>
          <w:p w14:paraId="338D7296" w14:textId="77777777" w:rsidR="008E065A" w:rsidRPr="005D7B75" w:rsidRDefault="008E065A" w:rsidP="006A2677">
            <w:pPr>
              <w:pStyle w:val="TableText"/>
              <w:rPr>
                <w:rtl/>
              </w:rPr>
            </w:pPr>
            <w:r>
              <w:rPr>
                <w:rFonts w:hint="cs"/>
                <w:rtl/>
              </w:rPr>
              <w:t>3.</w:t>
            </w:r>
          </w:p>
        </w:tc>
        <w:tc>
          <w:tcPr>
            <w:tcW w:w="7143" w:type="dxa"/>
            <w:gridSpan w:val="6"/>
            <w:shd w:val="clear" w:color="auto" w:fill="auto"/>
            <w:tcMar>
              <w:top w:w="91" w:type="dxa"/>
              <w:left w:w="0" w:type="dxa"/>
              <w:bottom w:w="91" w:type="dxa"/>
              <w:right w:w="0" w:type="dxa"/>
            </w:tcMar>
          </w:tcPr>
          <w:p w14:paraId="5471A767" w14:textId="77777777" w:rsidR="008E065A" w:rsidRPr="000A3CDE" w:rsidRDefault="008E065A" w:rsidP="008E065A">
            <w:pPr>
              <w:pStyle w:val="TableBlock"/>
              <w:rPr>
                <w:rtl/>
              </w:rPr>
            </w:pPr>
            <w:r>
              <w:rPr>
                <w:rFonts w:hint="cs"/>
                <w:rtl/>
              </w:rPr>
              <w:t xml:space="preserve">בסעיף 4 לחוק העיקרי </w:t>
            </w:r>
            <w:r>
              <w:rPr>
                <w:rFonts w:hint="eastAsia"/>
                <w:rtl/>
              </w:rPr>
              <w:t>–</w:t>
            </w:r>
            <w:r>
              <w:rPr>
                <w:rFonts w:hint="cs"/>
                <w:rtl/>
              </w:rPr>
              <w:t xml:space="preserve"> </w:t>
            </w:r>
          </w:p>
        </w:tc>
      </w:tr>
      <w:tr w:rsidR="008E065A" w14:paraId="7AFF5C10" w14:textId="77777777" w:rsidTr="008E065A">
        <w:tblPrEx>
          <w:tblLook w:val="01E0" w:firstRow="1" w:lastRow="1" w:firstColumn="1" w:lastColumn="1" w:noHBand="0" w:noVBand="0"/>
        </w:tblPrEx>
        <w:trPr>
          <w:cantSplit/>
        </w:trPr>
        <w:tc>
          <w:tcPr>
            <w:tcW w:w="1871" w:type="dxa"/>
          </w:tcPr>
          <w:p w14:paraId="76E82C11" w14:textId="77777777" w:rsidR="008E065A" w:rsidRDefault="008E065A" w:rsidP="006A2677">
            <w:pPr>
              <w:pStyle w:val="TableSideHeading"/>
            </w:pPr>
          </w:p>
        </w:tc>
        <w:tc>
          <w:tcPr>
            <w:tcW w:w="624" w:type="dxa"/>
          </w:tcPr>
          <w:p w14:paraId="43EF7D37" w14:textId="77777777" w:rsidR="008E065A" w:rsidRDefault="008E065A" w:rsidP="006A2677">
            <w:pPr>
              <w:pStyle w:val="TableText"/>
            </w:pPr>
          </w:p>
        </w:tc>
        <w:tc>
          <w:tcPr>
            <w:tcW w:w="7143" w:type="dxa"/>
            <w:gridSpan w:val="6"/>
          </w:tcPr>
          <w:p w14:paraId="55A37654" w14:textId="77777777" w:rsidR="008E065A" w:rsidRDefault="008E065A" w:rsidP="008E065A">
            <w:pPr>
              <w:pStyle w:val="TableBlock"/>
            </w:pPr>
            <w:r>
              <w:rPr>
                <w:rFonts w:hint="cs"/>
                <w:rtl/>
              </w:rPr>
              <w:t>(1)</w:t>
            </w:r>
            <w:r>
              <w:rPr>
                <w:rtl/>
              </w:rPr>
              <w:tab/>
            </w:r>
            <w:r>
              <w:rPr>
                <w:rFonts w:hint="cs"/>
                <w:rtl/>
              </w:rPr>
              <w:t xml:space="preserve">בסעיף קטן (א) </w:t>
            </w:r>
            <w:r>
              <w:rPr>
                <w:rFonts w:hint="eastAsia"/>
                <w:rtl/>
              </w:rPr>
              <w:t>–</w:t>
            </w:r>
            <w:r>
              <w:rPr>
                <w:rFonts w:hint="cs"/>
                <w:rtl/>
              </w:rPr>
              <w:t xml:space="preserve"> </w:t>
            </w:r>
          </w:p>
        </w:tc>
      </w:tr>
      <w:tr w:rsidR="008E065A" w14:paraId="5A827755" w14:textId="77777777" w:rsidTr="008E065A">
        <w:tblPrEx>
          <w:tblLook w:val="01E0" w:firstRow="1" w:lastRow="1" w:firstColumn="1" w:lastColumn="1" w:noHBand="0" w:noVBand="0"/>
        </w:tblPrEx>
        <w:trPr>
          <w:cantSplit/>
        </w:trPr>
        <w:tc>
          <w:tcPr>
            <w:tcW w:w="1871" w:type="dxa"/>
          </w:tcPr>
          <w:p w14:paraId="317BD311" w14:textId="77777777" w:rsidR="008E065A" w:rsidRDefault="008E065A" w:rsidP="006A2677">
            <w:pPr>
              <w:pStyle w:val="TableSideHeading"/>
            </w:pPr>
          </w:p>
        </w:tc>
        <w:tc>
          <w:tcPr>
            <w:tcW w:w="624" w:type="dxa"/>
          </w:tcPr>
          <w:p w14:paraId="765CF363" w14:textId="77777777" w:rsidR="008E065A" w:rsidRDefault="008E065A" w:rsidP="006A2677">
            <w:pPr>
              <w:pStyle w:val="TableText"/>
            </w:pPr>
          </w:p>
        </w:tc>
        <w:tc>
          <w:tcPr>
            <w:tcW w:w="624" w:type="dxa"/>
          </w:tcPr>
          <w:p w14:paraId="66F2105A" w14:textId="77777777" w:rsidR="008E065A" w:rsidRDefault="008E065A" w:rsidP="006A2677">
            <w:pPr>
              <w:pStyle w:val="TableText"/>
            </w:pPr>
          </w:p>
        </w:tc>
        <w:tc>
          <w:tcPr>
            <w:tcW w:w="6519" w:type="dxa"/>
            <w:gridSpan w:val="5"/>
          </w:tcPr>
          <w:p w14:paraId="6F6A4268" w14:textId="77777777" w:rsidR="008E065A" w:rsidRDefault="008E065A" w:rsidP="008E065A">
            <w:pPr>
              <w:pStyle w:val="TableBlock"/>
            </w:pPr>
            <w:r>
              <w:rPr>
                <w:rFonts w:hint="cs"/>
                <w:rtl/>
              </w:rPr>
              <w:t>(א)</w:t>
            </w:r>
            <w:r>
              <w:rPr>
                <w:rtl/>
              </w:rPr>
              <w:tab/>
            </w:r>
            <w:r>
              <w:rPr>
                <w:rFonts w:hint="cs"/>
                <w:rtl/>
              </w:rPr>
              <w:t>האמור בו יסומן כפסקה (1), ובה, במקום "לא יימנה עם הסיעה חבר הכנסת" יבוא "יחולו הוראות סעיף 62 לחוק הכנסת, אולם חבר הכנסת", ובסופה יבוא "לא יימנה";</w:t>
            </w:r>
          </w:p>
        </w:tc>
      </w:tr>
      <w:tr w:rsidR="008E065A" w14:paraId="6518E3B0" w14:textId="77777777" w:rsidTr="008E065A">
        <w:tblPrEx>
          <w:tblLook w:val="01E0" w:firstRow="1" w:lastRow="1" w:firstColumn="1" w:lastColumn="1" w:noHBand="0" w:noVBand="0"/>
        </w:tblPrEx>
        <w:trPr>
          <w:cantSplit/>
        </w:trPr>
        <w:tc>
          <w:tcPr>
            <w:tcW w:w="1871" w:type="dxa"/>
          </w:tcPr>
          <w:p w14:paraId="5A28D2EA" w14:textId="77777777" w:rsidR="008E065A" w:rsidRDefault="008E065A" w:rsidP="006A2677">
            <w:pPr>
              <w:pStyle w:val="TableSideHeading"/>
            </w:pPr>
          </w:p>
        </w:tc>
        <w:tc>
          <w:tcPr>
            <w:tcW w:w="624" w:type="dxa"/>
          </w:tcPr>
          <w:p w14:paraId="6B304F72" w14:textId="77777777" w:rsidR="008E065A" w:rsidRDefault="008E065A" w:rsidP="006A2677">
            <w:pPr>
              <w:pStyle w:val="TableText"/>
            </w:pPr>
          </w:p>
        </w:tc>
        <w:tc>
          <w:tcPr>
            <w:tcW w:w="624" w:type="dxa"/>
          </w:tcPr>
          <w:p w14:paraId="3764AC98" w14:textId="77777777" w:rsidR="008E065A" w:rsidRDefault="008E065A" w:rsidP="006A2677">
            <w:pPr>
              <w:pStyle w:val="TableText"/>
            </w:pPr>
          </w:p>
        </w:tc>
        <w:tc>
          <w:tcPr>
            <w:tcW w:w="6519" w:type="dxa"/>
            <w:gridSpan w:val="5"/>
          </w:tcPr>
          <w:p w14:paraId="2C3E1784" w14:textId="77777777" w:rsidR="008E065A" w:rsidRDefault="008E065A" w:rsidP="008E065A">
            <w:pPr>
              <w:pStyle w:val="TableBlock"/>
            </w:pPr>
            <w:r>
              <w:rPr>
                <w:rFonts w:hint="cs"/>
                <w:rtl/>
              </w:rPr>
              <w:t>(ב)</w:t>
            </w:r>
            <w:r>
              <w:rPr>
                <w:rtl/>
              </w:rPr>
              <w:tab/>
            </w:r>
            <w:r>
              <w:rPr>
                <w:rFonts w:hint="cs"/>
                <w:rtl/>
              </w:rPr>
              <w:t>אחרי פסקה (1) יבוא:</w:t>
            </w:r>
          </w:p>
        </w:tc>
      </w:tr>
      <w:tr w:rsidR="008E065A" w:rsidRPr="00EF7105" w14:paraId="503E9E37" w14:textId="77777777" w:rsidTr="008E065A">
        <w:tblPrEx>
          <w:tblLook w:val="01E0" w:firstRow="1" w:lastRow="1" w:firstColumn="1" w:lastColumn="1" w:noHBand="0" w:noVBand="0"/>
        </w:tblPrEx>
        <w:trPr>
          <w:cantSplit/>
        </w:trPr>
        <w:tc>
          <w:tcPr>
            <w:tcW w:w="1871" w:type="dxa"/>
          </w:tcPr>
          <w:p w14:paraId="06E3D4BF" w14:textId="77777777" w:rsidR="008E065A" w:rsidRDefault="008E065A" w:rsidP="006A2677">
            <w:pPr>
              <w:pStyle w:val="TableSideHeading"/>
            </w:pPr>
          </w:p>
        </w:tc>
        <w:tc>
          <w:tcPr>
            <w:tcW w:w="624" w:type="dxa"/>
          </w:tcPr>
          <w:p w14:paraId="6D6555E3" w14:textId="77777777" w:rsidR="008E065A" w:rsidRDefault="008E065A" w:rsidP="006A2677">
            <w:pPr>
              <w:pStyle w:val="TableText"/>
              <w:jc w:val="both"/>
            </w:pPr>
          </w:p>
        </w:tc>
        <w:tc>
          <w:tcPr>
            <w:tcW w:w="624" w:type="dxa"/>
          </w:tcPr>
          <w:p w14:paraId="639CCFA3" w14:textId="77777777" w:rsidR="008E065A" w:rsidRDefault="008E065A" w:rsidP="006A2677">
            <w:pPr>
              <w:pStyle w:val="TableText"/>
              <w:jc w:val="both"/>
            </w:pPr>
          </w:p>
        </w:tc>
        <w:tc>
          <w:tcPr>
            <w:tcW w:w="624" w:type="dxa"/>
          </w:tcPr>
          <w:p w14:paraId="11D688E5" w14:textId="77777777" w:rsidR="008E065A" w:rsidRPr="00EF7105" w:rsidRDefault="008E065A" w:rsidP="006A2677">
            <w:pPr>
              <w:pStyle w:val="TableText"/>
              <w:jc w:val="both"/>
            </w:pPr>
          </w:p>
        </w:tc>
        <w:tc>
          <w:tcPr>
            <w:tcW w:w="5895" w:type="dxa"/>
            <w:gridSpan w:val="4"/>
          </w:tcPr>
          <w:p w14:paraId="6E4E6326" w14:textId="77777777" w:rsidR="008E065A" w:rsidRPr="00EF7105" w:rsidRDefault="008E065A" w:rsidP="008E065A">
            <w:pPr>
              <w:pStyle w:val="TableBlock"/>
            </w:pPr>
            <w:r w:rsidRPr="00B51785">
              <w:rPr>
                <w:rFonts w:hint="cs"/>
                <w:rtl/>
              </w:rPr>
              <w:t>"(2)</w:t>
            </w:r>
            <w:r w:rsidRPr="00B51785">
              <w:rPr>
                <w:rtl/>
              </w:rPr>
              <w:tab/>
            </w:r>
            <w:r>
              <w:rPr>
                <w:rFonts w:hint="cs"/>
                <w:rtl/>
              </w:rPr>
              <w:t>לעניין סעיף זה,</w:t>
            </w:r>
            <w:r w:rsidRPr="00080112" w:rsidDel="00C86765">
              <w:rPr>
                <w:rtl/>
              </w:rPr>
              <w:t xml:space="preserve"> </w:t>
            </w:r>
            <w:r>
              <w:rPr>
                <w:rFonts w:hint="cs"/>
                <w:rtl/>
              </w:rPr>
              <w:t xml:space="preserve">יראו מפלגות שהגישו רשימת מועמדים משותפת כסיעה אחת, </w:t>
            </w:r>
            <w:r w:rsidRPr="00B51785">
              <w:rPr>
                <w:rFonts w:hint="cs"/>
                <w:rtl/>
              </w:rPr>
              <w:t xml:space="preserve">בין </w:t>
            </w:r>
            <w:r>
              <w:rPr>
                <w:rFonts w:hint="cs"/>
                <w:rtl/>
              </w:rPr>
              <w:t>ש</w:t>
            </w:r>
            <w:r w:rsidRPr="00B51785">
              <w:rPr>
                <w:rFonts w:hint="cs"/>
                <w:rtl/>
              </w:rPr>
              <w:t xml:space="preserve">חשבון הבחירות מנוהל בנפרד </w:t>
            </w:r>
            <w:r>
              <w:rPr>
                <w:rFonts w:hint="cs"/>
                <w:rtl/>
              </w:rPr>
              <w:t>ובין במשותף, לפי הוראות סעיף 13ב(א) או (ב).</w:t>
            </w:r>
          </w:p>
        </w:tc>
      </w:tr>
      <w:tr w:rsidR="008E065A" w:rsidRPr="00EF7105" w14:paraId="5E07562E" w14:textId="77777777" w:rsidTr="008E065A">
        <w:tblPrEx>
          <w:tblLook w:val="01E0" w:firstRow="1" w:lastRow="1" w:firstColumn="1" w:lastColumn="1" w:noHBand="0" w:noVBand="0"/>
        </w:tblPrEx>
        <w:trPr>
          <w:cantSplit/>
        </w:trPr>
        <w:tc>
          <w:tcPr>
            <w:tcW w:w="1871" w:type="dxa"/>
          </w:tcPr>
          <w:p w14:paraId="0D48961A" w14:textId="77777777" w:rsidR="008E065A" w:rsidRDefault="008E065A" w:rsidP="006A2677">
            <w:pPr>
              <w:pStyle w:val="TableSideHeading"/>
            </w:pPr>
          </w:p>
        </w:tc>
        <w:tc>
          <w:tcPr>
            <w:tcW w:w="624" w:type="dxa"/>
          </w:tcPr>
          <w:p w14:paraId="34B3090F" w14:textId="77777777" w:rsidR="008E065A" w:rsidRDefault="008E065A" w:rsidP="006A2677">
            <w:pPr>
              <w:pStyle w:val="TableText"/>
              <w:jc w:val="both"/>
            </w:pPr>
          </w:p>
        </w:tc>
        <w:tc>
          <w:tcPr>
            <w:tcW w:w="624" w:type="dxa"/>
          </w:tcPr>
          <w:p w14:paraId="536F6555" w14:textId="77777777" w:rsidR="008E065A" w:rsidRDefault="008E065A" w:rsidP="006A2677">
            <w:pPr>
              <w:pStyle w:val="TableText"/>
              <w:jc w:val="both"/>
            </w:pPr>
          </w:p>
        </w:tc>
        <w:tc>
          <w:tcPr>
            <w:tcW w:w="624" w:type="dxa"/>
          </w:tcPr>
          <w:p w14:paraId="738F4265" w14:textId="77777777" w:rsidR="008E065A" w:rsidRPr="00EF7105" w:rsidRDefault="008E065A" w:rsidP="006A2677">
            <w:pPr>
              <w:pStyle w:val="TableText"/>
              <w:jc w:val="both"/>
            </w:pPr>
          </w:p>
        </w:tc>
        <w:tc>
          <w:tcPr>
            <w:tcW w:w="5895" w:type="dxa"/>
            <w:gridSpan w:val="4"/>
          </w:tcPr>
          <w:p w14:paraId="59F318B2" w14:textId="77777777" w:rsidR="008E065A" w:rsidRPr="00EF7105" w:rsidRDefault="008E065A" w:rsidP="008E065A">
            <w:pPr>
              <w:pStyle w:val="TableBlock"/>
            </w:pPr>
            <w:r>
              <w:rPr>
                <w:rFonts w:hint="cs"/>
                <w:rtl/>
              </w:rPr>
              <w:t>(3)</w:t>
            </w:r>
            <w:r>
              <w:rPr>
                <w:rtl/>
              </w:rPr>
              <w:tab/>
            </w:r>
            <w:r>
              <w:rPr>
                <w:rFonts w:hint="cs"/>
                <w:rtl/>
              </w:rPr>
              <w:t xml:space="preserve">ניהלו מפלגות שהגישו רשימת מועמדים משותפת את חשבון הבחירות בנפרד </w:t>
            </w:r>
            <w:r w:rsidRPr="00B51785">
              <w:rPr>
                <w:rFonts w:hint="cs"/>
                <w:rtl/>
              </w:rPr>
              <w:t>כאמור בסעיף 13</w:t>
            </w:r>
            <w:r>
              <w:rPr>
                <w:rFonts w:hint="cs"/>
                <w:rtl/>
              </w:rPr>
              <w:t>ב</w:t>
            </w:r>
            <w:r w:rsidRPr="00B51785">
              <w:rPr>
                <w:rFonts w:hint="cs"/>
                <w:rtl/>
              </w:rPr>
              <w:t>(א)</w:t>
            </w:r>
            <w:r>
              <w:rPr>
                <w:rFonts w:hint="cs"/>
                <w:rtl/>
              </w:rPr>
              <w:t>, תחולק ביניהן המקדמה לפי מספר חברי הכנסת שנמנים עם כל אחת מהן ביום הקובע כאמור בפסקה (1).</w:t>
            </w:r>
          </w:p>
        </w:tc>
      </w:tr>
      <w:tr w:rsidR="008E065A" w:rsidRPr="00EF7105" w14:paraId="6FF60385" w14:textId="77777777" w:rsidTr="008E065A">
        <w:tblPrEx>
          <w:tblLook w:val="01E0" w:firstRow="1" w:lastRow="1" w:firstColumn="1" w:lastColumn="1" w:noHBand="0" w:noVBand="0"/>
        </w:tblPrEx>
        <w:trPr>
          <w:cantSplit/>
        </w:trPr>
        <w:tc>
          <w:tcPr>
            <w:tcW w:w="1871" w:type="dxa"/>
          </w:tcPr>
          <w:p w14:paraId="5A8203AB" w14:textId="77777777" w:rsidR="008E065A" w:rsidRDefault="008E065A" w:rsidP="006A2677">
            <w:pPr>
              <w:pStyle w:val="TableSideHeading"/>
            </w:pPr>
          </w:p>
        </w:tc>
        <w:tc>
          <w:tcPr>
            <w:tcW w:w="624" w:type="dxa"/>
          </w:tcPr>
          <w:p w14:paraId="48D3929C" w14:textId="77777777" w:rsidR="008E065A" w:rsidRDefault="008E065A" w:rsidP="006A2677">
            <w:pPr>
              <w:pStyle w:val="TableText"/>
              <w:jc w:val="both"/>
            </w:pPr>
          </w:p>
        </w:tc>
        <w:tc>
          <w:tcPr>
            <w:tcW w:w="624" w:type="dxa"/>
          </w:tcPr>
          <w:p w14:paraId="77AC3C31" w14:textId="77777777" w:rsidR="008E065A" w:rsidRDefault="008E065A" w:rsidP="006A2677">
            <w:pPr>
              <w:pStyle w:val="TableText"/>
              <w:jc w:val="both"/>
            </w:pPr>
          </w:p>
        </w:tc>
        <w:tc>
          <w:tcPr>
            <w:tcW w:w="624" w:type="dxa"/>
          </w:tcPr>
          <w:p w14:paraId="258E159E" w14:textId="77777777" w:rsidR="008E065A" w:rsidRPr="00EF7105" w:rsidRDefault="008E065A" w:rsidP="006A2677">
            <w:pPr>
              <w:pStyle w:val="TableText"/>
              <w:jc w:val="both"/>
            </w:pPr>
          </w:p>
        </w:tc>
        <w:tc>
          <w:tcPr>
            <w:tcW w:w="5895" w:type="dxa"/>
            <w:gridSpan w:val="4"/>
          </w:tcPr>
          <w:p w14:paraId="56E024F1" w14:textId="77777777" w:rsidR="008E065A" w:rsidRPr="00EF7105" w:rsidRDefault="008E065A" w:rsidP="008E065A">
            <w:pPr>
              <w:pStyle w:val="TableBlock"/>
            </w:pPr>
            <w:r>
              <w:rPr>
                <w:rFonts w:hint="cs"/>
                <w:rtl/>
              </w:rPr>
              <w:t>(4)</w:t>
            </w:r>
            <w:r>
              <w:rPr>
                <w:rtl/>
              </w:rPr>
              <w:tab/>
            </w:r>
            <w:r>
              <w:rPr>
                <w:rFonts w:hint="cs"/>
                <w:rtl/>
              </w:rPr>
              <w:t>על אף האמור בפסקאות (1) ו-(3), נערך הסכם מימון שוטף, יראו את מספר חברי הכנסת שנמנים עם כל אחת מהמפלגות שהן צד להסכם ביום הקובע כאילו הוא המספר לפי שיעור המימון החודשי בהתאם להסכם ביום הקובע, והמספר לא יעוגל.";</w:t>
            </w:r>
          </w:p>
        </w:tc>
      </w:tr>
      <w:tr w:rsidR="008E065A" w14:paraId="3B96EB7C" w14:textId="77777777" w:rsidTr="008E065A">
        <w:tblPrEx>
          <w:tblLook w:val="01E0" w:firstRow="1" w:lastRow="1" w:firstColumn="1" w:lastColumn="1" w:noHBand="0" w:noVBand="0"/>
        </w:tblPrEx>
        <w:trPr>
          <w:cantSplit/>
        </w:trPr>
        <w:tc>
          <w:tcPr>
            <w:tcW w:w="1871" w:type="dxa"/>
          </w:tcPr>
          <w:p w14:paraId="4BF1FA94" w14:textId="77777777" w:rsidR="008E065A" w:rsidRDefault="008E065A" w:rsidP="006A2677">
            <w:pPr>
              <w:pStyle w:val="TableSideHeading"/>
            </w:pPr>
          </w:p>
        </w:tc>
        <w:tc>
          <w:tcPr>
            <w:tcW w:w="624" w:type="dxa"/>
          </w:tcPr>
          <w:p w14:paraId="1D26E3F2" w14:textId="77777777" w:rsidR="008E065A" w:rsidRDefault="008E065A" w:rsidP="006A2677">
            <w:pPr>
              <w:pStyle w:val="TableText"/>
            </w:pPr>
          </w:p>
        </w:tc>
        <w:tc>
          <w:tcPr>
            <w:tcW w:w="7143" w:type="dxa"/>
            <w:gridSpan w:val="6"/>
          </w:tcPr>
          <w:p w14:paraId="78038F21" w14:textId="77777777" w:rsidR="008E065A" w:rsidRDefault="008E065A" w:rsidP="008E065A">
            <w:pPr>
              <w:pStyle w:val="TableBlock"/>
            </w:pPr>
            <w:r>
              <w:rPr>
                <w:rFonts w:hint="cs"/>
                <w:rtl/>
              </w:rPr>
              <w:t>(2)</w:t>
            </w:r>
            <w:r>
              <w:rPr>
                <w:rtl/>
              </w:rPr>
              <w:tab/>
            </w:r>
            <w:r>
              <w:rPr>
                <w:rFonts w:hint="cs"/>
                <w:rtl/>
              </w:rPr>
              <w:t>אחרי סעיף קטן (ג1) יבוא:</w:t>
            </w:r>
          </w:p>
        </w:tc>
      </w:tr>
      <w:tr w:rsidR="008E065A" w14:paraId="58DAEAE0" w14:textId="77777777" w:rsidTr="008E065A">
        <w:tblPrEx>
          <w:tblLook w:val="01E0" w:firstRow="1" w:lastRow="1" w:firstColumn="1" w:lastColumn="1" w:noHBand="0" w:noVBand="0"/>
        </w:tblPrEx>
        <w:trPr>
          <w:cantSplit/>
        </w:trPr>
        <w:tc>
          <w:tcPr>
            <w:tcW w:w="1871" w:type="dxa"/>
          </w:tcPr>
          <w:p w14:paraId="27D4CFB0" w14:textId="77777777" w:rsidR="008E065A" w:rsidRDefault="008E065A" w:rsidP="006A2677">
            <w:pPr>
              <w:pStyle w:val="TableSideHeading"/>
            </w:pPr>
          </w:p>
        </w:tc>
        <w:tc>
          <w:tcPr>
            <w:tcW w:w="624" w:type="dxa"/>
          </w:tcPr>
          <w:p w14:paraId="2A304C09" w14:textId="77777777" w:rsidR="008E065A" w:rsidRDefault="008E065A" w:rsidP="006A2677">
            <w:pPr>
              <w:pStyle w:val="TableText"/>
            </w:pPr>
          </w:p>
        </w:tc>
        <w:tc>
          <w:tcPr>
            <w:tcW w:w="624" w:type="dxa"/>
          </w:tcPr>
          <w:p w14:paraId="19E1B87C" w14:textId="77777777" w:rsidR="008E065A" w:rsidRDefault="008E065A" w:rsidP="006A2677">
            <w:pPr>
              <w:pStyle w:val="TableText"/>
            </w:pPr>
          </w:p>
        </w:tc>
        <w:tc>
          <w:tcPr>
            <w:tcW w:w="6519" w:type="dxa"/>
            <w:gridSpan w:val="5"/>
          </w:tcPr>
          <w:p w14:paraId="036F1DE7" w14:textId="77777777" w:rsidR="008E065A" w:rsidRDefault="008E065A" w:rsidP="008E065A">
            <w:pPr>
              <w:pStyle w:val="TableBlock"/>
            </w:pPr>
            <w:r>
              <w:rPr>
                <w:rFonts w:hint="cs"/>
                <w:rtl/>
              </w:rPr>
              <w:t>"(ג2)</w:t>
            </w:r>
            <w:r>
              <w:rPr>
                <w:rtl/>
              </w:rPr>
              <w:tab/>
            </w:r>
            <w:r>
              <w:rPr>
                <w:rFonts w:hint="cs"/>
                <w:rtl/>
              </w:rPr>
              <w:t xml:space="preserve">שולמה למפלגה מקדמה על חשבון מימון הוצאות הבחירות בסכום גדול מהסכום המגיע לה למימון הוצאות הבחירות, ולא ניתן לנכותו או לממש לגביו ערבות בנקאית, לפי סעיף קטן (ג) או (ג1), תחזירו המפלגה ללא דיחוי, ואם לא עשתה כן </w:t>
            </w:r>
            <w:r>
              <w:rPr>
                <w:rtl/>
              </w:rPr>
              <w:t>–</w:t>
            </w:r>
            <w:r>
              <w:rPr>
                <w:rFonts w:hint="cs"/>
                <w:rtl/>
              </w:rPr>
              <w:t xml:space="preserve"> ינוכה החוב מכל סכום המגיע לה מאוצר המדינה לפי חוק זה או לפי דין אחר; יושב ראש הכנסת יודיע לשר האוצר, לשר המשפטים ולשר הפנים על חוב כאמור שלא הוחזר. </w:t>
            </w:r>
          </w:p>
        </w:tc>
      </w:tr>
      <w:tr w:rsidR="008E065A" w14:paraId="25E1CFED" w14:textId="77777777" w:rsidTr="008E065A">
        <w:tblPrEx>
          <w:tblLook w:val="01E0" w:firstRow="1" w:lastRow="1" w:firstColumn="1" w:lastColumn="1" w:noHBand="0" w:noVBand="0"/>
        </w:tblPrEx>
        <w:trPr>
          <w:cantSplit/>
        </w:trPr>
        <w:tc>
          <w:tcPr>
            <w:tcW w:w="1871" w:type="dxa"/>
          </w:tcPr>
          <w:p w14:paraId="617189E9" w14:textId="77777777" w:rsidR="008E065A" w:rsidRDefault="008E065A" w:rsidP="006A2677">
            <w:pPr>
              <w:pStyle w:val="TableSideHeading"/>
            </w:pPr>
          </w:p>
        </w:tc>
        <w:tc>
          <w:tcPr>
            <w:tcW w:w="624" w:type="dxa"/>
          </w:tcPr>
          <w:p w14:paraId="5BC4971E" w14:textId="77777777" w:rsidR="008E065A" w:rsidRDefault="008E065A" w:rsidP="006A2677">
            <w:pPr>
              <w:pStyle w:val="TableText"/>
            </w:pPr>
          </w:p>
        </w:tc>
        <w:tc>
          <w:tcPr>
            <w:tcW w:w="624" w:type="dxa"/>
          </w:tcPr>
          <w:p w14:paraId="1FE6542F" w14:textId="77777777" w:rsidR="008E065A" w:rsidRDefault="008E065A" w:rsidP="006A2677">
            <w:pPr>
              <w:pStyle w:val="TableText"/>
            </w:pPr>
          </w:p>
        </w:tc>
        <w:tc>
          <w:tcPr>
            <w:tcW w:w="6519" w:type="dxa"/>
            <w:gridSpan w:val="5"/>
          </w:tcPr>
          <w:p w14:paraId="62385355" w14:textId="77777777" w:rsidR="008E065A" w:rsidRDefault="008E065A" w:rsidP="008E065A">
            <w:pPr>
              <w:pStyle w:val="TableBlock"/>
              <w:rPr>
                <w:rtl/>
              </w:rPr>
            </w:pPr>
            <w:r>
              <w:rPr>
                <w:rFonts w:hint="cs"/>
                <w:rtl/>
              </w:rPr>
              <w:t>(ג3)</w:t>
            </w:r>
            <w:r>
              <w:rPr>
                <w:rtl/>
              </w:rPr>
              <w:tab/>
            </w:r>
            <w:r>
              <w:rPr>
                <w:rFonts w:hint="cs"/>
                <w:rtl/>
              </w:rPr>
              <w:t xml:space="preserve">לעניין מפלגה שהגישה רשימת מועמדים משותפת ושולמה לה מקדמה כאמור בסעיף קטן (ג2), ולא ניתן לנכות את החוב בדרך האמורה באותו סעיף קטן, ינוכה החוב מתשלומי ההוצאות השוטפות של יתר המפלגות שהגישו </w:t>
            </w:r>
            <w:proofErr w:type="spellStart"/>
            <w:r>
              <w:rPr>
                <w:rFonts w:hint="cs"/>
                <w:rtl/>
              </w:rPr>
              <w:t>איתה</w:t>
            </w:r>
            <w:proofErr w:type="spellEnd"/>
            <w:r>
              <w:rPr>
                <w:rFonts w:hint="cs"/>
                <w:rtl/>
              </w:rPr>
              <w:t xml:space="preserve"> את רשימת המועמדים המשותפת לפי שיעור חלקן בפועל בסך הכולל של מימון ההוצאות השוטפות."</w:t>
            </w:r>
          </w:p>
        </w:tc>
      </w:tr>
      <w:tr w:rsidR="008E065A" w14:paraId="7EA1A894" w14:textId="77777777" w:rsidTr="008E065A">
        <w:trPr>
          <w:cantSplit/>
        </w:trPr>
        <w:tc>
          <w:tcPr>
            <w:tcW w:w="1871" w:type="dxa"/>
            <w:shd w:val="clear" w:color="auto" w:fill="auto"/>
            <w:tcMar>
              <w:top w:w="91" w:type="dxa"/>
              <w:left w:w="0" w:type="dxa"/>
              <w:bottom w:w="91" w:type="dxa"/>
              <w:right w:w="0" w:type="dxa"/>
            </w:tcMar>
          </w:tcPr>
          <w:p w14:paraId="62F28E16" w14:textId="77777777" w:rsidR="008E065A" w:rsidRDefault="008E065A" w:rsidP="006A2677">
            <w:pPr>
              <w:pStyle w:val="TableSideHeading"/>
              <w:rPr>
                <w:rtl/>
              </w:rPr>
            </w:pPr>
            <w:r>
              <w:rPr>
                <w:rFonts w:hint="cs"/>
                <w:rtl/>
              </w:rPr>
              <w:t>תיקון סעיף 7</w:t>
            </w:r>
          </w:p>
        </w:tc>
        <w:tc>
          <w:tcPr>
            <w:tcW w:w="624" w:type="dxa"/>
            <w:shd w:val="clear" w:color="auto" w:fill="auto"/>
            <w:tcMar>
              <w:top w:w="91" w:type="dxa"/>
              <w:left w:w="0" w:type="dxa"/>
              <w:bottom w:w="91" w:type="dxa"/>
              <w:right w:w="0" w:type="dxa"/>
            </w:tcMar>
          </w:tcPr>
          <w:p w14:paraId="0E41DDC7" w14:textId="77777777" w:rsidR="008E065A" w:rsidRDefault="008E065A" w:rsidP="006A2677">
            <w:pPr>
              <w:pStyle w:val="TableText"/>
              <w:rPr>
                <w:rtl/>
              </w:rPr>
            </w:pPr>
            <w:r>
              <w:rPr>
                <w:rFonts w:hint="cs"/>
                <w:rtl/>
              </w:rPr>
              <w:t>4.</w:t>
            </w:r>
          </w:p>
        </w:tc>
        <w:tc>
          <w:tcPr>
            <w:tcW w:w="7143" w:type="dxa"/>
            <w:gridSpan w:val="6"/>
            <w:shd w:val="clear" w:color="auto" w:fill="auto"/>
            <w:tcMar>
              <w:top w:w="91" w:type="dxa"/>
              <w:left w:w="0" w:type="dxa"/>
              <w:bottom w:w="91" w:type="dxa"/>
              <w:right w:w="0" w:type="dxa"/>
            </w:tcMar>
          </w:tcPr>
          <w:p w14:paraId="0FE5D178" w14:textId="77777777" w:rsidR="008E065A" w:rsidRDefault="008E065A" w:rsidP="008E065A">
            <w:pPr>
              <w:pStyle w:val="TableBlock"/>
              <w:rPr>
                <w:rtl/>
              </w:rPr>
            </w:pPr>
            <w:r>
              <w:rPr>
                <w:rFonts w:hint="cs"/>
                <w:rtl/>
              </w:rPr>
              <w:t>בסעיף 7(ד) לחוק העיקרי, אחרי "הוצאותיה השוטפות" יבוא "לרבות לפי הסכם מימון שוטף".</w:t>
            </w:r>
          </w:p>
        </w:tc>
      </w:tr>
      <w:tr w:rsidR="008E065A" w14:paraId="0482DFE9" w14:textId="77777777" w:rsidTr="008E065A">
        <w:trPr>
          <w:cantSplit/>
        </w:trPr>
        <w:tc>
          <w:tcPr>
            <w:tcW w:w="1871" w:type="dxa"/>
            <w:shd w:val="clear" w:color="auto" w:fill="auto"/>
            <w:tcMar>
              <w:top w:w="91" w:type="dxa"/>
              <w:left w:w="0" w:type="dxa"/>
              <w:bottom w:w="91" w:type="dxa"/>
              <w:right w:w="0" w:type="dxa"/>
            </w:tcMar>
          </w:tcPr>
          <w:p w14:paraId="1ACD3A9E" w14:textId="77777777" w:rsidR="008E065A" w:rsidRPr="005D7B75" w:rsidRDefault="008E065A" w:rsidP="006A2677">
            <w:pPr>
              <w:pStyle w:val="TableSideHeading"/>
              <w:rPr>
                <w:rtl/>
              </w:rPr>
            </w:pPr>
            <w:r>
              <w:rPr>
                <w:rFonts w:hint="cs"/>
                <w:rtl/>
              </w:rPr>
              <w:lastRenderedPageBreak/>
              <w:t>תיקון סעיף 8</w:t>
            </w:r>
          </w:p>
        </w:tc>
        <w:tc>
          <w:tcPr>
            <w:tcW w:w="624" w:type="dxa"/>
            <w:shd w:val="clear" w:color="auto" w:fill="auto"/>
            <w:tcMar>
              <w:top w:w="91" w:type="dxa"/>
              <w:left w:w="0" w:type="dxa"/>
              <w:bottom w:w="91" w:type="dxa"/>
              <w:right w:w="0" w:type="dxa"/>
            </w:tcMar>
          </w:tcPr>
          <w:p w14:paraId="4E4E74D2" w14:textId="77777777" w:rsidR="008E065A" w:rsidRDefault="008E065A" w:rsidP="006A2677">
            <w:pPr>
              <w:pStyle w:val="TableText"/>
              <w:rPr>
                <w:rtl/>
              </w:rPr>
            </w:pPr>
            <w:r>
              <w:rPr>
                <w:rFonts w:hint="cs"/>
                <w:rtl/>
              </w:rPr>
              <w:t>5.</w:t>
            </w:r>
          </w:p>
        </w:tc>
        <w:tc>
          <w:tcPr>
            <w:tcW w:w="7143" w:type="dxa"/>
            <w:gridSpan w:val="6"/>
            <w:shd w:val="clear" w:color="auto" w:fill="auto"/>
            <w:tcMar>
              <w:top w:w="91" w:type="dxa"/>
              <w:left w:w="0" w:type="dxa"/>
              <w:bottom w:w="91" w:type="dxa"/>
              <w:right w:w="0" w:type="dxa"/>
            </w:tcMar>
          </w:tcPr>
          <w:p w14:paraId="32E489AF" w14:textId="77777777" w:rsidR="008E065A" w:rsidRDefault="008E065A" w:rsidP="008E065A">
            <w:pPr>
              <w:pStyle w:val="TableBlock"/>
              <w:rPr>
                <w:rtl/>
              </w:rPr>
            </w:pPr>
            <w:r>
              <w:rPr>
                <w:rFonts w:hint="cs"/>
                <w:rtl/>
              </w:rPr>
              <w:t>בסעיף 8(ב) לחוק העיקרי, אחרי "לא תקבל סיעה" יבוא "מפלגה או רשימת מועמדים".</w:t>
            </w:r>
          </w:p>
        </w:tc>
      </w:tr>
      <w:tr w:rsidR="008E065A" w:rsidRPr="00281291" w14:paraId="3D4DC423" w14:textId="77777777" w:rsidTr="008E065A">
        <w:trPr>
          <w:cantSplit/>
        </w:trPr>
        <w:tc>
          <w:tcPr>
            <w:tcW w:w="1871" w:type="dxa"/>
            <w:shd w:val="clear" w:color="auto" w:fill="auto"/>
            <w:tcMar>
              <w:top w:w="91" w:type="dxa"/>
              <w:left w:w="0" w:type="dxa"/>
              <w:bottom w:w="91" w:type="dxa"/>
              <w:right w:w="0" w:type="dxa"/>
            </w:tcMar>
          </w:tcPr>
          <w:p w14:paraId="2BD49F40" w14:textId="77777777" w:rsidR="008E065A" w:rsidRPr="00E91E12" w:rsidRDefault="008E065A" w:rsidP="006A2677">
            <w:pPr>
              <w:pStyle w:val="TableSideHeading"/>
              <w:rPr>
                <w:rtl/>
              </w:rPr>
            </w:pPr>
            <w:r w:rsidRPr="005D7B75">
              <w:rPr>
                <w:rtl/>
              </w:rPr>
              <w:t xml:space="preserve">תיקון </w:t>
            </w:r>
            <w:r>
              <w:rPr>
                <w:rFonts w:hint="cs"/>
                <w:rtl/>
              </w:rPr>
              <w:t>סעיף 12</w:t>
            </w:r>
          </w:p>
        </w:tc>
        <w:tc>
          <w:tcPr>
            <w:tcW w:w="624" w:type="dxa"/>
            <w:shd w:val="clear" w:color="auto" w:fill="auto"/>
            <w:tcMar>
              <w:top w:w="91" w:type="dxa"/>
              <w:left w:w="0" w:type="dxa"/>
              <w:bottom w:w="91" w:type="dxa"/>
              <w:right w:w="0" w:type="dxa"/>
            </w:tcMar>
          </w:tcPr>
          <w:p w14:paraId="16EE172B" w14:textId="77777777" w:rsidR="008E065A" w:rsidRPr="005D7B75" w:rsidRDefault="008E065A" w:rsidP="006A2677">
            <w:pPr>
              <w:pStyle w:val="TableText"/>
              <w:rPr>
                <w:rtl/>
              </w:rPr>
            </w:pPr>
            <w:r>
              <w:rPr>
                <w:rFonts w:hint="cs"/>
                <w:rtl/>
              </w:rPr>
              <w:t>6.</w:t>
            </w:r>
          </w:p>
        </w:tc>
        <w:tc>
          <w:tcPr>
            <w:tcW w:w="7143" w:type="dxa"/>
            <w:gridSpan w:val="6"/>
            <w:shd w:val="clear" w:color="auto" w:fill="auto"/>
            <w:tcMar>
              <w:top w:w="91" w:type="dxa"/>
              <w:left w:w="0" w:type="dxa"/>
              <w:bottom w:w="91" w:type="dxa"/>
              <w:right w:w="0" w:type="dxa"/>
            </w:tcMar>
          </w:tcPr>
          <w:p w14:paraId="46FB99F2" w14:textId="77777777" w:rsidR="008E065A" w:rsidRPr="00281291" w:rsidRDefault="008E065A" w:rsidP="008E065A">
            <w:pPr>
              <w:pStyle w:val="TableBlock"/>
              <w:rPr>
                <w:rtl/>
              </w:rPr>
            </w:pPr>
            <w:r>
              <w:rPr>
                <w:rFonts w:hint="cs"/>
                <w:rtl/>
              </w:rPr>
              <w:t xml:space="preserve">בסעיף 12 לחוק העיקרי </w:t>
            </w:r>
            <w:r>
              <w:rPr>
                <w:rFonts w:hint="eastAsia"/>
                <w:rtl/>
              </w:rPr>
              <w:t>–</w:t>
            </w:r>
          </w:p>
        </w:tc>
      </w:tr>
      <w:tr w:rsidR="008E065A" w14:paraId="4214F2BE" w14:textId="77777777" w:rsidTr="008E065A">
        <w:tblPrEx>
          <w:tblLook w:val="01E0" w:firstRow="1" w:lastRow="1" w:firstColumn="1" w:lastColumn="1" w:noHBand="0" w:noVBand="0"/>
        </w:tblPrEx>
        <w:trPr>
          <w:cantSplit/>
        </w:trPr>
        <w:tc>
          <w:tcPr>
            <w:tcW w:w="1871" w:type="dxa"/>
          </w:tcPr>
          <w:p w14:paraId="6B6A49C7" w14:textId="77777777" w:rsidR="008E065A" w:rsidRDefault="008E065A" w:rsidP="006A2677">
            <w:pPr>
              <w:pStyle w:val="TableSideHeading"/>
            </w:pPr>
          </w:p>
        </w:tc>
        <w:tc>
          <w:tcPr>
            <w:tcW w:w="624" w:type="dxa"/>
          </w:tcPr>
          <w:p w14:paraId="679D5A0A" w14:textId="77777777" w:rsidR="008E065A" w:rsidRDefault="008E065A" w:rsidP="006A2677">
            <w:pPr>
              <w:pStyle w:val="TableText"/>
            </w:pPr>
          </w:p>
        </w:tc>
        <w:tc>
          <w:tcPr>
            <w:tcW w:w="7143" w:type="dxa"/>
            <w:gridSpan w:val="6"/>
          </w:tcPr>
          <w:p w14:paraId="1A94307D" w14:textId="77777777" w:rsidR="008E065A" w:rsidRDefault="008E065A" w:rsidP="008E065A">
            <w:pPr>
              <w:pStyle w:val="TableBlock"/>
              <w:rPr>
                <w:rtl/>
              </w:rPr>
            </w:pPr>
            <w:r>
              <w:rPr>
                <w:rFonts w:hint="cs"/>
                <w:rtl/>
              </w:rPr>
              <w:t>(1)</w:t>
            </w:r>
            <w:r>
              <w:rPr>
                <w:rtl/>
              </w:rPr>
              <w:tab/>
            </w:r>
            <w:r>
              <w:rPr>
                <w:rFonts w:hint="cs"/>
                <w:rtl/>
              </w:rPr>
              <w:t xml:space="preserve"> בסעיף קטן (א), במקום </w:t>
            </w:r>
            <w:proofErr w:type="spellStart"/>
            <w:r>
              <w:rPr>
                <w:rFonts w:hint="cs"/>
                <w:rtl/>
              </w:rPr>
              <w:t>הסיפה</w:t>
            </w:r>
            <w:proofErr w:type="spellEnd"/>
            <w:r>
              <w:rPr>
                <w:rFonts w:hint="cs"/>
                <w:rtl/>
              </w:rPr>
              <w:t xml:space="preserve"> החל במילה "המקיימות" יבוא "שהגישו רשימת מועמדים משותפת והמקיימות בכנסת סיעה אחת, יראו את אותן מפלגות כאילו היו סיעות נפרדות בכל הנוגע למימון הוצאות שוטפות, להלוואה לפי סעיף 7ג ולתרומה לפי סעיף 8, למעט תרומה בשנה שמתקיימות בה בחירות לכנסת";</w:t>
            </w:r>
          </w:p>
        </w:tc>
      </w:tr>
      <w:tr w:rsidR="008E065A" w14:paraId="6B6A8BCE" w14:textId="77777777" w:rsidTr="008E065A">
        <w:tblPrEx>
          <w:tblLook w:val="01E0" w:firstRow="1" w:lastRow="1" w:firstColumn="1" w:lastColumn="1" w:noHBand="0" w:noVBand="0"/>
        </w:tblPrEx>
        <w:trPr>
          <w:cantSplit/>
        </w:trPr>
        <w:tc>
          <w:tcPr>
            <w:tcW w:w="1871" w:type="dxa"/>
          </w:tcPr>
          <w:p w14:paraId="38B139DE" w14:textId="77777777" w:rsidR="008E065A" w:rsidRDefault="008E065A" w:rsidP="006A2677">
            <w:pPr>
              <w:pStyle w:val="TableSideHeading"/>
            </w:pPr>
          </w:p>
        </w:tc>
        <w:tc>
          <w:tcPr>
            <w:tcW w:w="624" w:type="dxa"/>
          </w:tcPr>
          <w:p w14:paraId="0205C122" w14:textId="77777777" w:rsidR="008E065A" w:rsidRDefault="008E065A" w:rsidP="006A2677">
            <w:pPr>
              <w:pStyle w:val="TableText"/>
            </w:pPr>
          </w:p>
        </w:tc>
        <w:tc>
          <w:tcPr>
            <w:tcW w:w="7143" w:type="dxa"/>
            <w:gridSpan w:val="6"/>
          </w:tcPr>
          <w:p w14:paraId="31CEF3C5" w14:textId="77777777" w:rsidR="008E065A" w:rsidRDefault="008E065A" w:rsidP="008E065A">
            <w:pPr>
              <w:pStyle w:val="TableBlock"/>
            </w:pPr>
            <w:r>
              <w:rPr>
                <w:rFonts w:hint="cs"/>
                <w:rtl/>
              </w:rPr>
              <w:t>(2)</w:t>
            </w:r>
            <w:r>
              <w:rPr>
                <w:rtl/>
              </w:rPr>
              <w:tab/>
            </w:r>
            <w:r>
              <w:rPr>
                <w:rFonts w:hint="cs"/>
                <w:rtl/>
              </w:rPr>
              <w:t>במקום סעיפים קטנים (ב) ו-(ג) יבוא:</w:t>
            </w:r>
          </w:p>
        </w:tc>
      </w:tr>
      <w:tr w:rsidR="008E065A" w14:paraId="25EEEC3B" w14:textId="77777777" w:rsidTr="008E065A">
        <w:tblPrEx>
          <w:tblLook w:val="01E0" w:firstRow="1" w:lastRow="1" w:firstColumn="1" w:lastColumn="1" w:noHBand="0" w:noVBand="0"/>
        </w:tblPrEx>
        <w:trPr>
          <w:cantSplit/>
        </w:trPr>
        <w:tc>
          <w:tcPr>
            <w:tcW w:w="1871" w:type="dxa"/>
          </w:tcPr>
          <w:p w14:paraId="71825A5D" w14:textId="77777777" w:rsidR="008E065A" w:rsidRDefault="008E065A" w:rsidP="006A2677">
            <w:pPr>
              <w:pStyle w:val="TableSideHeading"/>
            </w:pPr>
          </w:p>
        </w:tc>
        <w:tc>
          <w:tcPr>
            <w:tcW w:w="624" w:type="dxa"/>
          </w:tcPr>
          <w:p w14:paraId="30D19DCB" w14:textId="77777777" w:rsidR="008E065A" w:rsidRDefault="008E065A" w:rsidP="006A2677">
            <w:pPr>
              <w:pStyle w:val="TableText"/>
            </w:pPr>
          </w:p>
        </w:tc>
        <w:tc>
          <w:tcPr>
            <w:tcW w:w="624" w:type="dxa"/>
          </w:tcPr>
          <w:p w14:paraId="749F3FE5" w14:textId="77777777" w:rsidR="008E065A" w:rsidRDefault="008E065A" w:rsidP="006A2677">
            <w:pPr>
              <w:pStyle w:val="TableText"/>
            </w:pPr>
          </w:p>
        </w:tc>
        <w:tc>
          <w:tcPr>
            <w:tcW w:w="6519" w:type="dxa"/>
            <w:gridSpan w:val="5"/>
          </w:tcPr>
          <w:p w14:paraId="1C633B84" w14:textId="77777777" w:rsidR="008E065A" w:rsidRDefault="008E065A" w:rsidP="008E065A">
            <w:pPr>
              <w:pStyle w:val="TableBlock"/>
            </w:pPr>
            <w:r>
              <w:rPr>
                <w:rFonts w:hint="cs"/>
                <w:rtl/>
              </w:rPr>
              <w:t>"(ב)</w:t>
            </w:r>
            <w:r>
              <w:rPr>
                <w:rtl/>
              </w:rPr>
              <w:tab/>
            </w:r>
            <w:r>
              <w:rPr>
                <w:rFonts w:hint="cs"/>
                <w:rtl/>
              </w:rPr>
              <w:t>התשלומים למימון ההוצאות השוטפות ישולמו לסיעות הנפרדות המקיימות סיעה שהיא צירוף כאמור בסעיף קטן (א) בהתאם להשתייכות המפלגתית של חבריהן כפי שנמסרה עם הגשת רשימת המועמדים המשותפת כאמור בסעיף 57(ב) לחוק הבחירות; השתנה מספר החברים בסיעה נפרדת כאמור בשל הפסקת כהונתו בכנסת של חבר הסיעה, ישתנה בהתאם מימון ההוצאות השוטפות לפי ההשתייכות המפלגתית של חברי הסיעה ביום תשלום מימון ההוצאות השוטפות, אלא אם כן הודיעו כל הסיעות הנפרדות הנוגעות בדבר, לפני מועד זה, כי מימון ההוצאות השוטפות לא ישתנה.</w:t>
            </w:r>
          </w:p>
        </w:tc>
      </w:tr>
      <w:tr w:rsidR="008E065A" w14:paraId="7E0E0AAB" w14:textId="77777777" w:rsidTr="008E065A">
        <w:tblPrEx>
          <w:tblLook w:val="01E0" w:firstRow="1" w:lastRow="1" w:firstColumn="1" w:lastColumn="1" w:noHBand="0" w:noVBand="0"/>
        </w:tblPrEx>
        <w:trPr>
          <w:cantSplit/>
        </w:trPr>
        <w:tc>
          <w:tcPr>
            <w:tcW w:w="1871" w:type="dxa"/>
          </w:tcPr>
          <w:p w14:paraId="59E94C87" w14:textId="77777777" w:rsidR="008E065A" w:rsidRDefault="008E065A" w:rsidP="006A2677">
            <w:pPr>
              <w:pStyle w:val="TableSideHeading"/>
            </w:pPr>
          </w:p>
        </w:tc>
        <w:tc>
          <w:tcPr>
            <w:tcW w:w="624" w:type="dxa"/>
          </w:tcPr>
          <w:p w14:paraId="6629C09D" w14:textId="77777777" w:rsidR="008E065A" w:rsidRDefault="008E065A" w:rsidP="006A2677">
            <w:pPr>
              <w:pStyle w:val="TableText"/>
            </w:pPr>
          </w:p>
        </w:tc>
        <w:tc>
          <w:tcPr>
            <w:tcW w:w="624" w:type="dxa"/>
          </w:tcPr>
          <w:p w14:paraId="6ACF449D" w14:textId="77777777" w:rsidR="008E065A" w:rsidRDefault="008E065A" w:rsidP="006A2677">
            <w:pPr>
              <w:pStyle w:val="TableText"/>
            </w:pPr>
          </w:p>
        </w:tc>
        <w:tc>
          <w:tcPr>
            <w:tcW w:w="6519" w:type="dxa"/>
            <w:gridSpan w:val="5"/>
          </w:tcPr>
          <w:p w14:paraId="2C88255C" w14:textId="77777777" w:rsidR="008E065A" w:rsidRDefault="008E065A" w:rsidP="008E065A">
            <w:pPr>
              <w:pStyle w:val="TableBlock"/>
            </w:pPr>
            <w:r>
              <w:rPr>
                <w:rFonts w:hint="cs"/>
                <w:rtl/>
              </w:rPr>
              <w:t>(ג)</w:t>
            </w:r>
            <w:r>
              <w:rPr>
                <w:rtl/>
              </w:rPr>
              <w:tab/>
            </w:r>
            <w:r w:rsidRPr="00853EBF">
              <w:rPr>
                <w:rFonts w:hint="cs"/>
                <w:rtl/>
              </w:rPr>
              <w:t>התמזגו סיעות לפי סעיף 60 לחוק הכנסת, יחולו עליהן הוראות סעי</w:t>
            </w:r>
            <w:r>
              <w:rPr>
                <w:rFonts w:hint="cs"/>
                <w:rtl/>
              </w:rPr>
              <w:t>פים קטנים</w:t>
            </w:r>
            <w:r w:rsidRPr="00853EBF">
              <w:rPr>
                <w:rFonts w:hint="cs"/>
                <w:rtl/>
              </w:rPr>
              <w:t xml:space="preserve"> (א)</w:t>
            </w:r>
            <w:r>
              <w:rPr>
                <w:rFonts w:hint="cs"/>
                <w:rtl/>
              </w:rPr>
              <w:t xml:space="preserve"> ו-(ב), בשינויים המחויבים.";</w:t>
            </w:r>
          </w:p>
        </w:tc>
      </w:tr>
      <w:tr w:rsidR="008E065A" w14:paraId="31FDD2E5" w14:textId="77777777" w:rsidTr="008E065A">
        <w:tblPrEx>
          <w:tblLook w:val="01E0" w:firstRow="1" w:lastRow="1" w:firstColumn="1" w:lastColumn="1" w:noHBand="0" w:noVBand="0"/>
        </w:tblPrEx>
        <w:trPr>
          <w:cantSplit/>
        </w:trPr>
        <w:tc>
          <w:tcPr>
            <w:tcW w:w="1871" w:type="dxa"/>
          </w:tcPr>
          <w:p w14:paraId="7BBC3090" w14:textId="77777777" w:rsidR="008E065A" w:rsidRDefault="008E065A" w:rsidP="006A2677">
            <w:pPr>
              <w:pStyle w:val="TableSideHeading"/>
            </w:pPr>
          </w:p>
        </w:tc>
        <w:tc>
          <w:tcPr>
            <w:tcW w:w="624" w:type="dxa"/>
          </w:tcPr>
          <w:p w14:paraId="7D9FFA9F" w14:textId="77777777" w:rsidR="008E065A" w:rsidRDefault="008E065A" w:rsidP="006A2677">
            <w:pPr>
              <w:pStyle w:val="TableText"/>
            </w:pPr>
          </w:p>
        </w:tc>
        <w:tc>
          <w:tcPr>
            <w:tcW w:w="7143" w:type="dxa"/>
            <w:gridSpan w:val="6"/>
          </w:tcPr>
          <w:p w14:paraId="7D5E9EC4" w14:textId="77777777" w:rsidR="008E065A" w:rsidRDefault="008E065A" w:rsidP="008E065A">
            <w:pPr>
              <w:pStyle w:val="TableBlock"/>
              <w:rPr>
                <w:rtl/>
              </w:rPr>
            </w:pPr>
            <w:r>
              <w:rPr>
                <w:rFonts w:hint="cs"/>
                <w:rtl/>
              </w:rPr>
              <w:t>(3)</w:t>
            </w:r>
            <w:r>
              <w:rPr>
                <w:rtl/>
              </w:rPr>
              <w:tab/>
            </w:r>
            <w:r>
              <w:rPr>
                <w:rFonts w:hint="cs"/>
                <w:rtl/>
              </w:rPr>
              <w:t xml:space="preserve">בסעיף קטן (ד) </w:t>
            </w:r>
            <w:r>
              <w:rPr>
                <w:rFonts w:hint="eastAsia"/>
                <w:rtl/>
              </w:rPr>
              <w:t>–</w:t>
            </w:r>
            <w:r>
              <w:rPr>
                <w:rFonts w:hint="cs"/>
                <w:rtl/>
              </w:rPr>
              <w:t xml:space="preserve"> </w:t>
            </w:r>
          </w:p>
        </w:tc>
      </w:tr>
      <w:tr w:rsidR="008E065A" w14:paraId="6208CC98" w14:textId="77777777" w:rsidTr="008E065A">
        <w:tblPrEx>
          <w:tblLook w:val="01E0" w:firstRow="1" w:lastRow="1" w:firstColumn="1" w:lastColumn="1" w:noHBand="0" w:noVBand="0"/>
        </w:tblPrEx>
        <w:trPr>
          <w:cantSplit/>
        </w:trPr>
        <w:tc>
          <w:tcPr>
            <w:tcW w:w="1871" w:type="dxa"/>
          </w:tcPr>
          <w:p w14:paraId="7190613F" w14:textId="77777777" w:rsidR="008E065A" w:rsidRDefault="008E065A" w:rsidP="006A2677">
            <w:pPr>
              <w:pStyle w:val="TableSideHeading"/>
            </w:pPr>
          </w:p>
        </w:tc>
        <w:tc>
          <w:tcPr>
            <w:tcW w:w="624" w:type="dxa"/>
          </w:tcPr>
          <w:p w14:paraId="4AEFA7B8" w14:textId="77777777" w:rsidR="008E065A" w:rsidRDefault="008E065A" w:rsidP="006A2677">
            <w:pPr>
              <w:pStyle w:val="TableText"/>
            </w:pPr>
          </w:p>
        </w:tc>
        <w:tc>
          <w:tcPr>
            <w:tcW w:w="624" w:type="dxa"/>
          </w:tcPr>
          <w:p w14:paraId="6702252B" w14:textId="77777777" w:rsidR="008E065A" w:rsidRDefault="008E065A" w:rsidP="006A2677">
            <w:pPr>
              <w:pStyle w:val="TableText"/>
            </w:pPr>
          </w:p>
        </w:tc>
        <w:tc>
          <w:tcPr>
            <w:tcW w:w="6519" w:type="dxa"/>
            <w:gridSpan w:val="5"/>
          </w:tcPr>
          <w:p w14:paraId="5858CEF7" w14:textId="77777777" w:rsidR="008E065A" w:rsidRDefault="008E065A" w:rsidP="008E065A">
            <w:pPr>
              <w:pStyle w:val="TableBlock"/>
            </w:pPr>
            <w:r>
              <w:rPr>
                <w:rFonts w:hint="cs"/>
                <w:rtl/>
              </w:rPr>
              <w:t>(א)</w:t>
            </w:r>
            <w:r>
              <w:rPr>
                <w:rtl/>
              </w:rPr>
              <w:tab/>
            </w:r>
            <w:r>
              <w:rPr>
                <w:rFonts w:hint="cs"/>
                <w:rtl/>
              </w:rPr>
              <w:t>במקום פסקה (1) יבוא:</w:t>
            </w:r>
          </w:p>
        </w:tc>
      </w:tr>
      <w:tr w:rsidR="008E065A" w14:paraId="650CB8DF" w14:textId="77777777" w:rsidTr="008E065A">
        <w:tblPrEx>
          <w:tblLook w:val="01E0" w:firstRow="1" w:lastRow="1" w:firstColumn="1" w:lastColumn="1" w:noHBand="0" w:noVBand="0"/>
        </w:tblPrEx>
        <w:trPr>
          <w:cantSplit/>
        </w:trPr>
        <w:tc>
          <w:tcPr>
            <w:tcW w:w="1871" w:type="dxa"/>
          </w:tcPr>
          <w:p w14:paraId="069DCE85" w14:textId="77777777" w:rsidR="008E065A" w:rsidRDefault="008E065A" w:rsidP="006A2677">
            <w:pPr>
              <w:pStyle w:val="TableSideHeading"/>
            </w:pPr>
          </w:p>
        </w:tc>
        <w:tc>
          <w:tcPr>
            <w:tcW w:w="624" w:type="dxa"/>
          </w:tcPr>
          <w:p w14:paraId="6F087BFC" w14:textId="77777777" w:rsidR="008E065A" w:rsidRDefault="008E065A" w:rsidP="006A2677">
            <w:pPr>
              <w:pStyle w:val="TableText"/>
            </w:pPr>
          </w:p>
        </w:tc>
        <w:tc>
          <w:tcPr>
            <w:tcW w:w="624" w:type="dxa"/>
          </w:tcPr>
          <w:p w14:paraId="3389712D" w14:textId="77777777" w:rsidR="008E065A" w:rsidRDefault="008E065A" w:rsidP="006A2677">
            <w:pPr>
              <w:pStyle w:val="TableText"/>
            </w:pPr>
          </w:p>
        </w:tc>
        <w:tc>
          <w:tcPr>
            <w:tcW w:w="624" w:type="dxa"/>
          </w:tcPr>
          <w:p w14:paraId="3AC7A44A" w14:textId="77777777" w:rsidR="008E065A" w:rsidRDefault="008E065A" w:rsidP="006A2677">
            <w:pPr>
              <w:pStyle w:val="TableText"/>
            </w:pPr>
          </w:p>
        </w:tc>
        <w:tc>
          <w:tcPr>
            <w:tcW w:w="5895" w:type="dxa"/>
            <w:gridSpan w:val="4"/>
          </w:tcPr>
          <w:p w14:paraId="17F675AA" w14:textId="77777777" w:rsidR="008E065A" w:rsidRDefault="008E065A" w:rsidP="008E065A">
            <w:pPr>
              <w:pStyle w:val="TableBlock"/>
            </w:pPr>
            <w:r>
              <w:rPr>
                <w:rFonts w:hint="cs"/>
                <w:rtl/>
              </w:rPr>
              <w:t>"(1)</w:t>
            </w:r>
            <w:r>
              <w:rPr>
                <w:rtl/>
              </w:rPr>
              <w:tab/>
            </w:r>
            <w:r>
              <w:rPr>
                <w:rFonts w:hint="cs"/>
                <w:rtl/>
              </w:rPr>
              <w:t>ע</w:t>
            </w:r>
            <w:r w:rsidRPr="008663D8">
              <w:rPr>
                <w:rtl/>
              </w:rPr>
              <w:t>ל אף האמור בסעיף קטן (ב), חלק מהמימון החודשי לפי סעיף 3(ג) המגיע ל</w:t>
            </w:r>
            <w:r>
              <w:rPr>
                <w:rFonts w:hint="eastAsia"/>
                <w:rtl/>
              </w:rPr>
              <w:t>סיעה</w:t>
            </w:r>
            <w:r>
              <w:rPr>
                <w:rtl/>
              </w:rPr>
              <w:t xml:space="preserve"> </w:t>
            </w:r>
            <w:r>
              <w:rPr>
                <w:rFonts w:hint="eastAsia"/>
                <w:rtl/>
              </w:rPr>
              <w:t>נפרדת</w:t>
            </w:r>
            <w:r w:rsidRPr="008663D8">
              <w:rPr>
                <w:rtl/>
              </w:rPr>
              <w:t xml:space="preserve"> ישולם </w:t>
            </w:r>
            <w:r w:rsidRPr="008663D8">
              <w:rPr>
                <w:rFonts w:hint="eastAsia"/>
                <w:rtl/>
              </w:rPr>
              <w:t>לסיעה</w:t>
            </w:r>
            <w:r w:rsidRPr="008663D8">
              <w:rPr>
                <w:rtl/>
              </w:rPr>
              <w:t xml:space="preserve"> </w:t>
            </w:r>
            <w:r w:rsidRPr="008663D8">
              <w:rPr>
                <w:rFonts w:hint="eastAsia"/>
                <w:rtl/>
              </w:rPr>
              <w:t>נפרדת</w:t>
            </w:r>
            <w:r w:rsidRPr="008663D8">
              <w:rPr>
                <w:rtl/>
              </w:rPr>
              <w:t xml:space="preserve"> </w:t>
            </w:r>
            <w:r w:rsidRPr="008663D8">
              <w:rPr>
                <w:rFonts w:hint="eastAsia"/>
                <w:rtl/>
              </w:rPr>
              <w:t>אחרת</w:t>
            </w:r>
            <w:r w:rsidRPr="008663D8">
              <w:rPr>
                <w:rtl/>
              </w:rPr>
              <w:t xml:space="preserve"> </w:t>
            </w:r>
            <w:r w:rsidRPr="008663D8">
              <w:rPr>
                <w:rFonts w:hint="eastAsia"/>
                <w:rtl/>
              </w:rPr>
              <w:t>באותו</w:t>
            </w:r>
            <w:r w:rsidRPr="008663D8">
              <w:rPr>
                <w:rtl/>
              </w:rPr>
              <w:t xml:space="preserve"> </w:t>
            </w:r>
            <w:r w:rsidRPr="008663D8">
              <w:rPr>
                <w:rFonts w:hint="eastAsia"/>
                <w:rtl/>
              </w:rPr>
              <w:t>צירוף</w:t>
            </w:r>
            <w:r w:rsidRPr="008663D8">
              <w:rPr>
                <w:rtl/>
              </w:rPr>
              <w:t xml:space="preserve"> </w:t>
            </w:r>
            <w:r w:rsidRPr="008663D8">
              <w:rPr>
                <w:rFonts w:hint="eastAsia"/>
                <w:rtl/>
              </w:rPr>
              <w:t>של</w:t>
            </w:r>
            <w:r w:rsidRPr="008663D8">
              <w:rPr>
                <w:rtl/>
              </w:rPr>
              <w:t xml:space="preserve"> </w:t>
            </w:r>
            <w:r w:rsidRPr="008663D8">
              <w:rPr>
                <w:rFonts w:hint="eastAsia"/>
                <w:rtl/>
              </w:rPr>
              <w:t>מפלגות</w:t>
            </w:r>
            <w:r w:rsidRPr="008663D8">
              <w:rPr>
                <w:rtl/>
              </w:rPr>
              <w:t xml:space="preserve">, ובלבד </w:t>
            </w:r>
            <w:r w:rsidRPr="008663D8">
              <w:rPr>
                <w:rFonts w:hint="eastAsia"/>
                <w:rtl/>
              </w:rPr>
              <w:t>שהתשלום</w:t>
            </w:r>
            <w:r w:rsidRPr="008663D8">
              <w:rPr>
                <w:rtl/>
              </w:rPr>
              <w:t xml:space="preserve"> ה</w:t>
            </w:r>
            <w:r w:rsidRPr="008663D8">
              <w:rPr>
                <w:rFonts w:hint="eastAsia"/>
                <w:rtl/>
              </w:rPr>
              <w:t>ו</w:t>
            </w:r>
            <w:r w:rsidRPr="008663D8">
              <w:rPr>
                <w:rtl/>
              </w:rPr>
              <w:t xml:space="preserve">א על פי הסכם </w:t>
            </w:r>
            <w:r>
              <w:rPr>
                <w:rFonts w:hint="cs"/>
                <w:rtl/>
              </w:rPr>
              <w:t>מימון שוטף</w:t>
            </w:r>
            <w:r w:rsidRPr="008663D8">
              <w:rPr>
                <w:rtl/>
              </w:rPr>
              <w:t xml:space="preserve">; חלק המימון כאמור </w:t>
            </w:r>
            <w:r w:rsidRPr="008663D8">
              <w:rPr>
                <w:rFonts w:hint="eastAsia"/>
                <w:rtl/>
              </w:rPr>
              <w:t>יהיה</w:t>
            </w:r>
            <w:r w:rsidRPr="008663D8">
              <w:rPr>
                <w:rtl/>
              </w:rPr>
              <w:t xml:space="preserve"> </w:t>
            </w:r>
            <w:r w:rsidRPr="008663D8">
              <w:rPr>
                <w:rFonts w:hint="eastAsia"/>
                <w:rtl/>
              </w:rPr>
              <w:t>נקוב</w:t>
            </w:r>
            <w:r w:rsidRPr="008663D8">
              <w:rPr>
                <w:rtl/>
              </w:rPr>
              <w:t xml:space="preserve"> </w:t>
            </w:r>
            <w:r w:rsidRPr="008663D8">
              <w:rPr>
                <w:rFonts w:hint="eastAsia"/>
                <w:rtl/>
              </w:rPr>
              <w:t>באחוזים</w:t>
            </w:r>
            <w:r w:rsidRPr="008663D8">
              <w:rPr>
                <w:rtl/>
              </w:rPr>
              <w:t xml:space="preserve"> </w:t>
            </w:r>
            <w:r w:rsidRPr="008663D8">
              <w:rPr>
                <w:rFonts w:hint="eastAsia"/>
                <w:rtl/>
              </w:rPr>
              <w:t>מיחידת</w:t>
            </w:r>
            <w:r w:rsidRPr="008663D8">
              <w:rPr>
                <w:rtl/>
              </w:rPr>
              <w:t xml:space="preserve"> </w:t>
            </w:r>
            <w:r w:rsidRPr="008663D8">
              <w:rPr>
                <w:rFonts w:hint="eastAsia"/>
                <w:rtl/>
              </w:rPr>
              <w:t>המימון</w:t>
            </w:r>
            <w:r w:rsidRPr="008663D8">
              <w:rPr>
                <w:rtl/>
              </w:rPr>
              <w:t xml:space="preserve">, </w:t>
            </w:r>
            <w:r w:rsidRPr="008663D8">
              <w:rPr>
                <w:rFonts w:hint="eastAsia"/>
                <w:rtl/>
              </w:rPr>
              <w:t>ולא</w:t>
            </w:r>
            <w:r w:rsidRPr="008663D8">
              <w:rPr>
                <w:rtl/>
              </w:rPr>
              <w:t xml:space="preserve"> </w:t>
            </w:r>
            <w:r w:rsidRPr="008663D8">
              <w:rPr>
                <w:rFonts w:hint="eastAsia"/>
                <w:rtl/>
              </w:rPr>
              <w:t>יעלה</w:t>
            </w:r>
            <w:r w:rsidRPr="008663D8">
              <w:rPr>
                <w:rtl/>
              </w:rPr>
              <w:t xml:space="preserve"> </w:t>
            </w:r>
            <w:r w:rsidRPr="008663D8">
              <w:rPr>
                <w:rFonts w:hint="eastAsia"/>
                <w:rtl/>
              </w:rPr>
              <w:t>על</w:t>
            </w:r>
            <w:r w:rsidRPr="008663D8">
              <w:rPr>
                <w:rtl/>
              </w:rPr>
              <w:t xml:space="preserve"> </w:t>
            </w:r>
            <w:r w:rsidRPr="008663D8">
              <w:rPr>
                <w:rFonts w:hint="eastAsia"/>
                <w:rtl/>
              </w:rPr>
              <w:t>שיעור</w:t>
            </w:r>
            <w:r w:rsidRPr="008663D8" w:rsidDel="00762885">
              <w:rPr>
                <w:rtl/>
              </w:rPr>
              <w:t xml:space="preserve"> </w:t>
            </w:r>
            <w:r w:rsidRPr="008663D8">
              <w:rPr>
                <w:rtl/>
              </w:rPr>
              <w:t xml:space="preserve">המימון למנדט אחד כאמור בסעיף 3(ג), או על </w:t>
            </w:r>
            <w:r w:rsidRPr="008663D8">
              <w:rPr>
                <w:rFonts w:hint="eastAsia"/>
                <w:rtl/>
              </w:rPr>
              <w:t>שיעור</w:t>
            </w:r>
            <w:r w:rsidRPr="008663D8">
              <w:rPr>
                <w:rtl/>
              </w:rPr>
              <w:t xml:space="preserve"> גבוה יותר אם חל שינוי במספר חברי הסיעות הנפרדות במהלך כהונתה של הכנסת, </w:t>
            </w:r>
            <w:r>
              <w:rPr>
                <w:rFonts w:hint="cs"/>
                <w:rtl/>
              </w:rPr>
              <w:t>והמפלגות</w:t>
            </w:r>
            <w:r w:rsidRPr="008663D8">
              <w:rPr>
                <w:rtl/>
              </w:rPr>
              <w:t xml:space="preserve"> קבעו בהסכם כאמור שמימון ההוצאות השוטפות ימשיך להשתלם לפי ההשתייכות המפלגתית כפי שנמסרה עם הגשת רשימת המועמדים המשותפת כאמור בסעיף 57(ב) לחוק הבחירות.</w:t>
            </w:r>
            <w:r>
              <w:rPr>
                <w:rFonts w:hint="cs"/>
                <w:rtl/>
              </w:rPr>
              <w:t>";</w:t>
            </w:r>
          </w:p>
        </w:tc>
      </w:tr>
      <w:tr w:rsidR="008E065A" w14:paraId="0B8E6F58" w14:textId="77777777" w:rsidTr="008E065A">
        <w:tblPrEx>
          <w:tblLook w:val="01E0" w:firstRow="1" w:lastRow="1" w:firstColumn="1" w:lastColumn="1" w:noHBand="0" w:noVBand="0"/>
        </w:tblPrEx>
        <w:trPr>
          <w:cantSplit/>
        </w:trPr>
        <w:tc>
          <w:tcPr>
            <w:tcW w:w="1871" w:type="dxa"/>
          </w:tcPr>
          <w:p w14:paraId="341D331B" w14:textId="77777777" w:rsidR="008E065A" w:rsidRDefault="008E065A" w:rsidP="006A2677">
            <w:pPr>
              <w:pStyle w:val="TableSideHeading"/>
            </w:pPr>
          </w:p>
        </w:tc>
        <w:tc>
          <w:tcPr>
            <w:tcW w:w="624" w:type="dxa"/>
          </w:tcPr>
          <w:p w14:paraId="5F3E6275" w14:textId="77777777" w:rsidR="008E065A" w:rsidRDefault="008E065A" w:rsidP="006A2677">
            <w:pPr>
              <w:pStyle w:val="TableText"/>
            </w:pPr>
          </w:p>
        </w:tc>
        <w:tc>
          <w:tcPr>
            <w:tcW w:w="624" w:type="dxa"/>
          </w:tcPr>
          <w:p w14:paraId="7753FF90" w14:textId="77777777" w:rsidR="008E065A" w:rsidRDefault="008E065A" w:rsidP="006A2677">
            <w:pPr>
              <w:pStyle w:val="TableText"/>
            </w:pPr>
          </w:p>
        </w:tc>
        <w:tc>
          <w:tcPr>
            <w:tcW w:w="6519" w:type="dxa"/>
            <w:gridSpan w:val="5"/>
          </w:tcPr>
          <w:p w14:paraId="6C802814" w14:textId="77777777" w:rsidR="008E065A" w:rsidRDefault="008E065A" w:rsidP="008E065A">
            <w:pPr>
              <w:pStyle w:val="TableBlock"/>
            </w:pPr>
            <w:r>
              <w:rPr>
                <w:rFonts w:hint="cs"/>
                <w:rtl/>
              </w:rPr>
              <w:t>(ב)</w:t>
            </w:r>
            <w:r>
              <w:rPr>
                <w:rtl/>
              </w:rPr>
              <w:tab/>
            </w:r>
            <w:r>
              <w:rPr>
                <w:rFonts w:hint="cs"/>
                <w:rtl/>
              </w:rPr>
              <w:t>בפסקה (2), במקום "הודעה שנמסרה ליושב ראש הכנסת לפי סעיף קטן זה; ההודעה תעמוד בתוקפה" יבוא "הסכם מימון שוטף שהוגש ליושב ראש ועדת הבחירות המרכזית; ההסכם יעמוד בתוקפו".</w:t>
            </w:r>
          </w:p>
        </w:tc>
      </w:tr>
      <w:tr w:rsidR="008E065A" w:rsidRPr="00281291" w14:paraId="002F9B0F" w14:textId="77777777" w:rsidTr="008E065A">
        <w:trPr>
          <w:cantSplit/>
        </w:trPr>
        <w:tc>
          <w:tcPr>
            <w:tcW w:w="1871" w:type="dxa"/>
            <w:shd w:val="clear" w:color="auto" w:fill="auto"/>
            <w:tcMar>
              <w:top w:w="91" w:type="dxa"/>
              <w:left w:w="0" w:type="dxa"/>
              <w:bottom w:w="91" w:type="dxa"/>
              <w:right w:w="0" w:type="dxa"/>
            </w:tcMar>
          </w:tcPr>
          <w:p w14:paraId="725241FB" w14:textId="77777777" w:rsidR="008E065A" w:rsidRPr="008848D2" w:rsidRDefault="008E065A" w:rsidP="006A2677">
            <w:pPr>
              <w:pStyle w:val="TableSideHeading"/>
              <w:rPr>
                <w:rtl/>
              </w:rPr>
            </w:pPr>
            <w:r w:rsidRPr="005D7B75">
              <w:rPr>
                <w:rtl/>
              </w:rPr>
              <w:t xml:space="preserve">תיקון </w:t>
            </w:r>
            <w:r>
              <w:rPr>
                <w:rFonts w:hint="cs"/>
                <w:rtl/>
              </w:rPr>
              <w:t>סעיף 13</w:t>
            </w:r>
          </w:p>
        </w:tc>
        <w:tc>
          <w:tcPr>
            <w:tcW w:w="624" w:type="dxa"/>
            <w:shd w:val="clear" w:color="auto" w:fill="auto"/>
            <w:tcMar>
              <w:top w:w="91" w:type="dxa"/>
              <w:left w:w="0" w:type="dxa"/>
              <w:bottom w:w="91" w:type="dxa"/>
              <w:right w:w="0" w:type="dxa"/>
            </w:tcMar>
          </w:tcPr>
          <w:p w14:paraId="58BA312B" w14:textId="77777777" w:rsidR="008E065A" w:rsidRPr="005D7B75" w:rsidRDefault="008E065A" w:rsidP="006A2677">
            <w:pPr>
              <w:pStyle w:val="TableText"/>
              <w:rPr>
                <w:rtl/>
              </w:rPr>
            </w:pPr>
            <w:r>
              <w:rPr>
                <w:rFonts w:hint="cs"/>
                <w:rtl/>
              </w:rPr>
              <w:t>7.</w:t>
            </w:r>
          </w:p>
        </w:tc>
        <w:tc>
          <w:tcPr>
            <w:tcW w:w="7143" w:type="dxa"/>
            <w:gridSpan w:val="6"/>
            <w:shd w:val="clear" w:color="auto" w:fill="auto"/>
            <w:tcMar>
              <w:top w:w="91" w:type="dxa"/>
              <w:left w:w="0" w:type="dxa"/>
              <w:bottom w:w="91" w:type="dxa"/>
              <w:right w:w="0" w:type="dxa"/>
            </w:tcMar>
          </w:tcPr>
          <w:p w14:paraId="79FD298A" w14:textId="77777777" w:rsidR="008E065A" w:rsidRPr="00281291" w:rsidRDefault="008E065A" w:rsidP="008E065A">
            <w:pPr>
              <w:pStyle w:val="TableBlock"/>
              <w:rPr>
                <w:rtl/>
              </w:rPr>
            </w:pPr>
            <w:r>
              <w:rPr>
                <w:rFonts w:hint="cs"/>
                <w:rtl/>
              </w:rPr>
              <w:t>בסעיף 13(א) לחוק העיקרי, המילים "</w:t>
            </w:r>
            <w:r w:rsidRPr="00EC5BB2">
              <w:rPr>
                <w:rFonts w:hint="cs"/>
                <w:rtl/>
              </w:rPr>
              <w:t>או התמזגו סיעות בכנסת" – יימחקו</w:t>
            </w:r>
            <w:r>
              <w:rPr>
                <w:rFonts w:hint="cs"/>
                <w:rtl/>
              </w:rPr>
              <w:t>.</w:t>
            </w:r>
          </w:p>
        </w:tc>
      </w:tr>
      <w:tr w:rsidR="008E065A" w:rsidRPr="00281291" w14:paraId="44AA607E" w14:textId="77777777" w:rsidTr="008E065A">
        <w:trPr>
          <w:cantSplit/>
        </w:trPr>
        <w:tc>
          <w:tcPr>
            <w:tcW w:w="1871" w:type="dxa"/>
            <w:shd w:val="clear" w:color="auto" w:fill="auto"/>
            <w:tcMar>
              <w:top w:w="91" w:type="dxa"/>
              <w:left w:w="0" w:type="dxa"/>
              <w:bottom w:w="91" w:type="dxa"/>
              <w:right w:w="0" w:type="dxa"/>
            </w:tcMar>
          </w:tcPr>
          <w:p w14:paraId="3D5C2EBE" w14:textId="77777777" w:rsidR="008E065A" w:rsidRPr="005D7B75" w:rsidRDefault="008E065A" w:rsidP="006A2677">
            <w:pPr>
              <w:pStyle w:val="TableSideHeading"/>
              <w:rPr>
                <w:rtl/>
              </w:rPr>
            </w:pPr>
            <w:r>
              <w:rPr>
                <w:rFonts w:hint="cs"/>
                <w:rtl/>
              </w:rPr>
              <w:t xml:space="preserve">החלפת סעיף 13ב </w:t>
            </w:r>
          </w:p>
        </w:tc>
        <w:tc>
          <w:tcPr>
            <w:tcW w:w="624" w:type="dxa"/>
            <w:shd w:val="clear" w:color="auto" w:fill="auto"/>
            <w:tcMar>
              <w:top w:w="91" w:type="dxa"/>
              <w:left w:w="0" w:type="dxa"/>
              <w:bottom w:w="91" w:type="dxa"/>
              <w:right w:w="0" w:type="dxa"/>
            </w:tcMar>
          </w:tcPr>
          <w:p w14:paraId="147A13E2" w14:textId="77777777" w:rsidR="008E065A" w:rsidRPr="005D7B75" w:rsidRDefault="008E065A" w:rsidP="006A2677">
            <w:pPr>
              <w:pStyle w:val="TableText"/>
              <w:rPr>
                <w:rtl/>
              </w:rPr>
            </w:pPr>
            <w:r>
              <w:rPr>
                <w:rFonts w:hint="cs"/>
                <w:rtl/>
              </w:rPr>
              <w:t>8.</w:t>
            </w:r>
          </w:p>
        </w:tc>
        <w:tc>
          <w:tcPr>
            <w:tcW w:w="7143" w:type="dxa"/>
            <w:gridSpan w:val="6"/>
            <w:shd w:val="clear" w:color="auto" w:fill="auto"/>
            <w:tcMar>
              <w:top w:w="91" w:type="dxa"/>
              <w:left w:w="0" w:type="dxa"/>
              <w:bottom w:w="91" w:type="dxa"/>
              <w:right w:w="0" w:type="dxa"/>
            </w:tcMar>
          </w:tcPr>
          <w:p w14:paraId="2A597355" w14:textId="77777777" w:rsidR="008E065A" w:rsidRPr="00281291" w:rsidRDefault="008E065A" w:rsidP="008E065A">
            <w:pPr>
              <w:pStyle w:val="TableBlock"/>
              <w:rPr>
                <w:rtl/>
              </w:rPr>
            </w:pPr>
            <w:r>
              <w:rPr>
                <w:rFonts w:hint="cs"/>
                <w:rtl/>
              </w:rPr>
              <w:t>במקום סעיף 13ב לחוק העיקרי יבוא:</w:t>
            </w:r>
          </w:p>
        </w:tc>
      </w:tr>
      <w:tr w:rsidR="008E065A" w:rsidRPr="00080112" w14:paraId="5579DED2" w14:textId="77777777" w:rsidTr="008E065A">
        <w:tblPrEx>
          <w:tblLook w:val="01E0" w:firstRow="1" w:lastRow="1" w:firstColumn="1" w:lastColumn="1" w:noHBand="0" w:noVBand="0"/>
        </w:tblPrEx>
        <w:trPr>
          <w:cantSplit/>
        </w:trPr>
        <w:tc>
          <w:tcPr>
            <w:tcW w:w="1871" w:type="dxa"/>
          </w:tcPr>
          <w:p w14:paraId="574488BB" w14:textId="77777777" w:rsidR="008E065A" w:rsidRDefault="008E065A" w:rsidP="006A2677">
            <w:pPr>
              <w:pStyle w:val="TableSideHeading"/>
              <w:keepLines w:val="0"/>
            </w:pPr>
          </w:p>
        </w:tc>
        <w:tc>
          <w:tcPr>
            <w:tcW w:w="624" w:type="dxa"/>
          </w:tcPr>
          <w:p w14:paraId="7B3E484B" w14:textId="77777777" w:rsidR="008E065A" w:rsidRDefault="008E065A" w:rsidP="006A2677">
            <w:pPr>
              <w:pStyle w:val="TableText"/>
              <w:keepLines w:val="0"/>
            </w:pPr>
          </w:p>
        </w:tc>
        <w:tc>
          <w:tcPr>
            <w:tcW w:w="1872" w:type="dxa"/>
            <w:gridSpan w:val="3"/>
          </w:tcPr>
          <w:p w14:paraId="1F6867B3" w14:textId="77777777" w:rsidR="008E065A" w:rsidRDefault="008E065A" w:rsidP="006A2677">
            <w:pPr>
              <w:pStyle w:val="TableInnerSideHeading"/>
            </w:pPr>
            <w:r>
              <w:rPr>
                <w:rFonts w:hint="cs"/>
                <w:rtl/>
              </w:rPr>
              <w:t>"רשימת מועמדים משותפת</w:t>
            </w:r>
          </w:p>
        </w:tc>
        <w:tc>
          <w:tcPr>
            <w:tcW w:w="624" w:type="dxa"/>
          </w:tcPr>
          <w:p w14:paraId="035EFAA6" w14:textId="77777777" w:rsidR="008E065A" w:rsidRPr="002E2DE1" w:rsidRDefault="008E065A" w:rsidP="006A2677">
            <w:pPr>
              <w:pStyle w:val="TableText"/>
            </w:pPr>
            <w:r w:rsidRPr="002E2DE1">
              <w:rPr>
                <w:rFonts w:hint="cs"/>
                <w:rtl/>
              </w:rPr>
              <w:t>13ב.</w:t>
            </w:r>
          </w:p>
        </w:tc>
        <w:tc>
          <w:tcPr>
            <w:tcW w:w="4647" w:type="dxa"/>
            <w:gridSpan w:val="2"/>
          </w:tcPr>
          <w:p w14:paraId="6DC263C1" w14:textId="77777777" w:rsidR="008E065A" w:rsidRPr="00080112" w:rsidRDefault="008E065A" w:rsidP="008E065A">
            <w:pPr>
              <w:pStyle w:val="TableBlock"/>
            </w:pPr>
            <w:r w:rsidRPr="00080112">
              <w:rPr>
                <w:rFonts w:hint="cs"/>
                <w:rtl/>
              </w:rPr>
              <w:t>(א)</w:t>
            </w:r>
            <w:r w:rsidRPr="00080112">
              <w:rPr>
                <w:rtl/>
              </w:rPr>
              <w:tab/>
            </w:r>
            <w:r>
              <w:rPr>
                <w:rFonts w:hint="cs"/>
                <w:rtl/>
              </w:rPr>
              <w:t xml:space="preserve">מפלגות שהגישו </w:t>
            </w:r>
            <w:r w:rsidRPr="00080112">
              <w:rPr>
                <w:rtl/>
              </w:rPr>
              <w:t xml:space="preserve">רשימת מועמדים משותפת </w:t>
            </w:r>
            <w:r>
              <w:rPr>
                <w:rFonts w:hint="cs"/>
                <w:rtl/>
              </w:rPr>
              <w:t xml:space="preserve">ינהלו </w:t>
            </w:r>
            <w:r w:rsidRPr="00080112">
              <w:rPr>
                <w:rtl/>
              </w:rPr>
              <w:t>את חשבונותיה</w:t>
            </w:r>
            <w:r>
              <w:rPr>
                <w:rFonts w:hint="cs"/>
                <w:rtl/>
              </w:rPr>
              <w:t>ן</w:t>
            </w:r>
            <w:r w:rsidRPr="00080112">
              <w:rPr>
                <w:rtl/>
              </w:rPr>
              <w:t xml:space="preserve"> לתקופת הבחירות בנפרד, </w:t>
            </w:r>
            <w:r w:rsidRPr="00080112">
              <w:rPr>
                <w:rFonts w:hint="cs"/>
                <w:rtl/>
              </w:rPr>
              <w:t>ויראו אותן כאילו היו סיעות נפרדות בכל הנוגע למימון הוצאות הבחירות</w:t>
            </w:r>
            <w:r>
              <w:rPr>
                <w:rFonts w:hint="cs"/>
                <w:rtl/>
              </w:rPr>
              <w:t>.</w:t>
            </w:r>
          </w:p>
        </w:tc>
      </w:tr>
      <w:tr w:rsidR="008E065A" w:rsidRPr="00080112" w14:paraId="72F1E36B" w14:textId="77777777" w:rsidTr="008E065A">
        <w:tblPrEx>
          <w:tblLook w:val="01E0" w:firstRow="1" w:lastRow="1" w:firstColumn="1" w:lastColumn="1" w:noHBand="0" w:noVBand="0"/>
        </w:tblPrEx>
        <w:trPr>
          <w:cantSplit/>
        </w:trPr>
        <w:tc>
          <w:tcPr>
            <w:tcW w:w="1871" w:type="dxa"/>
          </w:tcPr>
          <w:p w14:paraId="3F65F3EF" w14:textId="77777777" w:rsidR="008E065A" w:rsidRPr="008E065A" w:rsidRDefault="008E065A" w:rsidP="008E065A">
            <w:pPr>
              <w:pStyle w:val="TableSideHeading"/>
              <w:outlineLvl w:val="9"/>
            </w:pPr>
          </w:p>
        </w:tc>
        <w:tc>
          <w:tcPr>
            <w:tcW w:w="624" w:type="dxa"/>
          </w:tcPr>
          <w:p w14:paraId="454BE2E7" w14:textId="77777777" w:rsidR="008E065A" w:rsidRDefault="008E065A" w:rsidP="006A2677">
            <w:pPr>
              <w:pStyle w:val="TableText"/>
            </w:pPr>
          </w:p>
        </w:tc>
        <w:tc>
          <w:tcPr>
            <w:tcW w:w="624" w:type="dxa"/>
          </w:tcPr>
          <w:p w14:paraId="0B4C91E9" w14:textId="77777777" w:rsidR="008E065A" w:rsidRDefault="008E065A" w:rsidP="006A2677">
            <w:pPr>
              <w:pStyle w:val="TableText"/>
            </w:pPr>
          </w:p>
        </w:tc>
        <w:tc>
          <w:tcPr>
            <w:tcW w:w="624" w:type="dxa"/>
          </w:tcPr>
          <w:p w14:paraId="138650E5" w14:textId="77777777" w:rsidR="008E065A" w:rsidRDefault="008E065A" w:rsidP="006A2677">
            <w:pPr>
              <w:pStyle w:val="TableText"/>
            </w:pPr>
          </w:p>
        </w:tc>
        <w:tc>
          <w:tcPr>
            <w:tcW w:w="624" w:type="dxa"/>
          </w:tcPr>
          <w:p w14:paraId="22DA0BFA" w14:textId="77777777" w:rsidR="008E065A" w:rsidRDefault="008E065A" w:rsidP="006A2677">
            <w:pPr>
              <w:pStyle w:val="TableText"/>
            </w:pPr>
          </w:p>
        </w:tc>
        <w:tc>
          <w:tcPr>
            <w:tcW w:w="624" w:type="dxa"/>
          </w:tcPr>
          <w:p w14:paraId="220A44CC" w14:textId="77777777" w:rsidR="008E065A" w:rsidRDefault="008E065A" w:rsidP="006A2677">
            <w:pPr>
              <w:pStyle w:val="TableText"/>
            </w:pPr>
          </w:p>
        </w:tc>
        <w:tc>
          <w:tcPr>
            <w:tcW w:w="4647" w:type="dxa"/>
            <w:gridSpan w:val="2"/>
          </w:tcPr>
          <w:p w14:paraId="7EFE0AD1" w14:textId="77777777" w:rsidR="008E065A" w:rsidRPr="00080112" w:rsidRDefault="008E065A" w:rsidP="008E065A">
            <w:pPr>
              <w:pStyle w:val="TableBlock"/>
            </w:pPr>
            <w:r w:rsidRPr="00080112">
              <w:rPr>
                <w:rFonts w:hint="cs"/>
                <w:rtl/>
              </w:rPr>
              <w:t>(ב)</w:t>
            </w:r>
            <w:r w:rsidRPr="00080112">
              <w:rPr>
                <w:rtl/>
              </w:rPr>
              <w:tab/>
            </w:r>
            <w:r w:rsidRPr="00080112">
              <w:rPr>
                <w:rFonts w:hint="cs"/>
                <w:rtl/>
              </w:rPr>
              <w:t>על אף האמור בסעיף קטן (א), מפלגות שהגישו רשימת מועמדים משותפת</w:t>
            </w:r>
            <w:r>
              <w:rPr>
                <w:rFonts w:hint="cs"/>
                <w:rtl/>
              </w:rPr>
              <w:t xml:space="preserve"> רשאיות </w:t>
            </w:r>
            <w:r w:rsidRPr="00080112">
              <w:rPr>
                <w:rFonts w:hint="cs"/>
                <w:rtl/>
              </w:rPr>
              <w:t xml:space="preserve"> להודיע</w:t>
            </w:r>
            <w:r>
              <w:rPr>
                <w:rFonts w:hint="cs"/>
                <w:rtl/>
              </w:rPr>
              <w:t>,</w:t>
            </w:r>
            <w:r w:rsidRPr="00080112">
              <w:rPr>
                <w:rFonts w:hint="cs"/>
                <w:rtl/>
              </w:rPr>
              <w:t xml:space="preserve"> בהודעה משותפת ליושב ראש הכנסת עם מסירת ההודעה לפי סעיף 6(א)</w:t>
            </w:r>
            <w:r>
              <w:rPr>
                <w:rFonts w:hint="cs"/>
                <w:rtl/>
              </w:rPr>
              <w:t>,</w:t>
            </w:r>
            <w:r w:rsidRPr="00080112">
              <w:rPr>
                <w:rFonts w:hint="cs"/>
                <w:rtl/>
              </w:rPr>
              <w:t xml:space="preserve"> כי הן ינהלו את חשבו</w:t>
            </w:r>
            <w:r>
              <w:rPr>
                <w:rFonts w:hint="cs"/>
                <w:rtl/>
              </w:rPr>
              <w:t>נותיהן</w:t>
            </w:r>
            <w:r w:rsidRPr="00080112">
              <w:rPr>
                <w:rFonts w:hint="cs"/>
                <w:rtl/>
              </w:rPr>
              <w:t xml:space="preserve"> </w:t>
            </w:r>
            <w:r>
              <w:rPr>
                <w:rFonts w:hint="cs"/>
                <w:rtl/>
              </w:rPr>
              <w:t xml:space="preserve">לתקופת </w:t>
            </w:r>
            <w:r w:rsidRPr="00080112">
              <w:rPr>
                <w:rFonts w:hint="cs"/>
                <w:rtl/>
              </w:rPr>
              <w:t xml:space="preserve">הבחירות במשותף, ויראו אותן כאילו היו סיעה אחת בכל הנוגע למימון הוצאות הבחירות; הודיעו מפלגות כאמור, </w:t>
            </w:r>
            <w:r>
              <w:rPr>
                <w:rFonts w:hint="cs"/>
                <w:rtl/>
              </w:rPr>
              <w:t>י</w:t>
            </w:r>
            <w:r w:rsidRPr="00080112">
              <w:rPr>
                <w:rFonts w:hint="cs"/>
                <w:rtl/>
              </w:rPr>
              <w:t>יכללו החשבונות שניהלו לעניין הבחירות לפני מסירת ההודעה</w:t>
            </w:r>
            <w:r>
              <w:rPr>
                <w:rFonts w:hint="cs"/>
                <w:rtl/>
              </w:rPr>
              <w:t xml:space="preserve"> </w:t>
            </w:r>
            <w:r w:rsidRPr="00080112">
              <w:rPr>
                <w:rFonts w:hint="cs"/>
                <w:rtl/>
              </w:rPr>
              <w:t>בחשבונות שהן מוסרות למבקר המדינה לפי סעיף 10(א).</w:t>
            </w:r>
          </w:p>
        </w:tc>
      </w:tr>
      <w:tr w:rsidR="008E065A" w:rsidRPr="00080112" w14:paraId="0F60B75C" w14:textId="77777777" w:rsidTr="008E065A">
        <w:tblPrEx>
          <w:tblLook w:val="01E0" w:firstRow="1" w:lastRow="1" w:firstColumn="1" w:lastColumn="1" w:noHBand="0" w:noVBand="0"/>
        </w:tblPrEx>
        <w:trPr>
          <w:cantSplit/>
        </w:trPr>
        <w:tc>
          <w:tcPr>
            <w:tcW w:w="1871" w:type="dxa"/>
          </w:tcPr>
          <w:p w14:paraId="44AE6480" w14:textId="77777777" w:rsidR="008E065A" w:rsidRPr="008E065A" w:rsidRDefault="008E065A" w:rsidP="008E065A">
            <w:pPr>
              <w:pStyle w:val="TableSideHeading"/>
              <w:outlineLvl w:val="9"/>
            </w:pPr>
          </w:p>
        </w:tc>
        <w:tc>
          <w:tcPr>
            <w:tcW w:w="624" w:type="dxa"/>
          </w:tcPr>
          <w:p w14:paraId="71525A3D" w14:textId="77777777" w:rsidR="008E065A" w:rsidRDefault="008E065A" w:rsidP="006A2677">
            <w:pPr>
              <w:pStyle w:val="TableText"/>
            </w:pPr>
          </w:p>
        </w:tc>
        <w:tc>
          <w:tcPr>
            <w:tcW w:w="624" w:type="dxa"/>
          </w:tcPr>
          <w:p w14:paraId="7F5CCAE5" w14:textId="77777777" w:rsidR="008E065A" w:rsidRDefault="008E065A" w:rsidP="006A2677">
            <w:pPr>
              <w:pStyle w:val="TableText"/>
            </w:pPr>
          </w:p>
        </w:tc>
        <w:tc>
          <w:tcPr>
            <w:tcW w:w="624" w:type="dxa"/>
          </w:tcPr>
          <w:p w14:paraId="25E0B365" w14:textId="77777777" w:rsidR="008E065A" w:rsidRDefault="008E065A" w:rsidP="006A2677">
            <w:pPr>
              <w:pStyle w:val="TableText"/>
            </w:pPr>
          </w:p>
        </w:tc>
        <w:tc>
          <w:tcPr>
            <w:tcW w:w="624" w:type="dxa"/>
          </w:tcPr>
          <w:p w14:paraId="384EFB70" w14:textId="77777777" w:rsidR="008E065A" w:rsidRDefault="008E065A" w:rsidP="006A2677">
            <w:pPr>
              <w:pStyle w:val="TableText"/>
            </w:pPr>
          </w:p>
        </w:tc>
        <w:tc>
          <w:tcPr>
            <w:tcW w:w="624" w:type="dxa"/>
          </w:tcPr>
          <w:p w14:paraId="4910D80C" w14:textId="77777777" w:rsidR="008E065A" w:rsidRDefault="008E065A" w:rsidP="006A2677">
            <w:pPr>
              <w:pStyle w:val="TableText"/>
            </w:pPr>
          </w:p>
        </w:tc>
        <w:tc>
          <w:tcPr>
            <w:tcW w:w="4647" w:type="dxa"/>
            <w:gridSpan w:val="2"/>
          </w:tcPr>
          <w:p w14:paraId="263D0E77" w14:textId="77777777" w:rsidR="008E065A" w:rsidRPr="00080112" w:rsidRDefault="008E065A" w:rsidP="008E065A">
            <w:pPr>
              <w:pStyle w:val="TableBlock"/>
              <w:rPr>
                <w:rtl/>
              </w:rPr>
            </w:pPr>
            <w:r>
              <w:rPr>
                <w:rFonts w:hint="cs"/>
                <w:rtl/>
              </w:rPr>
              <w:t>(ג)</w:t>
            </w:r>
            <w:r>
              <w:rPr>
                <w:rtl/>
              </w:rPr>
              <w:tab/>
            </w:r>
            <w:r>
              <w:rPr>
                <w:rFonts w:hint="cs"/>
                <w:rtl/>
              </w:rPr>
              <w:t xml:space="preserve">כל אחת מהמפלגות שהגישו רשימת מועמדים משותפת וזכאיות למימון הוצאות הבחירות תשתתף בהוצאות הבחירות. </w:t>
            </w:r>
          </w:p>
        </w:tc>
      </w:tr>
      <w:tr w:rsidR="008E065A" w:rsidRPr="00080112" w14:paraId="070D5F7D" w14:textId="77777777" w:rsidTr="008E065A">
        <w:tblPrEx>
          <w:tblLook w:val="01E0" w:firstRow="1" w:lastRow="1" w:firstColumn="1" w:lastColumn="1" w:noHBand="0" w:noVBand="0"/>
        </w:tblPrEx>
        <w:trPr>
          <w:cantSplit/>
        </w:trPr>
        <w:tc>
          <w:tcPr>
            <w:tcW w:w="1871" w:type="dxa"/>
          </w:tcPr>
          <w:p w14:paraId="0C670CE2" w14:textId="77777777" w:rsidR="008E065A" w:rsidRPr="008E065A" w:rsidRDefault="008E065A" w:rsidP="008E065A">
            <w:pPr>
              <w:pStyle w:val="TableSideHeading"/>
              <w:outlineLvl w:val="9"/>
            </w:pPr>
          </w:p>
        </w:tc>
        <w:tc>
          <w:tcPr>
            <w:tcW w:w="624" w:type="dxa"/>
          </w:tcPr>
          <w:p w14:paraId="6865E003" w14:textId="77777777" w:rsidR="008E065A" w:rsidRDefault="008E065A" w:rsidP="006A2677">
            <w:pPr>
              <w:pStyle w:val="TableText"/>
            </w:pPr>
          </w:p>
        </w:tc>
        <w:tc>
          <w:tcPr>
            <w:tcW w:w="624" w:type="dxa"/>
          </w:tcPr>
          <w:p w14:paraId="274FCFD9" w14:textId="77777777" w:rsidR="008E065A" w:rsidRDefault="008E065A" w:rsidP="006A2677">
            <w:pPr>
              <w:pStyle w:val="TableText"/>
            </w:pPr>
          </w:p>
        </w:tc>
        <w:tc>
          <w:tcPr>
            <w:tcW w:w="624" w:type="dxa"/>
          </w:tcPr>
          <w:p w14:paraId="3BE57BDE" w14:textId="77777777" w:rsidR="008E065A" w:rsidRDefault="008E065A" w:rsidP="006A2677">
            <w:pPr>
              <w:pStyle w:val="TableText"/>
            </w:pPr>
          </w:p>
        </w:tc>
        <w:tc>
          <w:tcPr>
            <w:tcW w:w="624" w:type="dxa"/>
          </w:tcPr>
          <w:p w14:paraId="6DCDCACA" w14:textId="77777777" w:rsidR="008E065A" w:rsidRDefault="008E065A" w:rsidP="006A2677">
            <w:pPr>
              <w:pStyle w:val="TableText"/>
            </w:pPr>
          </w:p>
        </w:tc>
        <w:tc>
          <w:tcPr>
            <w:tcW w:w="624" w:type="dxa"/>
          </w:tcPr>
          <w:p w14:paraId="0AE98ABE" w14:textId="77777777" w:rsidR="008E065A" w:rsidRDefault="008E065A" w:rsidP="006A2677">
            <w:pPr>
              <w:pStyle w:val="TableText"/>
            </w:pPr>
          </w:p>
        </w:tc>
        <w:tc>
          <w:tcPr>
            <w:tcW w:w="4647" w:type="dxa"/>
            <w:gridSpan w:val="2"/>
          </w:tcPr>
          <w:p w14:paraId="3C7C491B" w14:textId="77777777" w:rsidR="008E065A" w:rsidRPr="00080112" w:rsidRDefault="008E065A" w:rsidP="008E065A">
            <w:pPr>
              <w:pStyle w:val="TableBlock"/>
              <w:rPr>
                <w:rtl/>
              </w:rPr>
            </w:pPr>
            <w:r>
              <w:rPr>
                <w:rFonts w:hint="cs"/>
                <w:rtl/>
              </w:rPr>
              <w:t>(ד)</w:t>
            </w:r>
            <w:r>
              <w:rPr>
                <w:rtl/>
              </w:rPr>
              <w:tab/>
            </w:r>
            <w:r>
              <w:rPr>
                <w:rFonts w:hint="cs"/>
                <w:rtl/>
              </w:rPr>
              <w:t xml:space="preserve">מפלגות שהגישו רשימת מועמדים משותפת  יערכו, לפני הגשת הרשימה, הסכם הוצאות בחירות, שיתייחס בין היתר להוצאות הבחירות, לתקציב הבחירות וכן לעודף ולגרעון בתקציב הבחירות; המפלגות יגישו את ההסכם </w:t>
            </w:r>
            <w:r w:rsidRPr="008663D8">
              <w:rPr>
                <w:rtl/>
              </w:rPr>
              <w:t>ליושב ראש ועדת הבחירות המרכזית בעת הגשת רשימת המועמדים המשותפת</w:t>
            </w:r>
            <w:r>
              <w:rPr>
                <w:rFonts w:hint="cs"/>
                <w:rtl/>
              </w:rPr>
              <w:t>.</w:t>
            </w:r>
          </w:p>
        </w:tc>
      </w:tr>
      <w:tr w:rsidR="008E065A" w14:paraId="2F1B26F3" w14:textId="77777777" w:rsidTr="008E065A">
        <w:tblPrEx>
          <w:tblLook w:val="01E0" w:firstRow="1" w:lastRow="1" w:firstColumn="1" w:lastColumn="1" w:noHBand="0" w:noVBand="0"/>
        </w:tblPrEx>
        <w:trPr>
          <w:cantSplit/>
        </w:trPr>
        <w:tc>
          <w:tcPr>
            <w:tcW w:w="1871" w:type="dxa"/>
          </w:tcPr>
          <w:p w14:paraId="2714E73F" w14:textId="77777777" w:rsidR="008E065A" w:rsidRDefault="008E065A" w:rsidP="006A2677">
            <w:pPr>
              <w:pStyle w:val="TableSideHeading"/>
            </w:pPr>
          </w:p>
        </w:tc>
        <w:tc>
          <w:tcPr>
            <w:tcW w:w="624" w:type="dxa"/>
          </w:tcPr>
          <w:p w14:paraId="67F83580" w14:textId="77777777" w:rsidR="008E065A" w:rsidRDefault="008E065A" w:rsidP="006A2677">
            <w:pPr>
              <w:pStyle w:val="TableText"/>
            </w:pPr>
          </w:p>
        </w:tc>
        <w:tc>
          <w:tcPr>
            <w:tcW w:w="624" w:type="dxa"/>
          </w:tcPr>
          <w:p w14:paraId="382952A2" w14:textId="77777777" w:rsidR="008E065A" w:rsidRDefault="008E065A" w:rsidP="006A2677">
            <w:pPr>
              <w:pStyle w:val="TableText"/>
            </w:pPr>
          </w:p>
        </w:tc>
        <w:tc>
          <w:tcPr>
            <w:tcW w:w="624" w:type="dxa"/>
          </w:tcPr>
          <w:p w14:paraId="2453D03E" w14:textId="77777777" w:rsidR="008E065A" w:rsidRDefault="008E065A" w:rsidP="006A2677">
            <w:pPr>
              <w:pStyle w:val="TableText"/>
            </w:pPr>
          </w:p>
        </w:tc>
        <w:tc>
          <w:tcPr>
            <w:tcW w:w="624" w:type="dxa"/>
          </w:tcPr>
          <w:p w14:paraId="3E68A7A0" w14:textId="77777777" w:rsidR="008E065A" w:rsidRDefault="008E065A" w:rsidP="006A2677">
            <w:pPr>
              <w:pStyle w:val="TableText"/>
            </w:pPr>
          </w:p>
        </w:tc>
        <w:tc>
          <w:tcPr>
            <w:tcW w:w="624" w:type="dxa"/>
          </w:tcPr>
          <w:p w14:paraId="4FF37B71" w14:textId="77777777" w:rsidR="008E065A" w:rsidRDefault="008E065A" w:rsidP="006A2677">
            <w:pPr>
              <w:pStyle w:val="TableText"/>
            </w:pPr>
          </w:p>
        </w:tc>
        <w:tc>
          <w:tcPr>
            <w:tcW w:w="4647" w:type="dxa"/>
            <w:gridSpan w:val="2"/>
          </w:tcPr>
          <w:p w14:paraId="4AD3817B" w14:textId="77777777" w:rsidR="008E065A" w:rsidRDefault="008E065A" w:rsidP="008E065A">
            <w:pPr>
              <w:pStyle w:val="TableBlock"/>
              <w:rPr>
                <w:rtl/>
              </w:rPr>
            </w:pPr>
            <w:r>
              <w:rPr>
                <w:rFonts w:hint="cs"/>
                <w:rtl/>
              </w:rPr>
              <w:t>(ה)</w:t>
            </w:r>
            <w:r>
              <w:rPr>
                <w:rtl/>
              </w:rPr>
              <w:tab/>
            </w:r>
            <w:r>
              <w:rPr>
                <w:rFonts w:hint="cs"/>
                <w:rtl/>
              </w:rPr>
              <w:t xml:space="preserve">המגישים רשימת מועמדים משותפת יציינו בה, נוסף לבא כוח הרשימה וממלא מקומו כאמור בסעיף 59 לחוק הבחירות, גם את בא כוחה של כל </w:t>
            </w:r>
            <w:r w:rsidRPr="00080112">
              <w:rPr>
                <w:rtl/>
              </w:rPr>
              <w:t xml:space="preserve">אחת מהמפלגות </w:t>
            </w:r>
            <w:r>
              <w:rPr>
                <w:rFonts w:hint="cs"/>
                <w:rtl/>
              </w:rPr>
              <w:t>שהגישו את הרשימה ואת ממלא מקומו לעניין חוק זה.</w:t>
            </w:r>
          </w:p>
        </w:tc>
      </w:tr>
      <w:tr w:rsidR="008E065A" w14:paraId="144C9490" w14:textId="77777777" w:rsidTr="008E065A">
        <w:tblPrEx>
          <w:tblLook w:val="01E0" w:firstRow="1" w:lastRow="1" w:firstColumn="1" w:lastColumn="1" w:noHBand="0" w:noVBand="0"/>
        </w:tblPrEx>
        <w:trPr>
          <w:cantSplit/>
        </w:trPr>
        <w:tc>
          <w:tcPr>
            <w:tcW w:w="1871" w:type="dxa"/>
          </w:tcPr>
          <w:p w14:paraId="3FB1F4E5" w14:textId="77777777" w:rsidR="008E065A" w:rsidRDefault="008E065A" w:rsidP="006A2677">
            <w:pPr>
              <w:pStyle w:val="TableSideHeading"/>
            </w:pPr>
          </w:p>
        </w:tc>
        <w:tc>
          <w:tcPr>
            <w:tcW w:w="624" w:type="dxa"/>
          </w:tcPr>
          <w:p w14:paraId="290CCD02" w14:textId="77777777" w:rsidR="008E065A" w:rsidRDefault="008E065A" w:rsidP="006A2677">
            <w:pPr>
              <w:pStyle w:val="TableText"/>
            </w:pPr>
          </w:p>
        </w:tc>
        <w:tc>
          <w:tcPr>
            <w:tcW w:w="624" w:type="dxa"/>
          </w:tcPr>
          <w:p w14:paraId="6B219B11" w14:textId="77777777" w:rsidR="008E065A" w:rsidRDefault="008E065A" w:rsidP="006A2677">
            <w:pPr>
              <w:pStyle w:val="TableText"/>
            </w:pPr>
          </w:p>
        </w:tc>
        <w:tc>
          <w:tcPr>
            <w:tcW w:w="624" w:type="dxa"/>
          </w:tcPr>
          <w:p w14:paraId="0346D71C" w14:textId="77777777" w:rsidR="008E065A" w:rsidRDefault="008E065A" w:rsidP="006A2677">
            <w:pPr>
              <w:pStyle w:val="TableText"/>
            </w:pPr>
          </w:p>
        </w:tc>
        <w:tc>
          <w:tcPr>
            <w:tcW w:w="624" w:type="dxa"/>
          </w:tcPr>
          <w:p w14:paraId="4FB7116E" w14:textId="77777777" w:rsidR="008E065A" w:rsidRDefault="008E065A" w:rsidP="006A2677">
            <w:pPr>
              <w:pStyle w:val="TableText"/>
            </w:pPr>
          </w:p>
        </w:tc>
        <w:tc>
          <w:tcPr>
            <w:tcW w:w="624" w:type="dxa"/>
          </w:tcPr>
          <w:p w14:paraId="3D249503" w14:textId="77777777" w:rsidR="008E065A" w:rsidRDefault="008E065A" w:rsidP="006A2677">
            <w:pPr>
              <w:pStyle w:val="TableText"/>
            </w:pPr>
          </w:p>
        </w:tc>
        <w:tc>
          <w:tcPr>
            <w:tcW w:w="4647" w:type="dxa"/>
            <w:gridSpan w:val="2"/>
          </w:tcPr>
          <w:p w14:paraId="3F755BB9" w14:textId="77777777" w:rsidR="008E065A" w:rsidRDefault="008E065A" w:rsidP="008E065A">
            <w:pPr>
              <w:pStyle w:val="TableBlock"/>
            </w:pPr>
            <w:r>
              <w:rPr>
                <w:rFonts w:hint="cs"/>
                <w:rtl/>
              </w:rPr>
              <w:t>(ו)</w:t>
            </w:r>
            <w:r>
              <w:rPr>
                <w:rtl/>
              </w:rPr>
              <w:tab/>
            </w:r>
            <w:r>
              <w:rPr>
                <w:rFonts w:hint="cs"/>
                <w:rtl/>
              </w:rPr>
              <w:t xml:space="preserve">בשנה שמתקיימות בה בחירות לכנסת יראו מפלגות שהגישו רשימת מועמדים משותפת לאותן בחירות כסיעה אחת לעניין סעיף 8(ג), ואם כל המפלגות אינן מיוצגות בכנסת </w:t>
            </w:r>
            <w:r>
              <w:rPr>
                <w:rFonts w:hint="eastAsia"/>
                <w:rtl/>
              </w:rPr>
              <w:t>–</w:t>
            </w:r>
            <w:r>
              <w:rPr>
                <w:rFonts w:hint="cs"/>
                <w:rtl/>
              </w:rPr>
              <w:t xml:space="preserve"> לעניין סעיף 8(ג1); קיבלו מפלגות כאמור תרומה בסכום העולה על סכום התרומה המרבי לפי סעיף קטן זה, לפני שהוגשה רשימת המועמדים המשותפת, יחולו הוראות סעיף 8(ז); החזר התרומה יחולק בין המפלגות בחלקים שווים או בדרך אחרת שקבעו בהסכם הוצאות הבחירות.</w:t>
            </w:r>
          </w:p>
        </w:tc>
      </w:tr>
      <w:tr w:rsidR="008E065A" w14:paraId="0CB8CEF7" w14:textId="77777777" w:rsidTr="008E065A">
        <w:tblPrEx>
          <w:tblLook w:val="01E0" w:firstRow="1" w:lastRow="1" w:firstColumn="1" w:lastColumn="1" w:noHBand="0" w:noVBand="0"/>
        </w:tblPrEx>
        <w:trPr>
          <w:cantSplit/>
        </w:trPr>
        <w:tc>
          <w:tcPr>
            <w:tcW w:w="1871" w:type="dxa"/>
          </w:tcPr>
          <w:p w14:paraId="58EC0F4F" w14:textId="77777777" w:rsidR="008E065A" w:rsidRDefault="008E065A" w:rsidP="006A2677">
            <w:pPr>
              <w:pStyle w:val="TableSideHeading"/>
            </w:pPr>
          </w:p>
        </w:tc>
        <w:tc>
          <w:tcPr>
            <w:tcW w:w="624" w:type="dxa"/>
          </w:tcPr>
          <w:p w14:paraId="73142FF9" w14:textId="77777777" w:rsidR="008E065A" w:rsidRDefault="008E065A" w:rsidP="006A2677">
            <w:pPr>
              <w:pStyle w:val="TableText"/>
            </w:pPr>
          </w:p>
        </w:tc>
        <w:tc>
          <w:tcPr>
            <w:tcW w:w="624" w:type="dxa"/>
          </w:tcPr>
          <w:p w14:paraId="68816156" w14:textId="77777777" w:rsidR="008E065A" w:rsidRDefault="008E065A" w:rsidP="006A2677">
            <w:pPr>
              <w:pStyle w:val="TableText"/>
            </w:pPr>
          </w:p>
        </w:tc>
        <w:tc>
          <w:tcPr>
            <w:tcW w:w="624" w:type="dxa"/>
          </w:tcPr>
          <w:p w14:paraId="46800013" w14:textId="77777777" w:rsidR="008E065A" w:rsidRDefault="008E065A" w:rsidP="006A2677">
            <w:pPr>
              <w:pStyle w:val="TableText"/>
            </w:pPr>
          </w:p>
        </w:tc>
        <w:tc>
          <w:tcPr>
            <w:tcW w:w="624" w:type="dxa"/>
          </w:tcPr>
          <w:p w14:paraId="378FBEF5" w14:textId="77777777" w:rsidR="008E065A" w:rsidRDefault="008E065A" w:rsidP="006A2677">
            <w:pPr>
              <w:pStyle w:val="TableText"/>
            </w:pPr>
          </w:p>
        </w:tc>
        <w:tc>
          <w:tcPr>
            <w:tcW w:w="624" w:type="dxa"/>
          </w:tcPr>
          <w:p w14:paraId="209D7F9E" w14:textId="77777777" w:rsidR="008E065A" w:rsidRDefault="008E065A" w:rsidP="006A2677">
            <w:pPr>
              <w:pStyle w:val="TableText"/>
            </w:pPr>
          </w:p>
        </w:tc>
        <w:tc>
          <w:tcPr>
            <w:tcW w:w="624" w:type="dxa"/>
          </w:tcPr>
          <w:p w14:paraId="5535963B" w14:textId="77777777" w:rsidR="008E065A" w:rsidRDefault="008E065A" w:rsidP="006A2677">
            <w:pPr>
              <w:pStyle w:val="TableText"/>
            </w:pPr>
            <w:r>
              <w:rPr>
                <w:rFonts w:hint="cs"/>
                <w:rtl/>
              </w:rPr>
              <w:t>(ז)</w:t>
            </w:r>
          </w:p>
        </w:tc>
        <w:tc>
          <w:tcPr>
            <w:tcW w:w="4023" w:type="dxa"/>
          </w:tcPr>
          <w:p w14:paraId="03D13A5E" w14:textId="77777777" w:rsidR="008E065A" w:rsidRDefault="008E065A" w:rsidP="008E065A">
            <w:pPr>
              <w:pStyle w:val="TableBlock"/>
              <w:rPr>
                <w:rtl/>
              </w:rPr>
            </w:pPr>
            <w:r>
              <w:rPr>
                <w:rFonts w:hint="cs"/>
                <w:rtl/>
              </w:rPr>
              <w:t>(1)</w:t>
            </w:r>
            <w:r>
              <w:rPr>
                <w:rtl/>
              </w:rPr>
              <w:tab/>
            </w:r>
            <w:r>
              <w:rPr>
                <w:rFonts w:hint="cs"/>
                <w:rtl/>
              </w:rPr>
              <w:t>לעניין הגבלת הוצאות בחירות לפי סעיף 7, יראו מפלגות שהגישו רשימת מועמדים משותפת כאילו היו סיעה אחת, בין שחשבון הבחירות מנוהל בנפרד ובין במשותף, לפי הוראות סעיף 13ב(א) או (ב); ניהלו המפלגות את חשבון הבחירות בנפרד, תחושב הגבלת ההוצאות ביניהן בהתאם  ליחס מספר חברי הכנסת שנמנים עם כל אחת מהן ביום הקובע כאמור בסעיף 4(א)(1).</w:t>
            </w:r>
          </w:p>
        </w:tc>
      </w:tr>
      <w:tr w:rsidR="008E065A" w14:paraId="0CACA494" w14:textId="77777777" w:rsidTr="008E065A">
        <w:tblPrEx>
          <w:tblLook w:val="01E0" w:firstRow="1" w:lastRow="1" w:firstColumn="1" w:lastColumn="1" w:noHBand="0" w:noVBand="0"/>
        </w:tblPrEx>
        <w:trPr>
          <w:cantSplit/>
        </w:trPr>
        <w:tc>
          <w:tcPr>
            <w:tcW w:w="1871" w:type="dxa"/>
          </w:tcPr>
          <w:p w14:paraId="28E890A8" w14:textId="77777777" w:rsidR="008E065A" w:rsidRDefault="008E065A" w:rsidP="006A2677">
            <w:pPr>
              <w:pStyle w:val="TableSideHeading"/>
            </w:pPr>
          </w:p>
        </w:tc>
        <w:tc>
          <w:tcPr>
            <w:tcW w:w="624" w:type="dxa"/>
          </w:tcPr>
          <w:p w14:paraId="7D0235F9" w14:textId="77777777" w:rsidR="008E065A" w:rsidRDefault="008E065A" w:rsidP="006A2677">
            <w:pPr>
              <w:pStyle w:val="TableText"/>
            </w:pPr>
          </w:p>
        </w:tc>
        <w:tc>
          <w:tcPr>
            <w:tcW w:w="624" w:type="dxa"/>
          </w:tcPr>
          <w:p w14:paraId="58DD9375" w14:textId="77777777" w:rsidR="008E065A" w:rsidRDefault="008E065A" w:rsidP="006A2677">
            <w:pPr>
              <w:pStyle w:val="TableText"/>
            </w:pPr>
          </w:p>
        </w:tc>
        <w:tc>
          <w:tcPr>
            <w:tcW w:w="624" w:type="dxa"/>
          </w:tcPr>
          <w:p w14:paraId="476ECF0A" w14:textId="77777777" w:rsidR="008E065A" w:rsidRDefault="008E065A" w:rsidP="006A2677">
            <w:pPr>
              <w:pStyle w:val="TableText"/>
            </w:pPr>
          </w:p>
        </w:tc>
        <w:tc>
          <w:tcPr>
            <w:tcW w:w="624" w:type="dxa"/>
          </w:tcPr>
          <w:p w14:paraId="01097CD1" w14:textId="77777777" w:rsidR="008E065A" w:rsidRDefault="008E065A" w:rsidP="006A2677">
            <w:pPr>
              <w:pStyle w:val="TableText"/>
            </w:pPr>
          </w:p>
        </w:tc>
        <w:tc>
          <w:tcPr>
            <w:tcW w:w="624" w:type="dxa"/>
          </w:tcPr>
          <w:p w14:paraId="64060AA8" w14:textId="77777777" w:rsidR="008E065A" w:rsidRDefault="008E065A" w:rsidP="006A2677">
            <w:pPr>
              <w:pStyle w:val="TableText"/>
            </w:pPr>
          </w:p>
        </w:tc>
        <w:tc>
          <w:tcPr>
            <w:tcW w:w="624" w:type="dxa"/>
          </w:tcPr>
          <w:p w14:paraId="56D3B9BB" w14:textId="77777777" w:rsidR="008E065A" w:rsidRDefault="008E065A" w:rsidP="006A2677">
            <w:pPr>
              <w:pStyle w:val="TableText"/>
            </w:pPr>
          </w:p>
        </w:tc>
        <w:tc>
          <w:tcPr>
            <w:tcW w:w="4023" w:type="dxa"/>
          </w:tcPr>
          <w:p w14:paraId="1389130D" w14:textId="77777777" w:rsidR="008E065A" w:rsidRDefault="008E065A" w:rsidP="008E065A">
            <w:pPr>
              <w:pStyle w:val="TableBlock"/>
            </w:pPr>
            <w:r>
              <w:rPr>
                <w:rFonts w:hint="cs"/>
                <w:rtl/>
              </w:rPr>
              <w:t>(2)</w:t>
            </w:r>
            <w:r>
              <w:rPr>
                <w:rtl/>
              </w:rPr>
              <w:tab/>
            </w:r>
            <w:r>
              <w:rPr>
                <w:rFonts w:hint="cs"/>
                <w:rtl/>
              </w:rPr>
              <w:t>על אף האמור בפסקה (1), נערך הסכם מימון שוטף, יראו את מספר חברי הכנסת שנמנים עם כל אחת מהסיעות ביום הקובע כאילו הוא המספר לפי שיעור המימון החודשי בהתאם להסכם ביום הקובע, והמספר לא יעוגל.</w:t>
            </w:r>
          </w:p>
        </w:tc>
      </w:tr>
      <w:tr w:rsidR="008E065A" w14:paraId="761822B7" w14:textId="77777777" w:rsidTr="008E065A">
        <w:tblPrEx>
          <w:tblLook w:val="01E0" w:firstRow="1" w:lastRow="1" w:firstColumn="1" w:lastColumn="1" w:noHBand="0" w:noVBand="0"/>
        </w:tblPrEx>
        <w:trPr>
          <w:cantSplit/>
        </w:trPr>
        <w:tc>
          <w:tcPr>
            <w:tcW w:w="1871" w:type="dxa"/>
          </w:tcPr>
          <w:p w14:paraId="563286D9" w14:textId="77777777" w:rsidR="008E065A" w:rsidRDefault="008E065A" w:rsidP="006A2677">
            <w:pPr>
              <w:pStyle w:val="TableSideHeading"/>
            </w:pPr>
          </w:p>
        </w:tc>
        <w:tc>
          <w:tcPr>
            <w:tcW w:w="624" w:type="dxa"/>
          </w:tcPr>
          <w:p w14:paraId="6B6C1ECD" w14:textId="77777777" w:rsidR="008E065A" w:rsidRDefault="008E065A" w:rsidP="006A2677">
            <w:pPr>
              <w:pStyle w:val="TableText"/>
            </w:pPr>
          </w:p>
        </w:tc>
        <w:tc>
          <w:tcPr>
            <w:tcW w:w="624" w:type="dxa"/>
          </w:tcPr>
          <w:p w14:paraId="2DE694DC" w14:textId="77777777" w:rsidR="008E065A" w:rsidRDefault="008E065A" w:rsidP="006A2677">
            <w:pPr>
              <w:pStyle w:val="TableText"/>
            </w:pPr>
          </w:p>
        </w:tc>
        <w:tc>
          <w:tcPr>
            <w:tcW w:w="624" w:type="dxa"/>
          </w:tcPr>
          <w:p w14:paraId="01E99577" w14:textId="77777777" w:rsidR="008E065A" w:rsidRDefault="008E065A" w:rsidP="006A2677">
            <w:pPr>
              <w:pStyle w:val="TableText"/>
            </w:pPr>
          </w:p>
        </w:tc>
        <w:tc>
          <w:tcPr>
            <w:tcW w:w="624" w:type="dxa"/>
          </w:tcPr>
          <w:p w14:paraId="7917AC07" w14:textId="77777777" w:rsidR="008E065A" w:rsidRDefault="008E065A" w:rsidP="006A2677">
            <w:pPr>
              <w:pStyle w:val="TableText"/>
            </w:pPr>
          </w:p>
        </w:tc>
        <w:tc>
          <w:tcPr>
            <w:tcW w:w="624" w:type="dxa"/>
          </w:tcPr>
          <w:p w14:paraId="1C2F726C" w14:textId="77777777" w:rsidR="008E065A" w:rsidRDefault="008E065A" w:rsidP="006A2677">
            <w:pPr>
              <w:pStyle w:val="TableText"/>
            </w:pPr>
          </w:p>
        </w:tc>
        <w:tc>
          <w:tcPr>
            <w:tcW w:w="4647" w:type="dxa"/>
            <w:gridSpan w:val="2"/>
          </w:tcPr>
          <w:p w14:paraId="63455699" w14:textId="77777777" w:rsidR="008E065A" w:rsidRDefault="008E065A" w:rsidP="008E065A">
            <w:pPr>
              <w:pStyle w:val="TableBlock"/>
              <w:rPr>
                <w:rtl/>
              </w:rPr>
            </w:pPr>
            <w:r>
              <w:rPr>
                <w:rFonts w:hint="cs"/>
                <w:rtl/>
              </w:rPr>
              <w:t>(ח)</w:t>
            </w:r>
            <w:r>
              <w:rPr>
                <w:rtl/>
              </w:rPr>
              <w:tab/>
            </w:r>
            <w:r>
              <w:rPr>
                <w:rFonts w:hint="cs"/>
                <w:rtl/>
              </w:rPr>
              <w:t xml:space="preserve">ניהלו מפלגות שהגישו רשימת מועמדים משותפת את חשבונותיהן לתקופת הבחירות בנפרד, וסבר </w:t>
            </w:r>
            <w:r w:rsidRPr="00195943">
              <w:rPr>
                <w:rFonts w:hint="cs"/>
                <w:rtl/>
              </w:rPr>
              <w:t xml:space="preserve">מבקר המדינה כי לא ניתן לייחס הוצאה </w:t>
            </w:r>
            <w:r>
              <w:rPr>
                <w:rFonts w:hint="cs"/>
                <w:rtl/>
              </w:rPr>
              <w:t xml:space="preserve">או הכנסה </w:t>
            </w:r>
            <w:r w:rsidRPr="00195943">
              <w:rPr>
                <w:rFonts w:hint="cs"/>
                <w:rtl/>
              </w:rPr>
              <w:t>הנוג</w:t>
            </w:r>
            <w:r>
              <w:rPr>
                <w:rFonts w:hint="cs"/>
                <w:rtl/>
              </w:rPr>
              <w:t>עת לרשימת המועמדים המשותפת לאף אחת מהן</w:t>
            </w:r>
            <w:r w:rsidRPr="00195943">
              <w:rPr>
                <w:rFonts w:hint="cs"/>
                <w:rtl/>
              </w:rPr>
              <w:t xml:space="preserve">, </w:t>
            </w:r>
            <w:r>
              <w:rPr>
                <w:rFonts w:hint="cs"/>
                <w:rtl/>
              </w:rPr>
              <w:t xml:space="preserve">תיוחס ההוצאה או ההכנסה </w:t>
            </w:r>
            <w:r w:rsidRPr="00195943">
              <w:rPr>
                <w:rFonts w:hint="cs"/>
                <w:rtl/>
              </w:rPr>
              <w:t>בד</w:t>
            </w:r>
            <w:r>
              <w:rPr>
                <w:rFonts w:hint="cs"/>
                <w:rtl/>
              </w:rPr>
              <w:t>ין וחשבון</w:t>
            </w:r>
            <w:r w:rsidRPr="00195943">
              <w:rPr>
                <w:rFonts w:hint="cs"/>
                <w:rtl/>
              </w:rPr>
              <w:t xml:space="preserve"> לפי סעיף </w:t>
            </w:r>
            <w:r>
              <w:rPr>
                <w:rFonts w:hint="cs"/>
                <w:rtl/>
              </w:rPr>
              <w:t xml:space="preserve">10 </w:t>
            </w:r>
            <w:r w:rsidRPr="00195943">
              <w:rPr>
                <w:rFonts w:hint="cs"/>
                <w:rtl/>
              </w:rPr>
              <w:t xml:space="preserve">לכל אחת </w:t>
            </w:r>
            <w:r>
              <w:rPr>
                <w:rFonts w:hint="cs"/>
                <w:rtl/>
              </w:rPr>
              <w:t>מהמפלגות</w:t>
            </w:r>
            <w:r w:rsidRPr="00195943">
              <w:rPr>
                <w:rFonts w:hint="cs"/>
                <w:rtl/>
              </w:rPr>
              <w:t xml:space="preserve">, </w:t>
            </w:r>
            <w:r>
              <w:rPr>
                <w:rFonts w:hint="cs"/>
                <w:rtl/>
              </w:rPr>
              <w:t>לפי שיעור חלקה בסך הכולל של הוצאות הבחירות בפועל.</w:t>
            </w:r>
          </w:p>
        </w:tc>
      </w:tr>
      <w:tr w:rsidR="008E065A" w14:paraId="228958A8" w14:textId="77777777" w:rsidTr="008E065A">
        <w:tblPrEx>
          <w:tblLook w:val="01E0" w:firstRow="1" w:lastRow="1" w:firstColumn="1" w:lastColumn="1" w:noHBand="0" w:noVBand="0"/>
        </w:tblPrEx>
        <w:trPr>
          <w:cantSplit/>
        </w:trPr>
        <w:tc>
          <w:tcPr>
            <w:tcW w:w="1871" w:type="dxa"/>
          </w:tcPr>
          <w:p w14:paraId="16F8BF58" w14:textId="77777777" w:rsidR="008E065A" w:rsidRDefault="008E065A" w:rsidP="006A2677">
            <w:pPr>
              <w:pStyle w:val="TableSideHeading"/>
            </w:pPr>
          </w:p>
        </w:tc>
        <w:tc>
          <w:tcPr>
            <w:tcW w:w="624" w:type="dxa"/>
          </w:tcPr>
          <w:p w14:paraId="5FD145FE" w14:textId="77777777" w:rsidR="008E065A" w:rsidRDefault="008E065A" w:rsidP="006A2677">
            <w:pPr>
              <w:pStyle w:val="TableText"/>
            </w:pPr>
          </w:p>
        </w:tc>
        <w:tc>
          <w:tcPr>
            <w:tcW w:w="624" w:type="dxa"/>
          </w:tcPr>
          <w:p w14:paraId="7A7715DC" w14:textId="77777777" w:rsidR="008E065A" w:rsidRDefault="008E065A" w:rsidP="006A2677">
            <w:pPr>
              <w:pStyle w:val="TableText"/>
            </w:pPr>
          </w:p>
        </w:tc>
        <w:tc>
          <w:tcPr>
            <w:tcW w:w="624" w:type="dxa"/>
          </w:tcPr>
          <w:p w14:paraId="458E8B0A" w14:textId="77777777" w:rsidR="008E065A" w:rsidRDefault="008E065A" w:rsidP="006A2677">
            <w:pPr>
              <w:pStyle w:val="TableText"/>
            </w:pPr>
          </w:p>
        </w:tc>
        <w:tc>
          <w:tcPr>
            <w:tcW w:w="624" w:type="dxa"/>
          </w:tcPr>
          <w:p w14:paraId="0878CAB0" w14:textId="77777777" w:rsidR="008E065A" w:rsidRDefault="008E065A" w:rsidP="006A2677">
            <w:pPr>
              <w:pStyle w:val="TableText"/>
            </w:pPr>
          </w:p>
        </w:tc>
        <w:tc>
          <w:tcPr>
            <w:tcW w:w="624" w:type="dxa"/>
          </w:tcPr>
          <w:p w14:paraId="1D04836D" w14:textId="77777777" w:rsidR="008E065A" w:rsidRDefault="008E065A" w:rsidP="006A2677">
            <w:pPr>
              <w:pStyle w:val="TableText"/>
            </w:pPr>
          </w:p>
        </w:tc>
        <w:tc>
          <w:tcPr>
            <w:tcW w:w="4647" w:type="dxa"/>
            <w:gridSpan w:val="2"/>
          </w:tcPr>
          <w:p w14:paraId="5132BCFF" w14:textId="77777777" w:rsidR="008E065A" w:rsidRDefault="008E065A" w:rsidP="008E065A">
            <w:pPr>
              <w:pStyle w:val="TableBlock"/>
              <w:rPr>
                <w:rtl/>
              </w:rPr>
            </w:pPr>
            <w:r>
              <w:rPr>
                <w:rFonts w:hint="cs"/>
                <w:rtl/>
              </w:rPr>
              <w:t>(ט)</w:t>
            </w:r>
            <w:r>
              <w:rPr>
                <w:rtl/>
              </w:rPr>
              <w:tab/>
            </w:r>
            <w:r>
              <w:rPr>
                <w:rFonts w:hint="cs"/>
                <w:rtl/>
              </w:rPr>
              <w:t>ניהלו מפלגות שהגישו רשימת מועמדים משותפת את חשבונותיהן לתקופת הבחירות במשותף ולא היה הדין וחשבון לפי סעיף 10(ב) חיובי, רשאי מבקר המדינה לקבוע כי שלילת התשלומים לפי סעיף 10(ה) תיוחס לאחת המפלגות או לכמה מהן, כפי שיקבע."</w:t>
            </w:r>
          </w:p>
        </w:tc>
      </w:tr>
      <w:tr w:rsidR="008E065A" w:rsidRPr="00281291" w14:paraId="00E2FC7C" w14:textId="77777777" w:rsidTr="008E065A">
        <w:trPr>
          <w:cantSplit/>
        </w:trPr>
        <w:tc>
          <w:tcPr>
            <w:tcW w:w="1871" w:type="dxa"/>
            <w:shd w:val="clear" w:color="auto" w:fill="auto"/>
            <w:tcMar>
              <w:top w:w="91" w:type="dxa"/>
              <w:left w:w="0" w:type="dxa"/>
              <w:bottom w:w="91" w:type="dxa"/>
              <w:right w:w="0" w:type="dxa"/>
            </w:tcMar>
          </w:tcPr>
          <w:p w14:paraId="0A1AEC97" w14:textId="77777777" w:rsidR="008E065A" w:rsidRPr="00677429" w:rsidRDefault="008E065A" w:rsidP="006A2677">
            <w:pPr>
              <w:pStyle w:val="TableSideHeading"/>
              <w:rPr>
                <w:rtl/>
              </w:rPr>
            </w:pPr>
            <w:r w:rsidRPr="005D7B75">
              <w:rPr>
                <w:rtl/>
              </w:rPr>
              <w:t xml:space="preserve">תיקון </w:t>
            </w:r>
            <w:r>
              <w:rPr>
                <w:rFonts w:hint="cs"/>
                <w:rtl/>
              </w:rPr>
              <w:t>סעיף 14</w:t>
            </w:r>
          </w:p>
        </w:tc>
        <w:tc>
          <w:tcPr>
            <w:tcW w:w="624" w:type="dxa"/>
            <w:shd w:val="clear" w:color="auto" w:fill="auto"/>
            <w:tcMar>
              <w:top w:w="91" w:type="dxa"/>
              <w:left w:w="0" w:type="dxa"/>
              <w:bottom w:w="91" w:type="dxa"/>
              <w:right w:w="0" w:type="dxa"/>
            </w:tcMar>
          </w:tcPr>
          <w:p w14:paraId="45F3223D" w14:textId="77777777" w:rsidR="008E065A" w:rsidRPr="005D7B75" w:rsidRDefault="008E065A" w:rsidP="006A2677">
            <w:pPr>
              <w:pStyle w:val="TableText"/>
              <w:rPr>
                <w:rtl/>
              </w:rPr>
            </w:pPr>
            <w:r>
              <w:rPr>
                <w:rFonts w:hint="cs"/>
                <w:rtl/>
              </w:rPr>
              <w:t>9.</w:t>
            </w:r>
          </w:p>
        </w:tc>
        <w:tc>
          <w:tcPr>
            <w:tcW w:w="7143" w:type="dxa"/>
            <w:gridSpan w:val="6"/>
            <w:shd w:val="clear" w:color="auto" w:fill="auto"/>
            <w:tcMar>
              <w:top w:w="91" w:type="dxa"/>
              <w:left w:w="0" w:type="dxa"/>
              <w:bottom w:w="91" w:type="dxa"/>
              <w:right w:w="0" w:type="dxa"/>
            </w:tcMar>
          </w:tcPr>
          <w:p w14:paraId="1B755FA5" w14:textId="77777777" w:rsidR="008E065A" w:rsidRPr="00281291" w:rsidRDefault="008E065A" w:rsidP="008E065A">
            <w:pPr>
              <w:pStyle w:val="TableBlock"/>
              <w:rPr>
                <w:rtl/>
              </w:rPr>
            </w:pPr>
            <w:r>
              <w:rPr>
                <w:rFonts w:hint="cs"/>
                <w:rtl/>
              </w:rPr>
              <w:t xml:space="preserve">בסעיף 14 לחוק העיקרי </w:t>
            </w:r>
            <w:r>
              <w:rPr>
                <w:rFonts w:hint="eastAsia"/>
                <w:rtl/>
              </w:rPr>
              <w:t>–</w:t>
            </w:r>
          </w:p>
        </w:tc>
      </w:tr>
      <w:tr w:rsidR="008E065A" w14:paraId="201651A6" w14:textId="77777777" w:rsidTr="008E065A">
        <w:tblPrEx>
          <w:tblLook w:val="01E0" w:firstRow="1" w:lastRow="1" w:firstColumn="1" w:lastColumn="1" w:noHBand="0" w:noVBand="0"/>
        </w:tblPrEx>
        <w:trPr>
          <w:cantSplit/>
        </w:trPr>
        <w:tc>
          <w:tcPr>
            <w:tcW w:w="1871" w:type="dxa"/>
          </w:tcPr>
          <w:p w14:paraId="1EFCD5B9" w14:textId="77777777" w:rsidR="008E065A" w:rsidRDefault="008E065A" w:rsidP="006A2677">
            <w:pPr>
              <w:pStyle w:val="TableSideHeading"/>
            </w:pPr>
          </w:p>
        </w:tc>
        <w:tc>
          <w:tcPr>
            <w:tcW w:w="624" w:type="dxa"/>
          </w:tcPr>
          <w:p w14:paraId="649FE848" w14:textId="77777777" w:rsidR="008E065A" w:rsidRDefault="008E065A" w:rsidP="006A2677">
            <w:pPr>
              <w:pStyle w:val="TableText"/>
            </w:pPr>
          </w:p>
        </w:tc>
        <w:tc>
          <w:tcPr>
            <w:tcW w:w="7143" w:type="dxa"/>
            <w:gridSpan w:val="6"/>
          </w:tcPr>
          <w:p w14:paraId="659F01D6" w14:textId="77777777" w:rsidR="008E065A" w:rsidRDefault="008E065A" w:rsidP="008E065A">
            <w:pPr>
              <w:pStyle w:val="TableBlock"/>
            </w:pPr>
            <w:r>
              <w:rPr>
                <w:rFonts w:hint="cs"/>
                <w:rtl/>
              </w:rPr>
              <w:t>(1)</w:t>
            </w:r>
            <w:r>
              <w:rPr>
                <w:rtl/>
              </w:rPr>
              <w:tab/>
            </w:r>
            <w:r>
              <w:rPr>
                <w:rFonts w:hint="cs"/>
                <w:rtl/>
              </w:rPr>
              <w:t>האמור בו יסומן "(א)", ובו, במקום "לסעיף 12(ב)(2) או (ג) לחוק זה" יבוא "לסעיפים קטנים (ב) או (ג)";</w:t>
            </w:r>
          </w:p>
        </w:tc>
      </w:tr>
      <w:tr w:rsidR="008E065A" w:rsidRPr="00D812CF" w14:paraId="40DF4EFE" w14:textId="77777777" w:rsidTr="008E065A">
        <w:tblPrEx>
          <w:tblLook w:val="01E0" w:firstRow="1" w:lastRow="1" w:firstColumn="1" w:lastColumn="1" w:noHBand="0" w:noVBand="0"/>
        </w:tblPrEx>
        <w:trPr>
          <w:cantSplit/>
        </w:trPr>
        <w:tc>
          <w:tcPr>
            <w:tcW w:w="1871" w:type="dxa"/>
          </w:tcPr>
          <w:p w14:paraId="13471E28" w14:textId="77777777" w:rsidR="008E065A" w:rsidRDefault="008E065A" w:rsidP="006A2677">
            <w:pPr>
              <w:pStyle w:val="TableSideHeading"/>
            </w:pPr>
          </w:p>
        </w:tc>
        <w:tc>
          <w:tcPr>
            <w:tcW w:w="624" w:type="dxa"/>
          </w:tcPr>
          <w:p w14:paraId="2A5C97A2" w14:textId="77777777" w:rsidR="008E065A" w:rsidRDefault="008E065A" w:rsidP="006A2677">
            <w:pPr>
              <w:pStyle w:val="TableText"/>
            </w:pPr>
          </w:p>
        </w:tc>
        <w:tc>
          <w:tcPr>
            <w:tcW w:w="7143" w:type="dxa"/>
            <w:gridSpan w:val="6"/>
          </w:tcPr>
          <w:p w14:paraId="3D31F70C" w14:textId="77777777" w:rsidR="008E065A" w:rsidRPr="00D812CF" w:rsidRDefault="008E065A" w:rsidP="008E065A">
            <w:pPr>
              <w:pStyle w:val="TableBlock"/>
              <w:rPr>
                <w:rtl/>
              </w:rPr>
            </w:pPr>
            <w:r w:rsidRPr="00D812CF">
              <w:rPr>
                <w:rFonts w:hint="cs"/>
                <w:rtl/>
              </w:rPr>
              <w:t>(</w:t>
            </w:r>
            <w:r>
              <w:rPr>
                <w:rFonts w:hint="cs"/>
                <w:rtl/>
              </w:rPr>
              <w:t>2</w:t>
            </w:r>
            <w:r w:rsidRPr="00D812CF">
              <w:rPr>
                <w:rFonts w:hint="cs"/>
                <w:rtl/>
              </w:rPr>
              <w:t>)</w:t>
            </w:r>
            <w:r w:rsidRPr="00D812CF">
              <w:rPr>
                <w:rtl/>
              </w:rPr>
              <w:tab/>
            </w:r>
            <w:r w:rsidRPr="00D812CF">
              <w:rPr>
                <w:rFonts w:hint="cs"/>
                <w:rtl/>
              </w:rPr>
              <w:t>אחרי סעיף קטן (א) יבוא:</w:t>
            </w:r>
          </w:p>
        </w:tc>
      </w:tr>
      <w:tr w:rsidR="008E065A" w:rsidRPr="00D812CF" w14:paraId="4222E2F4" w14:textId="77777777" w:rsidTr="008E065A">
        <w:tblPrEx>
          <w:tblLook w:val="01E0" w:firstRow="1" w:lastRow="1" w:firstColumn="1" w:lastColumn="1" w:noHBand="0" w:noVBand="0"/>
        </w:tblPrEx>
        <w:trPr>
          <w:cantSplit/>
        </w:trPr>
        <w:tc>
          <w:tcPr>
            <w:tcW w:w="1871" w:type="dxa"/>
          </w:tcPr>
          <w:p w14:paraId="51E632A0" w14:textId="77777777" w:rsidR="008E065A" w:rsidRDefault="008E065A" w:rsidP="006A2677">
            <w:pPr>
              <w:pStyle w:val="TableSideHeading"/>
            </w:pPr>
          </w:p>
        </w:tc>
        <w:tc>
          <w:tcPr>
            <w:tcW w:w="624" w:type="dxa"/>
          </w:tcPr>
          <w:p w14:paraId="0731017D" w14:textId="77777777" w:rsidR="008E065A" w:rsidRDefault="008E065A" w:rsidP="006A2677">
            <w:pPr>
              <w:pStyle w:val="TableText"/>
            </w:pPr>
          </w:p>
        </w:tc>
        <w:tc>
          <w:tcPr>
            <w:tcW w:w="624" w:type="dxa"/>
          </w:tcPr>
          <w:p w14:paraId="7E12D852" w14:textId="77777777" w:rsidR="008E065A" w:rsidRDefault="008E065A" w:rsidP="006A2677">
            <w:pPr>
              <w:pStyle w:val="TableText"/>
            </w:pPr>
          </w:p>
        </w:tc>
        <w:tc>
          <w:tcPr>
            <w:tcW w:w="6519" w:type="dxa"/>
            <w:gridSpan w:val="5"/>
          </w:tcPr>
          <w:p w14:paraId="3401BFAB" w14:textId="77777777" w:rsidR="008E065A" w:rsidRPr="00D812CF" w:rsidRDefault="008E065A" w:rsidP="008E065A">
            <w:pPr>
              <w:pStyle w:val="TableBlock"/>
            </w:pPr>
            <w:r>
              <w:rPr>
                <w:rFonts w:hint="cs"/>
                <w:rtl/>
              </w:rPr>
              <w:t>"</w:t>
            </w:r>
            <w:r w:rsidRPr="00D812CF">
              <w:rPr>
                <w:rFonts w:hint="cs"/>
                <w:rtl/>
              </w:rPr>
              <w:t>(</w:t>
            </w:r>
            <w:r>
              <w:rPr>
                <w:rFonts w:hint="cs"/>
                <w:rtl/>
              </w:rPr>
              <w:t>ב</w:t>
            </w:r>
            <w:r w:rsidRPr="00D812CF">
              <w:rPr>
                <w:rFonts w:hint="cs"/>
                <w:rtl/>
              </w:rPr>
              <w:t>)</w:t>
            </w:r>
            <w:r w:rsidRPr="00D812CF">
              <w:rPr>
                <w:rtl/>
              </w:rPr>
              <w:tab/>
            </w:r>
            <w:r w:rsidRPr="00D812CF">
              <w:rPr>
                <w:rFonts w:hint="cs"/>
                <w:rtl/>
              </w:rPr>
              <w:t>באי כוח המפלגות שהגישו רשימת מועמדים משותפת וממלאי מקומם</w:t>
            </w:r>
            <w:r>
              <w:rPr>
                <w:rFonts w:hint="cs"/>
                <w:rtl/>
              </w:rPr>
              <w:t>,</w:t>
            </w:r>
            <w:r w:rsidRPr="00D812CF">
              <w:rPr>
                <w:rFonts w:hint="cs"/>
                <w:rtl/>
              </w:rPr>
              <w:t xml:space="preserve"> כאמור בסעיף 13ב(</w:t>
            </w:r>
            <w:r>
              <w:rPr>
                <w:rFonts w:hint="cs"/>
                <w:rtl/>
              </w:rPr>
              <w:t>ה</w:t>
            </w:r>
            <w:r w:rsidRPr="00D812CF">
              <w:rPr>
                <w:rFonts w:hint="cs"/>
                <w:rtl/>
              </w:rPr>
              <w:t>)</w:t>
            </w:r>
            <w:r>
              <w:rPr>
                <w:rFonts w:hint="cs"/>
                <w:rtl/>
              </w:rPr>
              <w:t>,</w:t>
            </w:r>
            <w:r w:rsidRPr="00D812CF">
              <w:rPr>
                <w:rFonts w:hint="cs"/>
                <w:rtl/>
              </w:rPr>
              <w:t xml:space="preserve"> יהיו באי כוח הסיעות הנפרדות בכנסת המקיימות סיעה אחת וממלאי מקומם</w:t>
            </w:r>
            <w:r>
              <w:rPr>
                <w:rFonts w:hint="cs"/>
                <w:rtl/>
              </w:rPr>
              <w:t>.</w:t>
            </w:r>
          </w:p>
        </w:tc>
      </w:tr>
      <w:tr w:rsidR="008E065A" w:rsidRPr="00D812CF" w14:paraId="77101542" w14:textId="77777777" w:rsidTr="008E065A">
        <w:tblPrEx>
          <w:tblLook w:val="01E0" w:firstRow="1" w:lastRow="1" w:firstColumn="1" w:lastColumn="1" w:noHBand="0" w:noVBand="0"/>
        </w:tblPrEx>
        <w:trPr>
          <w:cantSplit/>
        </w:trPr>
        <w:tc>
          <w:tcPr>
            <w:tcW w:w="1871" w:type="dxa"/>
          </w:tcPr>
          <w:p w14:paraId="4F6990B1" w14:textId="77777777" w:rsidR="008E065A" w:rsidRDefault="008E065A" w:rsidP="006A2677">
            <w:pPr>
              <w:pStyle w:val="TableSideHeading"/>
            </w:pPr>
          </w:p>
        </w:tc>
        <w:tc>
          <w:tcPr>
            <w:tcW w:w="624" w:type="dxa"/>
          </w:tcPr>
          <w:p w14:paraId="1FE0BF47" w14:textId="77777777" w:rsidR="008E065A" w:rsidRDefault="008E065A" w:rsidP="006A2677">
            <w:pPr>
              <w:pStyle w:val="TableText"/>
            </w:pPr>
          </w:p>
        </w:tc>
        <w:tc>
          <w:tcPr>
            <w:tcW w:w="624" w:type="dxa"/>
          </w:tcPr>
          <w:p w14:paraId="0C16CCA1" w14:textId="77777777" w:rsidR="008E065A" w:rsidRDefault="008E065A" w:rsidP="006A2677">
            <w:pPr>
              <w:pStyle w:val="TableText"/>
            </w:pPr>
          </w:p>
        </w:tc>
        <w:tc>
          <w:tcPr>
            <w:tcW w:w="6519" w:type="dxa"/>
            <w:gridSpan w:val="5"/>
          </w:tcPr>
          <w:p w14:paraId="61B4FB0D" w14:textId="77777777" w:rsidR="008E065A" w:rsidRPr="00D812CF" w:rsidRDefault="008E065A" w:rsidP="008E065A">
            <w:pPr>
              <w:pStyle w:val="TableBlock"/>
            </w:pPr>
            <w:r w:rsidRPr="00D812CF">
              <w:rPr>
                <w:rFonts w:hint="cs"/>
                <w:rtl/>
              </w:rPr>
              <w:t>(ג)</w:t>
            </w:r>
            <w:r w:rsidRPr="00D812CF">
              <w:rPr>
                <w:rtl/>
              </w:rPr>
              <w:tab/>
            </w:r>
            <w:r w:rsidRPr="00D812CF">
              <w:rPr>
                <w:rFonts w:hint="cs"/>
                <w:rtl/>
              </w:rPr>
              <w:t xml:space="preserve">התמזגו סיעות </w:t>
            </w:r>
            <w:r>
              <w:rPr>
                <w:rFonts w:hint="cs"/>
                <w:rtl/>
              </w:rPr>
              <w:t>לפי סעיף 60 לחוק הכנסת</w:t>
            </w:r>
            <w:r w:rsidRPr="00D812CF">
              <w:rPr>
                <w:rFonts w:hint="cs"/>
                <w:rtl/>
              </w:rPr>
              <w:t xml:space="preserve">, יודיעו הסיעות בכתב לוועדת הכנסת, במועד המיזוג, </w:t>
            </w:r>
            <w:r>
              <w:rPr>
                <w:rFonts w:hint="cs"/>
                <w:rtl/>
              </w:rPr>
              <w:t xml:space="preserve">נוסף על ההודעה לפי סעיף 25(א1) לחוק הבחירות, </w:t>
            </w:r>
            <w:r w:rsidRPr="00D812CF">
              <w:rPr>
                <w:rFonts w:hint="cs"/>
                <w:rtl/>
              </w:rPr>
              <w:t>מיהם באי כוחן של הסיעות הנפרדות וממלאי מקומם לעניין חוק זה.</w:t>
            </w:r>
          </w:p>
        </w:tc>
      </w:tr>
      <w:tr w:rsidR="008E065A" w:rsidRPr="00D812CF" w14:paraId="64158E6D" w14:textId="77777777" w:rsidTr="008E065A">
        <w:tblPrEx>
          <w:tblLook w:val="01E0" w:firstRow="1" w:lastRow="1" w:firstColumn="1" w:lastColumn="1" w:noHBand="0" w:noVBand="0"/>
        </w:tblPrEx>
        <w:trPr>
          <w:cantSplit/>
        </w:trPr>
        <w:tc>
          <w:tcPr>
            <w:tcW w:w="1871" w:type="dxa"/>
          </w:tcPr>
          <w:p w14:paraId="3F0C88A0" w14:textId="77777777" w:rsidR="008E065A" w:rsidRDefault="008E065A" w:rsidP="006A2677">
            <w:pPr>
              <w:pStyle w:val="TableSideHeading"/>
            </w:pPr>
          </w:p>
        </w:tc>
        <w:tc>
          <w:tcPr>
            <w:tcW w:w="624" w:type="dxa"/>
          </w:tcPr>
          <w:p w14:paraId="5EE24182" w14:textId="77777777" w:rsidR="008E065A" w:rsidRDefault="008E065A" w:rsidP="006A2677">
            <w:pPr>
              <w:pStyle w:val="TableText"/>
            </w:pPr>
          </w:p>
        </w:tc>
        <w:tc>
          <w:tcPr>
            <w:tcW w:w="624" w:type="dxa"/>
          </w:tcPr>
          <w:p w14:paraId="28F7FAD5" w14:textId="77777777" w:rsidR="008E065A" w:rsidRDefault="008E065A" w:rsidP="006A2677">
            <w:pPr>
              <w:pStyle w:val="TableText"/>
            </w:pPr>
          </w:p>
        </w:tc>
        <w:tc>
          <w:tcPr>
            <w:tcW w:w="6519" w:type="dxa"/>
            <w:gridSpan w:val="5"/>
          </w:tcPr>
          <w:p w14:paraId="4C5E98B7" w14:textId="77777777" w:rsidR="008E065A" w:rsidRPr="00D812CF" w:rsidRDefault="008E065A" w:rsidP="008E065A">
            <w:pPr>
              <w:pStyle w:val="TableBlock"/>
              <w:rPr>
                <w:rtl/>
              </w:rPr>
            </w:pPr>
            <w:r w:rsidRPr="00D812CF">
              <w:rPr>
                <w:rFonts w:hint="cs"/>
                <w:rtl/>
              </w:rPr>
              <w:t>(ד)</w:t>
            </w:r>
            <w:r w:rsidRPr="00D812CF">
              <w:rPr>
                <w:rtl/>
              </w:rPr>
              <w:tab/>
            </w:r>
            <w:r w:rsidRPr="00D812CF">
              <w:rPr>
                <w:rFonts w:hint="cs"/>
                <w:rtl/>
              </w:rPr>
              <w:t xml:space="preserve">כל סיעה </w:t>
            </w:r>
            <w:r>
              <w:rPr>
                <w:rFonts w:hint="cs"/>
                <w:rtl/>
              </w:rPr>
              <w:t>נ</w:t>
            </w:r>
            <w:r w:rsidRPr="00D812CF">
              <w:rPr>
                <w:rFonts w:hint="cs"/>
                <w:rtl/>
              </w:rPr>
              <w:t>פרדת רשאית</w:t>
            </w:r>
            <w:r>
              <w:rPr>
                <w:rFonts w:hint="cs"/>
                <w:rtl/>
              </w:rPr>
              <w:t>,</w:t>
            </w:r>
            <w:r w:rsidRPr="00D812CF">
              <w:rPr>
                <w:rFonts w:hint="cs"/>
                <w:rtl/>
              </w:rPr>
              <w:t xml:space="preserve"> בכל עת, בהודעה בכתב ליושב ראש הכנסת, להחליף את באי כוחה וממלאי מקומם; ההודעה תימסר בידי בא כוח הסיעה הנפרדת או ממלא מקומו, אלא אם כן הוד</w:t>
            </w:r>
            <w:r>
              <w:rPr>
                <w:rFonts w:hint="cs"/>
                <w:rtl/>
              </w:rPr>
              <w:t>יעו רוב חברי הסיעה הנפרדת אחרת.</w:t>
            </w:r>
          </w:p>
        </w:tc>
      </w:tr>
      <w:tr w:rsidR="008E065A" w:rsidRPr="00D812CF" w14:paraId="49A44FCE" w14:textId="77777777" w:rsidTr="008E065A">
        <w:tblPrEx>
          <w:tblLook w:val="01E0" w:firstRow="1" w:lastRow="1" w:firstColumn="1" w:lastColumn="1" w:noHBand="0" w:noVBand="0"/>
        </w:tblPrEx>
        <w:trPr>
          <w:cantSplit/>
        </w:trPr>
        <w:tc>
          <w:tcPr>
            <w:tcW w:w="1871" w:type="dxa"/>
          </w:tcPr>
          <w:p w14:paraId="2A05E5A8" w14:textId="77777777" w:rsidR="008E065A" w:rsidRPr="00456EC6" w:rsidRDefault="008E065A" w:rsidP="006A2677">
            <w:pPr>
              <w:pStyle w:val="TableSideHeading"/>
            </w:pPr>
          </w:p>
        </w:tc>
        <w:tc>
          <w:tcPr>
            <w:tcW w:w="624" w:type="dxa"/>
          </w:tcPr>
          <w:p w14:paraId="3F4833C0" w14:textId="77777777" w:rsidR="008E065A" w:rsidRDefault="008E065A" w:rsidP="006A2677">
            <w:pPr>
              <w:pStyle w:val="TableText"/>
            </w:pPr>
          </w:p>
        </w:tc>
        <w:tc>
          <w:tcPr>
            <w:tcW w:w="624" w:type="dxa"/>
          </w:tcPr>
          <w:p w14:paraId="4FF61ECC" w14:textId="77777777" w:rsidR="008E065A" w:rsidRDefault="008E065A" w:rsidP="006A2677">
            <w:pPr>
              <w:pStyle w:val="TableText"/>
            </w:pPr>
          </w:p>
        </w:tc>
        <w:tc>
          <w:tcPr>
            <w:tcW w:w="6519" w:type="dxa"/>
            <w:gridSpan w:val="5"/>
          </w:tcPr>
          <w:p w14:paraId="30084DFA" w14:textId="77777777" w:rsidR="008E065A" w:rsidRPr="00D812CF" w:rsidRDefault="008E065A" w:rsidP="008E065A">
            <w:pPr>
              <w:pStyle w:val="TableBlock"/>
              <w:rPr>
                <w:rtl/>
              </w:rPr>
            </w:pPr>
            <w:r>
              <w:rPr>
                <w:rFonts w:hint="cs"/>
                <w:rtl/>
              </w:rPr>
              <w:t>(ה)</w:t>
            </w:r>
            <w:r>
              <w:rPr>
                <w:rtl/>
              </w:rPr>
              <w:tab/>
            </w:r>
            <w:r w:rsidRPr="00D812CF">
              <w:rPr>
                <w:rFonts w:hint="cs"/>
                <w:rtl/>
              </w:rPr>
              <w:t>הודעה על באי כוח סיעות נפרדות וממלאי מקומם לפי סעיף זה ועל כל שינו</w:t>
            </w:r>
            <w:r>
              <w:rPr>
                <w:rFonts w:hint="cs"/>
                <w:rtl/>
              </w:rPr>
              <w:t>י בהם תפורסם ברשומות מטעם הכנסת.</w:t>
            </w:r>
          </w:p>
        </w:tc>
      </w:tr>
      <w:tr w:rsidR="008E065A" w14:paraId="5B2BB0CA" w14:textId="77777777" w:rsidTr="008E065A">
        <w:tblPrEx>
          <w:tblLook w:val="01E0" w:firstRow="1" w:lastRow="1" w:firstColumn="1" w:lastColumn="1" w:noHBand="0" w:noVBand="0"/>
        </w:tblPrEx>
        <w:trPr>
          <w:cantSplit/>
        </w:trPr>
        <w:tc>
          <w:tcPr>
            <w:tcW w:w="1871" w:type="dxa"/>
          </w:tcPr>
          <w:p w14:paraId="3F965F76" w14:textId="77777777" w:rsidR="008E065A" w:rsidRPr="00456EC6" w:rsidRDefault="008E065A" w:rsidP="006A2677">
            <w:pPr>
              <w:pStyle w:val="TableSideHeading"/>
            </w:pPr>
          </w:p>
        </w:tc>
        <w:tc>
          <w:tcPr>
            <w:tcW w:w="624" w:type="dxa"/>
          </w:tcPr>
          <w:p w14:paraId="06D9129A" w14:textId="77777777" w:rsidR="008E065A" w:rsidRDefault="008E065A" w:rsidP="006A2677">
            <w:pPr>
              <w:pStyle w:val="TableText"/>
            </w:pPr>
          </w:p>
        </w:tc>
        <w:tc>
          <w:tcPr>
            <w:tcW w:w="624" w:type="dxa"/>
          </w:tcPr>
          <w:p w14:paraId="50AB6487" w14:textId="77777777" w:rsidR="008E065A" w:rsidRDefault="008E065A" w:rsidP="006A2677">
            <w:pPr>
              <w:pStyle w:val="TableText"/>
            </w:pPr>
          </w:p>
        </w:tc>
        <w:tc>
          <w:tcPr>
            <w:tcW w:w="6519" w:type="dxa"/>
            <w:gridSpan w:val="5"/>
          </w:tcPr>
          <w:p w14:paraId="5A3C6CED" w14:textId="77777777" w:rsidR="008E065A" w:rsidRDefault="008E065A" w:rsidP="008E065A">
            <w:pPr>
              <w:pStyle w:val="TableBlock"/>
              <w:rPr>
                <w:rtl/>
              </w:rPr>
            </w:pPr>
            <w:r>
              <w:rPr>
                <w:rFonts w:hint="cs"/>
                <w:rtl/>
              </w:rPr>
              <w:t>(ו)</w:t>
            </w:r>
            <w:r>
              <w:rPr>
                <w:rtl/>
              </w:rPr>
              <w:tab/>
            </w:r>
            <w:r>
              <w:rPr>
                <w:rFonts w:hint="cs"/>
                <w:rtl/>
              </w:rPr>
              <w:t>על סיעה או סיעה נפרדת שבה חלוקים חבריה בשאלה מי מייצג אותה יחולו הוראת סעיף 63 לחוק הכנסת, בשינויים המחויבים."</w:t>
            </w:r>
          </w:p>
        </w:tc>
      </w:tr>
      <w:tr w:rsidR="008E065A" w14:paraId="1CBB6EA9" w14:textId="77777777" w:rsidTr="008E065A">
        <w:trPr>
          <w:cantSplit/>
        </w:trPr>
        <w:tc>
          <w:tcPr>
            <w:tcW w:w="1871" w:type="dxa"/>
            <w:shd w:val="clear" w:color="auto" w:fill="auto"/>
            <w:tcMar>
              <w:top w:w="91" w:type="dxa"/>
              <w:left w:w="0" w:type="dxa"/>
              <w:bottom w:w="91" w:type="dxa"/>
              <w:right w:w="0" w:type="dxa"/>
            </w:tcMar>
          </w:tcPr>
          <w:p w14:paraId="362A166A" w14:textId="77777777" w:rsidR="008E065A" w:rsidRDefault="008E065A" w:rsidP="006A2677">
            <w:pPr>
              <w:pStyle w:val="TableSideHeading"/>
              <w:rPr>
                <w:rtl/>
              </w:rPr>
            </w:pPr>
            <w:r w:rsidRPr="00AE161F">
              <w:rPr>
                <w:rFonts w:hint="cs"/>
                <w:rtl/>
              </w:rPr>
              <w:t xml:space="preserve">תיקון חוק </w:t>
            </w:r>
          </w:p>
          <w:p w14:paraId="07AAC2F8" w14:textId="77777777" w:rsidR="008E065A" w:rsidRPr="00AE161F" w:rsidRDefault="008E065A" w:rsidP="006A2677">
            <w:pPr>
              <w:pStyle w:val="TableSideHeading"/>
              <w:rPr>
                <w:rtl/>
              </w:rPr>
            </w:pPr>
            <w:r w:rsidRPr="00AE161F">
              <w:rPr>
                <w:rFonts w:hint="cs"/>
                <w:rtl/>
              </w:rPr>
              <w:t>הבחירות לכנסת</w:t>
            </w:r>
            <w:r>
              <w:rPr>
                <w:rFonts w:hint="cs"/>
                <w:rtl/>
              </w:rPr>
              <w:t xml:space="preserve"> </w:t>
            </w:r>
            <w:r>
              <w:rPr>
                <w:rtl/>
              </w:rPr>
              <w:t>–</w:t>
            </w:r>
            <w:r>
              <w:rPr>
                <w:rFonts w:hint="cs"/>
                <w:rtl/>
              </w:rPr>
              <w:t xml:space="preserve"> מס' 71</w:t>
            </w:r>
          </w:p>
        </w:tc>
        <w:tc>
          <w:tcPr>
            <w:tcW w:w="624" w:type="dxa"/>
            <w:shd w:val="clear" w:color="auto" w:fill="auto"/>
            <w:tcMar>
              <w:top w:w="91" w:type="dxa"/>
              <w:left w:w="0" w:type="dxa"/>
              <w:bottom w:w="91" w:type="dxa"/>
              <w:right w:w="0" w:type="dxa"/>
            </w:tcMar>
          </w:tcPr>
          <w:p w14:paraId="3D064B22" w14:textId="77777777" w:rsidR="008E065A" w:rsidRDefault="008E065A" w:rsidP="006A2677">
            <w:pPr>
              <w:pStyle w:val="TableText"/>
            </w:pPr>
            <w:r>
              <w:rPr>
                <w:rFonts w:hint="cs"/>
                <w:rtl/>
              </w:rPr>
              <w:t>10.</w:t>
            </w:r>
          </w:p>
        </w:tc>
        <w:tc>
          <w:tcPr>
            <w:tcW w:w="7143" w:type="dxa"/>
            <w:gridSpan w:val="6"/>
            <w:shd w:val="clear" w:color="auto" w:fill="auto"/>
            <w:tcMar>
              <w:top w:w="91" w:type="dxa"/>
              <w:left w:w="0" w:type="dxa"/>
              <w:bottom w:w="91" w:type="dxa"/>
              <w:right w:w="0" w:type="dxa"/>
            </w:tcMar>
          </w:tcPr>
          <w:p w14:paraId="357D232E" w14:textId="77777777" w:rsidR="008E065A" w:rsidRDefault="008E065A" w:rsidP="008E065A">
            <w:pPr>
              <w:pStyle w:val="TableBlock"/>
              <w:rPr>
                <w:rtl/>
              </w:rPr>
            </w:pPr>
            <w:r>
              <w:rPr>
                <w:rFonts w:hint="cs"/>
                <w:rtl/>
              </w:rPr>
              <w:t xml:space="preserve">בחוק הבחירות לכנסת [נוסח משולב], </w:t>
            </w:r>
            <w:proofErr w:type="spellStart"/>
            <w:r>
              <w:rPr>
                <w:rFonts w:hint="cs"/>
                <w:rtl/>
              </w:rPr>
              <w:t>התשכ"ט</w:t>
            </w:r>
            <w:proofErr w:type="spellEnd"/>
            <w:r>
              <w:rPr>
                <w:rFonts w:hint="eastAsia"/>
                <w:rtl/>
              </w:rPr>
              <w:t>–</w:t>
            </w:r>
            <w:r>
              <w:rPr>
                <w:rFonts w:hint="cs"/>
                <w:rtl/>
              </w:rPr>
              <w:t>1969</w:t>
            </w:r>
            <w:r w:rsidRPr="008E065A">
              <w:rPr>
                <w:rStyle w:val="a8"/>
                <w:rFonts w:ascii="David" w:hAnsi="David"/>
                <w:sz w:val="26"/>
                <w:rtl/>
              </w:rPr>
              <w:footnoteReference w:id="3"/>
            </w:r>
            <w:r>
              <w:rPr>
                <w:rFonts w:hint="cs"/>
                <w:rtl/>
              </w:rPr>
              <w:t xml:space="preserve"> </w:t>
            </w:r>
            <w:r>
              <w:rPr>
                <w:rFonts w:hint="eastAsia"/>
                <w:rtl/>
              </w:rPr>
              <w:t>–</w:t>
            </w:r>
            <w:r>
              <w:rPr>
                <w:rFonts w:hint="cs"/>
                <w:rtl/>
              </w:rPr>
              <w:t xml:space="preserve"> </w:t>
            </w:r>
          </w:p>
        </w:tc>
      </w:tr>
      <w:tr w:rsidR="008E065A" w14:paraId="4FFD9BDD" w14:textId="77777777" w:rsidTr="008E065A">
        <w:trPr>
          <w:cantSplit/>
        </w:trPr>
        <w:tc>
          <w:tcPr>
            <w:tcW w:w="1871" w:type="dxa"/>
            <w:shd w:val="clear" w:color="auto" w:fill="auto"/>
            <w:tcMar>
              <w:top w:w="91" w:type="dxa"/>
              <w:left w:w="0" w:type="dxa"/>
              <w:bottom w:w="91" w:type="dxa"/>
              <w:right w:w="0" w:type="dxa"/>
            </w:tcMar>
          </w:tcPr>
          <w:p w14:paraId="5D90FFCA" w14:textId="77777777" w:rsidR="008E065A" w:rsidRPr="00AE161F" w:rsidRDefault="008E065A" w:rsidP="006A2677">
            <w:pPr>
              <w:pStyle w:val="TableSideHeading"/>
              <w:rPr>
                <w:rtl/>
              </w:rPr>
            </w:pPr>
          </w:p>
        </w:tc>
        <w:tc>
          <w:tcPr>
            <w:tcW w:w="624" w:type="dxa"/>
            <w:shd w:val="clear" w:color="auto" w:fill="auto"/>
            <w:tcMar>
              <w:top w:w="91" w:type="dxa"/>
              <w:left w:w="0" w:type="dxa"/>
              <w:bottom w:w="91" w:type="dxa"/>
              <w:right w:w="0" w:type="dxa"/>
            </w:tcMar>
          </w:tcPr>
          <w:p w14:paraId="1EB1E3A4" w14:textId="77777777" w:rsidR="008E065A" w:rsidRDefault="008E065A" w:rsidP="006A2677">
            <w:pPr>
              <w:pStyle w:val="TableText"/>
            </w:pPr>
          </w:p>
        </w:tc>
        <w:tc>
          <w:tcPr>
            <w:tcW w:w="7143" w:type="dxa"/>
            <w:gridSpan w:val="6"/>
            <w:shd w:val="clear" w:color="auto" w:fill="auto"/>
            <w:tcMar>
              <w:top w:w="91" w:type="dxa"/>
              <w:left w:w="0" w:type="dxa"/>
              <w:bottom w:w="91" w:type="dxa"/>
              <w:right w:w="0" w:type="dxa"/>
            </w:tcMar>
          </w:tcPr>
          <w:p w14:paraId="2976DCB4" w14:textId="77777777" w:rsidR="008E065A" w:rsidRDefault="008E065A" w:rsidP="008E065A">
            <w:pPr>
              <w:pStyle w:val="TableBlock"/>
              <w:rPr>
                <w:rtl/>
              </w:rPr>
            </w:pPr>
            <w:r>
              <w:rPr>
                <w:rFonts w:hint="cs"/>
                <w:rtl/>
              </w:rPr>
              <w:t>(1)</w:t>
            </w:r>
            <w:r>
              <w:rPr>
                <w:rtl/>
              </w:rPr>
              <w:tab/>
            </w:r>
            <w:r>
              <w:rPr>
                <w:rFonts w:hint="cs"/>
                <w:rtl/>
              </w:rPr>
              <w:t xml:space="preserve">בסעיף 23 </w:t>
            </w:r>
            <w:r>
              <w:rPr>
                <w:rFonts w:hint="eastAsia"/>
                <w:rtl/>
              </w:rPr>
              <w:t>–</w:t>
            </w:r>
            <w:r>
              <w:rPr>
                <w:rFonts w:hint="cs"/>
                <w:rtl/>
              </w:rPr>
              <w:t xml:space="preserve"> </w:t>
            </w:r>
          </w:p>
        </w:tc>
      </w:tr>
      <w:tr w:rsidR="008E065A" w14:paraId="3C43F6DC" w14:textId="77777777" w:rsidTr="008E065A">
        <w:tblPrEx>
          <w:tblLook w:val="01E0" w:firstRow="1" w:lastRow="1" w:firstColumn="1" w:lastColumn="1" w:noHBand="0" w:noVBand="0"/>
        </w:tblPrEx>
        <w:trPr>
          <w:cantSplit/>
        </w:trPr>
        <w:tc>
          <w:tcPr>
            <w:tcW w:w="1871" w:type="dxa"/>
          </w:tcPr>
          <w:p w14:paraId="4F514926" w14:textId="77777777" w:rsidR="008E065A" w:rsidRDefault="008E065A" w:rsidP="006A2677">
            <w:pPr>
              <w:pStyle w:val="TableSideHeading"/>
            </w:pPr>
          </w:p>
        </w:tc>
        <w:tc>
          <w:tcPr>
            <w:tcW w:w="624" w:type="dxa"/>
          </w:tcPr>
          <w:p w14:paraId="7C7004CD" w14:textId="77777777" w:rsidR="008E065A" w:rsidRDefault="008E065A" w:rsidP="006A2677">
            <w:pPr>
              <w:pStyle w:val="TableText"/>
            </w:pPr>
          </w:p>
        </w:tc>
        <w:tc>
          <w:tcPr>
            <w:tcW w:w="624" w:type="dxa"/>
          </w:tcPr>
          <w:p w14:paraId="7075300B" w14:textId="77777777" w:rsidR="008E065A" w:rsidRDefault="008E065A" w:rsidP="006A2677">
            <w:pPr>
              <w:pStyle w:val="TableText"/>
            </w:pPr>
          </w:p>
        </w:tc>
        <w:tc>
          <w:tcPr>
            <w:tcW w:w="6519" w:type="dxa"/>
            <w:gridSpan w:val="5"/>
          </w:tcPr>
          <w:p w14:paraId="5AC114B3" w14:textId="77777777" w:rsidR="008E065A" w:rsidRDefault="008E065A" w:rsidP="008E065A">
            <w:pPr>
              <w:pStyle w:val="TableBlock"/>
            </w:pPr>
            <w:r>
              <w:rPr>
                <w:rFonts w:hint="cs"/>
                <w:rtl/>
              </w:rPr>
              <w:t>(א)</w:t>
            </w:r>
            <w:r>
              <w:rPr>
                <w:rtl/>
              </w:rPr>
              <w:tab/>
            </w:r>
            <w:r>
              <w:rPr>
                <w:rFonts w:hint="cs"/>
                <w:rtl/>
              </w:rPr>
              <w:t>בסעיף קטן (א), במקום "על ידי שר הפנים" יבוא "מטעם הכנסת";</w:t>
            </w:r>
          </w:p>
        </w:tc>
      </w:tr>
      <w:tr w:rsidR="008E065A" w14:paraId="41FDE30B" w14:textId="77777777" w:rsidTr="008E065A">
        <w:tblPrEx>
          <w:tblLook w:val="01E0" w:firstRow="1" w:lastRow="1" w:firstColumn="1" w:lastColumn="1" w:noHBand="0" w:noVBand="0"/>
        </w:tblPrEx>
        <w:trPr>
          <w:cantSplit/>
        </w:trPr>
        <w:tc>
          <w:tcPr>
            <w:tcW w:w="1871" w:type="dxa"/>
          </w:tcPr>
          <w:p w14:paraId="16623BFA" w14:textId="77777777" w:rsidR="008E065A" w:rsidRDefault="008E065A" w:rsidP="006A2677">
            <w:pPr>
              <w:pStyle w:val="TableSideHeading"/>
            </w:pPr>
          </w:p>
        </w:tc>
        <w:tc>
          <w:tcPr>
            <w:tcW w:w="624" w:type="dxa"/>
          </w:tcPr>
          <w:p w14:paraId="51A3A86E" w14:textId="77777777" w:rsidR="008E065A" w:rsidRDefault="008E065A" w:rsidP="006A2677">
            <w:pPr>
              <w:pStyle w:val="TableText"/>
            </w:pPr>
          </w:p>
        </w:tc>
        <w:tc>
          <w:tcPr>
            <w:tcW w:w="624" w:type="dxa"/>
          </w:tcPr>
          <w:p w14:paraId="0E817029" w14:textId="77777777" w:rsidR="008E065A" w:rsidRDefault="008E065A" w:rsidP="006A2677">
            <w:pPr>
              <w:pStyle w:val="TableText"/>
            </w:pPr>
          </w:p>
        </w:tc>
        <w:tc>
          <w:tcPr>
            <w:tcW w:w="6519" w:type="dxa"/>
            <w:gridSpan w:val="5"/>
          </w:tcPr>
          <w:p w14:paraId="16B89376" w14:textId="77777777" w:rsidR="008E065A" w:rsidRDefault="008E065A" w:rsidP="008E065A">
            <w:pPr>
              <w:pStyle w:val="TableBlock"/>
              <w:rPr>
                <w:rtl/>
              </w:rPr>
            </w:pPr>
            <w:r>
              <w:rPr>
                <w:rFonts w:hint="cs"/>
                <w:rtl/>
              </w:rPr>
              <w:t>(ב)</w:t>
            </w:r>
            <w:r>
              <w:rPr>
                <w:rtl/>
              </w:rPr>
              <w:tab/>
            </w:r>
            <w:r>
              <w:rPr>
                <w:rFonts w:hint="cs"/>
                <w:rtl/>
              </w:rPr>
              <w:t>בסעיף קטן (ב), במקום "שר הפנים" יבוא "יושב ראש הוועדה המרכזית", ובסופו יבוא "ואולם, הודעה על שינוי יושב ראש הוועדה המרכזית תפורסם מטעם הכנסת";</w:t>
            </w:r>
          </w:p>
        </w:tc>
      </w:tr>
      <w:tr w:rsidR="008E065A" w14:paraId="1508A71C" w14:textId="77777777" w:rsidTr="008E065A">
        <w:trPr>
          <w:cantSplit/>
        </w:trPr>
        <w:tc>
          <w:tcPr>
            <w:tcW w:w="1871" w:type="dxa"/>
            <w:shd w:val="clear" w:color="auto" w:fill="auto"/>
            <w:tcMar>
              <w:top w:w="91" w:type="dxa"/>
              <w:left w:w="0" w:type="dxa"/>
              <w:bottom w:w="91" w:type="dxa"/>
              <w:right w:w="0" w:type="dxa"/>
            </w:tcMar>
          </w:tcPr>
          <w:p w14:paraId="43FBFA48" w14:textId="77777777" w:rsidR="008E065A" w:rsidRPr="00AE161F" w:rsidRDefault="008E065A" w:rsidP="006A2677">
            <w:pPr>
              <w:pStyle w:val="TableSideHeading"/>
              <w:rPr>
                <w:rtl/>
              </w:rPr>
            </w:pPr>
          </w:p>
        </w:tc>
        <w:tc>
          <w:tcPr>
            <w:tcW w:w="624" w:type="dxa"/>
            <w:shd w:val="clear" w:color="auto" w:fill="auto"/>
            <w:tcMar>
              <w:top w:w="91" w:type="dxa"/>
              <w:left w:w="0" w:type="dxa"/>
              <w:bottom w:w="91" w:type="dxa"/>
              <w:right w:w="0" w:type="dxa"/>
            </w:tcMar>
          </w:tcPr>
          <w:p w14:paraId="34BD7B77" w14:textId="77777777" w:rsidR="008E065A" w:rsidRDefault="008E065A" w:rsidP="006A2677">
            <w:pPr>
              <w:pStyle w:val="TableText"/>
            </w:pPr>
          </w:p>
        </w:tc>
        <w:tc>
          <w:tcPr>
            <w:tcW w:w="7143" w:type="dxa"/>
            <w:gridSpan w:val="6"/>
            <w:shd w:val="clear" w:color="auto" w:fill="auto"/>
            <w:tcMar>
              <w:top w:w="91" w:type="dxa"/>
              <w:left w:w="0" w:type="dxa"/>
              <w:bottom w:w="91" w:type="dxa"/>
              <w:right w:w="0" w:type="dxa"/>
            </w:tcMar>
          </w:tcPr>
          <w:p w14:paraId="64365FDE" w14:textId="77777777" w:rsidR="008E065A" w:rsidRDefault="008E065A" w:rsidP="008E065A">
            <w:pPr>
              <w:pStyle w:val="TableBlock"/>
              <w:rPr>
                <w:rtl/>
              </w:rPr>
            </w:pPr>
            <w:r>
              <w:rPr>
                <w:rFonts w:hint="cs"/>
                <w:rtl/>
              </w:rPr>
              <w:t>(2)</w:t>
            </w:r>
            <w:r>
              <w:rPr>
                <w:rtl/>
              </w:rPr>
              <w:tab/>
            </w:r>
            <w:r>
              <w:rPr>
                <w:rFonts w:hint="cs"/>
                <w:rtl/>
              </w:rPr>
              <w:t xml:space="preserve">בסעיף 25 </w:t>
            </w:r>
            <w:r>
              <w:rPr>
                <w:rFonts w:hint="eastAsia"/>
                <w:rtl/>
              </w:rPr>
              <w:t>–</w:t>
            </w:r>
            <w:r>
              <w:rPr>
                <w:rFonts w:hint="cs"/>
                <w:rtl/>
              </w:rPr>
              <w:t xml:space="preserve"> </w:t>
            </w:r>
          </w:p>
        </w:tc>
      </w:tr>
      <w:tr w:rsidR="008E065A" w:rsidRPr="00D73B49" w14:paraId="62DFBBA7" w14:textId="77777777" w:rsidTr="008E065A">
        <w:tblPrEx>
          <w:tblLook w:val="01E0" w:firstRow="1" w:lastRow="1" w:firstColumn="1" w:lastColumn="1" w:noHBand="0" w:noVBand="0"/>
        </w:tblPrEx>
        <w:trPr>
          <w:cantSplit/>
        </w:trPr>
        <w:tc>
          <w:tcPr>
            <w:tcW w:w="1871" w:type="dxa"/>
          </w:tcPr>
          <w:p w14:paraId="07FFA063" w14:textId="77777777" w:rsidR="008E065A" w:rsidRDefault="008E065A" w:rsidP="006A2677">
            <w:pPr>
              <w:pStyle w:val="TableSideHeading"/>
            </w:pPr>
          </w:p>
        </w:tc>
        <w:tc>
          <w:tcPr>
            <w:tcW w:w="624" w:type="dxa"/>
          </w:tcPr>
          <w:p w14:paraId="74B8A6D1" w14:textId="77777777" w:rsidR="008E065A" w:rsidRDefault="008E065A" w:rsidP="006A2677">
            <w:pPr>
              <w:pStyle w:val="TableText"/>
            </w:pPr>
          </w:p>
        </w:tc>
        <w:tc>
          <w:tcPr>
            <w:tcW w:w="624" w:type="dxa"/>
          </w:tcPr>
          <w:p w14:paraId="6AE48A3F" w14:textId="77777777" w:rsidR="008E065A" w:rsidRDefault="008E065A" w:rsidP="006A2677">
            <w:pPr>
              <w:pStyle w:val="TableText"/>
            </w:pPr>
          </w:p>
        </w:tc>
        <w:tc>
          <w:tcPr>
            <w:tcW w:w="6519" w:type="dxa"/>
            <w:gridSpan w:val="5"/>
          </w:tcPr>
          <w:p w14:paraId="5C98897F" w14:textId="77777777" w:rsidR="008E065A" w:rsidRPr="00D73B49" w:rsidRDefault="008E065A" w:rsidP="008E065A">
            <w:pPr>
              <w:pStyle w:val="TableBlock"/>
            </w:pPr>
            <w:r>
              <w:rPr>
                <w:rFonts w:hint="cs"/>
                <w:rtl/>
              </w:rPr>
              <w:t>(א)</w:t>
            </w:r>
            <w:r>
              <w:rPr>
                <w:rtl/>
              </w:rPr>
              <w:tab/>
            </w:r>
            <w:r>
              <w:rPr>
                <w:rFonts w:hint="cs"/>
                <w:rtl/>
              </w:rPr>
              <w:t>אחרי סעיף קטן (א) יבוא:</w:t>
            </w:r>
          </w:p>
        </w:tc>
      </w:tr>
      <w:tr w:rsidR="008E065A" w14:paraId="3596A14A" w14:textId="77777777" w:rsidTr="008E065A">
        <w:tblPrEx>
          <w:tblLook w:val="01E0" w:firstRow="1" w:lastRow="1" w:firstColumn="1" w:lastColumn="1" w:noHBand="0" w:noVBand="0"/>
        </w:tblPrEx>
        <w:trPr>
          <w:cantSplit/>
        </w:trPr>
        <w:tc>
          <w:tcPr>
            <w:tcW w:w="1871" w:type="dxa"/>
          </w:tcPr>
          <w:p w14:paraId="3C2EF2CC" w14:textId="77777777" w:rsidR="008E065A" w:rsidRDefault="008E065A" w:rsidP="006A2677">
            <w:pPr>
              <w:pStyle w:val="TableSideHeading"/>
            </w:pPr>
          </w:p>
        </w:tc>
        <w:tc>
          <w:tcPr>
            <w:tcW w:w="624" w:type="dxa"/>
          </w:tcPr>
          <w:p w14:paraId="702562FC" w14:textId="77777777" w:rsidR="008E065A" w:rsidRDefault="008E065A" w:rsidP="006A2677">
            <w:pPr>
              <w:pStyle w:val="TableText"/>
            </w:pPr>
          </w:p>
        </w:tc>
        <w:tc>
          <w:tcPr>
            <w:tcW w:w="624" w:type="dxa"/>
          </w:tcPr>
          <w:p w14:paraId="65534672" w14:textId="77777777" w:rsidR="008E065A" w:rsidRDefault="008E065A" w:rsidP="006A2677">
            <w:pPr>
              <w:pStyle w:val="TableText"/>
            </w:pPr>
          </w:p>
        </w:tc>
        <w:tc>
          <w:tcPr>
            <w:tcW w:w="624" w:type="dxa"/>
          </w:tcPr>
          <w:p w14:paraId="46C268A4" w14:textId="77777777" w:rsidR="008E065A" w:rsidRDefault="008E065A" w:rsidP="006A2677">
            <w:pPr>
              <w:pStyle w:val="TableText"/>
            </w:pPr>
          </w:p>
        </w:tc>
        <w:tc>
          <w:tcPr>
            <w:tcW w:w="5895" w:type="dxa"/>
            <w:gridSpan w:val="4"/>
          </w:tcPr>
          <w:p w14:paraId="2B3544A1" w14:textId="77777777" w:rsidR="008E065A" w:rsidRDefault="008E065A" w:rsidP="008E065A">
            <w:pPr>
              <w:pStyle w:val="TableBlock"/>
            </w:pPr>
            <w:r>
              <w:rPr>
                <w:rFonts w:hint="cs"/>
                <w:rtl/>
              </w:rPr>
              <w:t>"(א1)</w:t>
            </w:r>
            <w:r>
              <w:rPr>
                <w:rtl/>
              </w:rPr>
              <w:tab/>
            </w:r>
            <w:r>
              <w:rPr>
                <w:rFonts w:hint="cs"/>
                <w:rtl/>
              </w:rPr>
              <w:t xml:space="preserve">קמה סיעה בכנסת עקב התפלגות או מיזוג של סיעות כאמור בסעיף 60 לחוק הכנסת, </w:t>
            </w:r>
            <w:proofErr w:type="spellStart"/>
            <w:r>
              <w:rPr>
                <w:rFonts w:hint="cs"/>
                <w:rtl/>
              </w:rPr>
              <w:t>התשנ"ד</w:t>
            </w:r>
            <w:proofErr w:type="spellEnd"/>
            <w:r>
              <w:rPr>
                <w:rFonts w:hint="eastAsia"/>
                <w:rtl/>
              </w:rPr>
              <w:t>–</w:t>
            </w:r>
            <w:r>
              <w:rPr>
                <w:rFonts w:hint="cs"/>
                <w:rtl/>
              </w:rPr>
              <w:t>1994</w:t>
            </w:r>
            <w:r w:rsidRPr="008E065A">
              <w:rPr>
                <w:rStyle w:val="a8"/>
                <w:rFonts w:ascii="David" w:hAnsi="David"/>
                <w:sz w:val="26"/>
                <w:rtl/>
              </w:rPr>
              <w:footnoteReference w:id="4"/>
            </w:r>
            <w:r>
              <w:rPr>
                <w:rFonts w:hint="cs"/>
                <w:rtl/>
              </w:rPr>
              <w:t xml:space="preserve">, תודיע הסיעה בכתב לוועדת הכנסת, במועד ההתפלגות או המיזוג, מיהם בא כוחה וממלא מקומו, והודעה על כך תפורסם ברשומות מטעם הכנסת ותימסר ליושב ראש הוועדה המרכזית."; </w:t>
            </w:r>
          </w:p>
        </w:tc>
      </w:tr>
      <w:tr w:rsidR="008E065A" w14:paraId="2BBDF917" w14:textId="77777777" w:rsidTr="008E065A">
        <w:tblPrEx>
          <w:tblLook w:val="01E0" w:firstRow="1" w:lastRow="1" w:firstColumn="1" w:lastColumn="1" w:noHBand="0" w:noVBand="0"/>
        </w:tblPrEx>
        <w:trPr>
          <w:cantSplit/>
        </w:trPr>
        <w:tc>
          <w:tcPr>
            <w:tcW w:w="1871" w:type="dxa"/>
          </w:tcPr>
          <w:p w14:paraId="6EB674B0" w14:textId="77777777" w:rsidR="008E065A" w:rsidRDefault="008E065A" w:rsidP="006A2677">
            <w:pPr>
              <w:pStyle w:val="TableSideHeading"/>
            </w:pPr>
          </w:p>
        </w:tc>
        <w:tc>
          <w:tcPr>
            <w:tcW w:w="624" w:type="dxa"/>
          </w:tcPr>
          <w:p w14:paraId="68A777D9" w14:textId="77777777" w:rsidR="008E065A" w:rsidRDefault="008E065A" w:rsidP="006A2677">
            <w:pPr>
              <w:pStyle w:val="TableText"/>
            </w:pPr>
          </w:p>
        </w:tc>
        <w:tc>
          <w:tcPr>
            <w:tcW w:w="624" w:type="dxa"/>
          </w:tcPr>
          <w:p w14:paraId="7BADC008" w14:textId="77777777" w:rsidR="008E065A" w:rsidRDefault="008E065A" w:rsidP="006A2677">
            <w:pPr>
              <w:pStyle w:val="TableText"/>
            </w:pPr>
          </w:p>
        </w:tc>
        <w:tc>
          <w:tcPr>
            <w:tcW w:w="6519" w:type="dxa"/>
            <w:gridSpan w:val="5"/>
          </w:tcPr>
          <w:p w14:paraId="53ACEAF1" w14:textId="77777777" w:rsidR="008E065A" w:rsidRDefault="008E065A" w:rsidP="008E065A">
            <w:pPr>
              <w:pStyle w:val="TableBlock"/>
            </w:pPr>
            <w:r>
              <w:rPr>
                <w:rFonts w:hint="cs"/>
                <w:rtl/>
              </w:rPr>
              <w:t>(ב)</w:t>
            </w:r>
            <w:r>
              <w:rPr>
                <w:rtl/>
              </w:rPr>
              <w:tab/>
            </w:r>
            <w:r>
              <w:rPr>
                <w:rFonts w:hint="cs"/>
                <w:rtl/>
              </w:rPr>
              <w:t>בסעיף קטן (ב), אחרי "באי כוחה וממלאי מקומם;" יבוא "ההודעה תימסר בידי בא כוח הסיעה או ממלא מקומו, אלא אם כן הודיעו רוב חברי הסיעה אחרת;";</w:t>
            </w:r>
          </w:p>
        </w:tc>
      </w:tr>
      <w:tr w:rsidR="008E065A" w14:paraId="69C0C7DC" w14:textId="77777777" w:rsidTr="008E065A">
        <w:trPr>
          <w:cantSplit/>
        </w:trPr>
        <w:tc>
          <w:tcPr>
            <w:tcW w:w="1871" w:type="dxa"/>
            <w:shd w:val="clear" w:color="auto" w:fill="auto"/>
            <w:tcMar>
              <w:top w:w="91" w:type="dxa"/>
              <w:left w:w="0" w:type="dxa"/>
              <w:bottom w:w="91" w:type="dxa"/>
              <w:right w:w="0" w:type="dxa"/>
            </w:tcMar>
          </w:tcPr>
          <w:p w14:paraId="3209C385" w14:textId="77777777" w:rsidR="008E065A" w:rsidRPr="00AE161F" w:rsidRDefault="008E065A" w:rsidP="006A2677">
            <w:pPr>
              <w:pStyle w:val="TableSideHeading"/>
              <w:rPr>
                <w:rtl/>
              </w:rPr>
            </w:pPr>
          </w:p>
        </w:tc>
        <w:tc>
          <w:tcPr>
            <w:tcW w:w="624" w:type="dxa"/>
            <w:shd w:val="clear" w:color="auto" w:fill="auto"/>
            <w:tcMar>
              <w:top w:w="91" w:type="dxa"/>
              <w:left w:w="0" w:type="dxa"/>
              <w:bottom w:w="91" w:type="dxa"/>
              <w:right w:w="0" w:type="dxa"/>
            </w:tcMar>
          </w:tcPr>
          <w:p w14:paraId="3B9E88D4" w14:textId="77777777" w:rsidR="008E065A" w:rsidRDefault="008E065A" w:rsidP="006A2677">
            <w:pPr>
              <w:pStyle w:val="TableText"/>
            </w:pPr>
          </w:p>
        </w:tc>
        <w:tc>
          <w:tcPr>
            <w:tcW w:w="7143" w:type="dxa"/>
            <w:gridSpan w:val="6"/>
            <w:shd w:val="clear" w:color="auto" w:fill="auto"/>
            <w:tcMar>
              <w:top w:w="91" w:type="dxa"/>
              <w:left w:w="0" w:type="dxa"/>
              <w:bottom w:w="91" w:type="dxa"/>
              <w:right w:w="0" w:type="dxa"/>
            </w:tcMar>
          </w:tcPr>
          <w:p w14:paraId="4BF3F9BE" w14:textId="77777777" w:rsidR="008E065A" w:rsidRDefault="008E065A" w:rsidP="008E065A">
            <w:pPr>
              <w:pStyle w:val="TableBlock"/>
              <w:rPr>
                <w:rtl/>
              </w:rPr>
            </w:pPr>
            <w:r>
              <w:rPr>
                <w:rFonts w:hint="cs"/>
                <w:rtl/>
              </w:rPr>
              <w:t>(3)</w:t>
            </w:r>
            <w:r>
              <w:rPr>
                <w:rtl/>
              </w:rPr>
              <w:tab/>
            </w:r>
            <w:r>
              <w:rPr>
                <w:rFonts w:hint="cs"/>
                <w:rtl/>
              </w:rPr>
              <w:t xml:space="preserve">בסעיף 57 </w:t>
            </w:r>
            <w:r>
              <w:rPr>
                <w:rtl/>
              </w:rPr>
              <w:t>–</w:t>
            </w:r>
          </w:p>
        </w:tc>
      </w:tr>
      <w:tr w:rsidR="008E065A" w14:paraId="4CD1489A" w14:textId="77777777" w:rsidTr="008E065A">
        <w:tblPrEx>
          <w:tblLook w:val="01E0" w:firstRow="1" w:lastRow="1" w:firstColumn="1" w:lastColumn="1" w:noHBand="0" w:noVBand="0"/>
        </w:tblPrEx>
        <w:trPr>
          <w:cantSplit/>
        </w:trPr>
        <w:tc>
          <w:tcPr>
            <w:tcW w:w="1871" w:type="dxa"/>
          </w:tcPr>
          <w:p w14:paraId="23C03AF6" w14:textId="77777777" w:rsidR="008E065A" w:rsidRDefault="008E065A" w:rsidP="006A2677">
            <w:pPr>
              <w:pStyle w:val="TableSideHeading"/>
            </w:pPr>
          </w:p>
        </w:tc>
        <w:tc>
          <w:tcPr>
            <w:tcW w:w="624" w:type="dxa"/>
          </w:tcPr>
          <w:p w14:paraId="20A2A265" w14:textId="77777777" w:rsidR="008E065A" w:rsidRDefault="008E065A" w:rsidP="006A2677">
            <w:pPr>
              <w:pStyle w:val="TableText"/>
            </w:pPr>
          </w:p>
        </w:tc>
        <w:tc>
          <w:tcPr>
            <w:tcW w:w="624" w:type="dxa"/>
          </w:tcPr>
          <w:p w14:paraId="1A3CCAEB" w14:textId="77777777" w:rsidR="008E065A" w:rsidRDefault="008E065A" w:rsidP="006A2677">
            <w:pPr>
              <w:pStyle w:val="TableText"/>
            </w:pPr>
          </w:p>
        </w:tc>
        <w:tc>
          <w:tcPr>
            <w:tcW w:w="6519" w:type="dxa"/>
            <w:gridSpan w:val="5"/>
          </w:tcPr>
          <w:p w14:paraId="29416520" w14:textId="77777777" w:rsidR="008E065A" w:rsidRDefault="008E065A" w:rsidP="008E065A">
            <w:pPr>
              <w:pStyle w:val="TableBlock"/>
            </w:pPr>
            <w:r>
              <w:rPr>
                <w:rFonts w:hint="cs"/>
                <w:rtl/>
              </w:rPr>
              <w:t>(א)</w:t>
            </w:r>
            <w:r>
              <w:rPr>
                <w:rtl/>
              </w:rPr>
              <w:tab/>
            </w:r>
            <w:r>
              <w:rPr>
                <w:rFonts w:hint="cs"/>
                <w:rtl/>
              </w:rPr>
              <w:t xml:space="preserve">בסעיף קטן (ב), בסופו יבוא "רשימת מועמדים שמגישות שתי מפלגות או יותר (בחוק זה </w:t>
            </w:r>
            <w:r>
              <w:rPr>
                <w:rtl/>
              </w:rPr>
              <w:t>–</w:t>
            </w:r>
            <w:r>
              <w:rPr>
                <w:rFonts w:hint="cs"/>
                <w:rtl/>
              </w:rPr>
              <w:t xml:space="preserve"> רשימת מועמדים משותפת) תציין גם את השתייכותו המפלגתית של כל מועמד.";</w:t>
            </w:r>
          </w:p>
        </w:tc>
      </w:tr>
      <w:tr w:rsidR="008E065A" w14:paraId="60A40B7B" w14:textId="77777777" w:rsidTr="008E065A">
        <w:tblPrEx>
          <w:tblLook w:val="01E0" w:firstRow="1" w:lastRow="1" w:firstColumn="1" w:lastColumn="1" w:noHBand="0" w:noVBand="0"/>
        </w:tblPrEx>
        <w:trPr>
          <w:cantSplit/>
        </w:trPr>
        <w:tc>
          <w:tcPr>
            <w:tcW w:w="1871" w:type="dxa"/>
          </w:tcPr>
          <w:p w14:paraId="13DB1CD5" w14:textId="77777777" w:rsidR="008E065A" w:rsidRDefault="008E065A" w:rsidP="006A2677">
            <w:pPr>
              <w:pStyle w:val="TableSideHeading"/>
            </w:pPr>
          </w:p>
        </w:tc>
        <w:tc>
          <w:tcPr>
            <w:tcW w:w="624" w:type="dxa"/>
          </w:tcPr>
          <w:p w14:paraId="57EDC589" w14:textId="77777777" w:rsidR="008E065A" w:rsidRDefault="008E065A" w:rsidP="006A2677">
            <w:pPr>
              <w:pStyle w:val="TableText"/>
            </w:pPr>
          </w:p>
        </w:tc>
        <w:tc>
          <w:tcPr>
            <w:tcW w:w="624" w:type="dxa"/>
          </w:tcPr>
          <w:p w14:paraId="57BFEE69" w14:textId="77777777" w:rsidR="008E065A" w:rsidRDefault="008E065A" w:rsidP="006A2677">
            <w:pPr>
              <w:pStyle w:val="TableText"/>
            </w:pPr>
          </w:p>
        </w:tc>
        <w:tc>
          <w:tcPr>
            <w:tcW w:w="6519" w:type="dxa"/>
            <w:gridSpan w:val="5"/>
          </w:tcPr>
          <w:p w14:paraId="792A2395" w14:textId="77777777" w:rsidR="008E065A" w:rsidRDefault="008E065A" w:rsidP="008E065A">
            <w:pPr>
              <w:pStyle w:val="TableBlock"/>
            </w:pPr>
            <w:r>
              <w:rPr>
                <w:rFonts w:hint="cs"/>
                <w:rtl/>
              </w:rPr>
              <w:t>(ב)</w:t>
            </w:r>
            <w:r>
              <w:rPr>
                <w:rtl/>
              </w:rPr>
              <w:tab/>
            </w:r>
            <w:r>
              <w:rPr>
                <w:rFonts w:hint="cs"/>
                <w:rtl/>
              </w:rPr>
              <w:t>בסעיף קטן (ג), במקום "רשימת מועמדים המוגשת על ידי שתי מפלגות או יותר, תחתם" יבוא "רשימת מועמדים משותפת תיחתם";</w:t>
            </w:r>
          </w:p>
        </w:tc>
      </w:tr>
      <w:tr w:rsidR="008E065A" w:rsidRPr="009B435A" w14:paraId="247EC109" w14:textId="77777777" w:rsidTr="008E065A">
        <w:tblPrEx>
          <w:tblLook w:val="01E0" w:firstRow="1" w:lastRow="1" w:firstColumn="1" w:lastColumn="1" w:noHBand="0" w:noVBand="0"/>
        </w:tblPrEx>
        <w:trPr>
          <w:cantSplit/>
        </w:trPr>
        <w:tc>
          <w:tcPr>
            <w:tcW w:w="1871" w:type="dxa"/>
          </w:tcPr>
          <w:p w14:paraId="10594D5F" w14:textId="77777777" w:rsidR="008E065A" w:rsidRDefault="008E065A" w:rsidP="006A2677">
            <w:pPr>
              <w:pStyle w:val="TableSideHeading"/>
              <w:rPr>
                <w:sz w:val="14"/>
                <w:szCs w:val="20"/>
                <w:rtl/>
              </w:rPr>
            </w:pPr>
          </w:p>
        </w:tc>
        <w:tc>
          <w:tcPr>
            <w:tcW w:w="624" w:type="dxa"/>
          </w:tcPr>
          <w:p w14:paraId="4CF9E743" w14:textId="77777777" w:rsidR="008E065A" w:rsidRDefault="008E065A" w:rsidP="006A2677">
            <w:pPr>
              <w:pStyle w:val="TableText"/>
            </w:pPr>
          </w:p>
        </w:tc>
        <w:tc>
          <w:tcPr>
            <w:tcW w:w="7143" w:type="dxa"/>
            <w:gridSpan w:val="6"/>
          </w:tcPr>
          <w:p w14:paraId="2A29E68F" w14:textId="77777777" w:rsidR="008E065A" w:rsidRPr="009B435A" w:rsidRDefault="008E065A" w:rsidP="008E065A">
            <w:pPr>
              <w:pStyle w:val="TableBlock"/>
              <w:rPr>
                <w:rtl/>
              </w:rPr>
            </w:pPr>
            <w:r>
              <w:rPr>
                <w:rFonts w:hint="cs"/>
                <w:rtl/>
              </w:rPr>
              <w:t>(4)</w:t>
            </w:r>
            <w:r>
              <w:rPr>
                <w:rtl/>
              </w:rPr>
              <w:tab/>
            </w:r>
            <w:r>
              <w:rPr>
                <w:rFonts w:hint="cs"/>
                <w:rtl/>
              </w:rPr>
              <w:t xml:space="preserve">בסעיף 61(ב), במקום </w:t>
            </w:r>
            <w:r w:rsidRPr="009B435A">
              <w:rPr>
                <w:rFonts w:hint="cs"/>
                <w:rtl/>
              </w:rPr>
              <w:t xml:space="preserve">"רשימת מועמדים אחת" יבוא </w:t>
            </w:r>
            <w:r>
              <w:rPr>
                <w:rFonts w:hint="cs"/>
                <w:rtl/>
              </w:rPr>
              <w:t>"רשימת מועמדים משותפת".</w:t>
            </w:r>
          </w:p>
        </w:tc>
      </w:tr>
      <w:tr w:rsidR="008E065A" w14:paraId="561C1566" w14:textId="77777777" w:rsidTr="008E065A">
        <w:tblPrEx>
          <w:tblLook w:val="01E0" w:firstRow="1" w:lastRow="1" w:firstColumn="1" w:lastColumn="1" w:noHBand="0" w:noVBand="0"/>
        </w:tblPrEx>
        <w:trPr>
          <w:cantSplit/>
        </w:trPr>
        <w:tc>
          <w:tcPr>
            <w:tcW w:w="1871" w:type="dxa"/>
          </w:tcPr>
          <w:p w14:paraId="2DC03BE1" w14:textId="77777777" w:rsidR="008E065A" w:rsidRPr="008E065A" w:rsidRDefault="008E065A" w:rsidP="008E065A">
            <w:pPr>
              <w:pStyle w:val="TableSideHeading"/>
              <w:outlineLvl w:val="9"/>
              <w:rPr>
                <w:rtl/>
              </w:rPr>
            </w:pPr>
            <w:r w:rsidRPr="008E065A">
              <w:rPr>
                <w:rFonts w:hint="cs"/>
                <w:rtl/>
              </w:rPr>
              <w:t>תיקון חוק הרשויות המקומיות (בחירות)</w:t>
            </w:r>
            <w:r>
              <w:rPr>
                <w:rFonts w:hint="cs"/>
                <w:rtl/>
              </w:rPr>
              <w:t xml:space="preserve"> </w:t>
            </w:r>
            <w:r>
              <w:rPr>
                <w:rtl/>
              </w:rPr>
              <w:t>–</w:t>
            </w:r>
            <w:r>
              <w:rPr>
                <w:rFonts w:hint="cs"/>
                <w:rtl/>
              </w:rPr>
              <w:t xml:space="preserve"> מס' 50</w:t>
            </w:r>
          </w:p>
        </w:tc>
        <w:tc>
          <w:tcPr>
            <w:tcW w:w="624" w:type="dxa"/>
          </w:tcPr>
          <w:p w14:paraId="42C5F6C3" w14:textId="77777777" w:rsidR="008E065A" w:rsidRPr="008E065A" w:rsidDel="00656C52" w:rsidRDefault="008E065A" w:rsidP="008E065A">
            <w:pPr>
              <w:pStyle w:val="TableText"/>
              <w:jc w:val="both"/>
              <w:rPr>
                <w:rtl/>
              </w:rPr>
            </w:pPr>
            <w:r w:rsidRPr="008E065A">
              <w:rPr>
                <w:rFonts w:hint="cs"/>
                <w:rtl/>
              </w:rPr>
              <w:t>11.</w:t>
            </w:r>
          </w:p>
        </w:tc>
        <w:tc>
          <w:tcPr>
            <w:tcW w:w="7143" w:type="dxa"/>
            <w:gridSpan w:val="6"/>
          </w:tcPr>
          <w:p w14:paraId="3F987061" w14:textId="77777777" w:rsidR="008E065A" w:rsidRDefault="008E065A" w:rsidP="008E065A">
            <w:pPr>
              <w:pStyle w:val="TableBlock"/>
              <w:rPr>
                <w:rtl/>
              </w:rPr>
            </w:pPr>
            <w:r>
              <w:rPr>
                <w:rFonts w:hint="cs"/>
                <w:rtl/>
              </w:rPr>
              <w:t xml:space="preserve">בחוק הרשויות המקומיות (בחירות), </w:t>
            </w:r>
            <w:proofErr w:type="spellStart"/>
            <w:r>
              <w:rPr>
                <w:rFonts w:hint="cs"/>
                <w:rtl/>
              </w:rPr>
              <w:t>התשכ"ה</w:t>
            </w:r>
            <w:proofErr w:type="spellEnd"/>
            <w:r>
              <w:rPr>
                <w:rFonts w:hint="eastAsia"/>
                <w:rtl/>
              </w:rPr>
              <w:t>–</w:t>
            </w:r>
            <w:r>
              <w:rPr>
                <w:rFonts w:hint="cs"/>
                <w:rtl/>
              </w:rPr>
              <w:t>1965</w:t>
            </w:r>
            <w:r w:rsidRPr="008E065A">
              <w:rPr>
                <w:rStyle w:val="a8"/>
                <w:rFonts w:ascii="David" w:hAnsi="David"/>
                <w:sz w:val="26"/>
                <w:rtl/>
              </w:rPr>
              <w:footnoteReference w:id="5"/>
            </w:r>
            <w:r>
              <w:rPr>
                <w:rFonts w:hint="cs"/>
                <w:rtl/>
              </w:rPr>
              <w:t xml:space="preserve">, בסעיף 36(ב) </w:t>
            </w:r>
            <w:r>
              <w:rPr>
                <w:rFonts w:hint="eastAsia"/>
                <w:rtl/>
              </w:rPr>
              <w:t>–</w:t>
            </w:r>
            <w:r>
              <w:rPr>
                <w:rFonts w:hint="cs"/>
                <w:rtl/>
              </w:rPr>
              <w:t xml:space="preserve"> </w:t>
            </w:r>
          </w:p>
        </w:tc>
      </w:tr>
      <w:tr w:rsidR="008E065A" w14:paraId="52E70277" w14:textId="77777777" w:rsidTr="008E065A">
        <w:tblPrEx>
          <w:tblLook w:val="01E0" w:firstRow="1" w:lastRow="1" w:firstColumn="1" w:lastColumn="1" w:noHBand="0" w:noVBand="0"/>
        </w:tblPrEx>
        <w:trPr>
          <w:cantSplit/>
        </w:trPr>
        <w:tc>
          <w:tcPr>
            <w:tcW w:w="1871" w:type="dxa"/>
          </w:tcPr>
          <w:p w14:paraId="0E6DD3EF" w14:textId="77777777" w:rsidR="008E065A" w:rsidRPr="008E065A" w:rsidRDefault="008E065A" w:rsidP="008E065A">
            <w:pPr>
              <w:pStyle w:val="TableSideHeading"/>
              <w:outlineLvl w:val="9"/>
              <w:rPr>
                <w:rtl/>
              </w:rPr>
            </w:pPr>
          </w:p>
        </w:tc>
        <w:tc>
          <w:tcPr>
            <w:tcW w:w="624" w:type="dxa"/>
          </w:tcPr>
          <w:p w14:paraId="26681E30" w14:textId="77777777" w:rsidR="008E065A" w:rsidRPr="008E065A" w:rsidRDefault="008E065A" w:rsidP="008E065A">
            <w:pPr>
              <w:pStyle w:val="TableText"/>
              <w:jc w:val="both"/>
              <w:rPr>
                <w:rtl/>
              </w:rPr>
            </w:pPr>
          </w:p>
        </w:tc>
        <w:tc>
          <w:tcPr>
            <w:tcW w:w="7143" w:type="dxa"/>
            <w:gridSpan w:val="6"/>
          </w:tcPr>
          <w:p w14:paraId="035AF148" w14:textId="77777777" w:rsidR="008E065A" w:rsidRDefault="008E065A" w:rsidP="008E065A">
            <w:pPr>
              <w:pStyle w:val="TableBlock"/>
              <w:rPr>
                <w:rtl/>
              </w:rPr>
            </w:pPr>
            <w:r>
              <w:rPr>
                <w:rFonts w:hint="cs"/>
                <w:rtl/>
              </w:rPr>
              <w:t>(1)</w:t>
            </w:r>
            <w:r>
              <w:rPr>
                <w:rtl/>
              </w:rPr>
              <w:tab/>
            </w:r>
            <w:r>
              <w:rPr>
                <w:rFonts w:hint="cs"/>
                <w:rtl/>
              </w:rPr>
              <w:t>בפסקה (1), בסופה יבוא "והשמות של בא כוחה וממלא מקומו יהיו, לעניין חוק זה, כפי שנקבעו לפי סעיף 14 לחוק המימון אם נקבעו.";</w:t>
            </w:r>
          </w:p>
        </w:tc>
      </w:tr>
      <w:tr w:rsidR="008E065A" w14:paraId="46FF77BC" w14:textId="77777777" w:rsidTr="008E065A">
        <w:tblPrEx>
          <w:tblLook w:val="01E0" w:firstRow="1" w:lastRow="1" w:firstColumn="1" w:lastColumn="1" w:noHBand="0" w:noVBand="0"/>
        </w:tblPrEx>
        <w:trPr>
          <w:cantSplit/>
        </w:trPr>
        <w:tc>
          <w:tcPr>
            <w:tcW w:w="1871" w:type="dxa"/>
          </w:tcPr>
          <w:p w14:paraId="035668A0" w14:textId="77777777" w:rsidR="008E065A" w:rsidRPr="008E065A" w:rsidRDefault="008E065A" w:rsidP="008E065A">
            <w:pPr>
              <w:pStyle w:val="TableSideHeading"/>
              <w:outlineLvl w:val="9"/>
              <w:rPr>
                <w:rtl/>
              </w:rPr>
            </w:pPr>
          </w:p>
        </w:tc>
        <w:tc>
          <w:tcPr>
            <w:tcW w:w="624" w:type="dxa"/>
          </w:tcPr>
          <w:p w14:paraId="24F869FD" w14:textId="77777777" w:rsidR="008E065A" w:rsidRPr="008E065A" w:rsidRDefault="008E065A" w:rsidP="008E065A">
            <w:pPr>
              <w:pStyle w:val="TableText"/>
              <w:jc w:val="both"/>
              <w:rPr>
                <w:rtl/>
              </w:rPr>
            </w:pPr>
          </w:p>
        </w:tc>
        <w:tc>
          <w:tcPr>
            <w:tcW w:w="7143" w:type="dxa"/>
            <w:gridSpan w:val="6"/>
          </w:tcPr>
          <w:p w14:paraId="6906DAA9" w14:textId="77777777" w:rsidR="008E065A" w:rsidRDefault="008E065A" w:rsidP="008E065A">
            <w:pPr>
              <w:pStyle w:val="TableBlock"/>
              <w:rPr>
                <w:rtl/>
              </w:rPr>
            </w:pPr>
            <w:r>
              <w:rPr>
                <w:rFonts w:hint="cs"/>
                <w:rtl/>
              </w:rPr>
              <w:t>(2)</w:t>
            </w:r>
            <w:r>
              <w:rPr>
                <w:rtl/>
              </w:rPr>
              <w:tab/>
            </w:r>
            <w:r>
              <w:rPr>
                <w:rFonts w:hint="cs"/>
                <w:rtl/>
              </w:rPr>
              <w:t>בפסקה (2), במקום "</w:t>
            </w:r>
            <w:r w:rsidRPr="00EE434E">
              <w:rPr>
                <w:rtl/>
              </w:rPr>
              <w:t>תקבע את בא-כוחה ואת ממלא מקומו ורשאית היא לקבוע</w:t>
            </w:r>
            <w:r w:rsidRPr="00EE434E">
              <w:rPr>
                <w:rFonts w:hint="cs"/>
                <w:rtl/>
              </w:rPr>
              <w:t>" יבוא "רשאית לקבוע"</w:t>
            </w:r>
            <w:r>
              <w:rPr>
                <w:rFonts w:hint="cs"/>
                <w:rtl/>
              </w:rPr>
              <w:t>;</w:t>
            </w:r>
          </w:p>
        </w:tc>
      </w:tr>
      <w:tr w:rsidR="008E065A" w14:paraId="73154C57" w14:textId="77777777" w:rsidTr="008E065A">
        <w:tblPrEx>
          <w:tblLook w:val="01E0" w:firstRow="1" w:lastRow="1" w:firstColumn="1" w:lastColumn="1" w:noHBand="0" w:noVBand="0"/>
        </w:tblPrEx>
        <w:trPr>
          <w:cantSplit/>
        </w:trPr>
        <w:tc>
          <w:tcPr>
            <w:tcW w:w="1871" w:type="dxa"/>
          </w:tcPr>
          <w:p w14:paraId="51A1482E" w14:textId="77777777" w:rsidR="008E065A" w:rsidRPr="008E065A" w:rsidRDefault="008E065A" w:rsidP="008E065A">
            <w:pPr>
              <w:pStyle w:val="TableSideHeading"/>
              <w:outlineLvl w:val="9"/>
              <w:rPr>
                <w:rtl/>
              </w:rPr>
            </w:pPr>
          </w:p>
        </w:tc>
        <w:tc>
          <w:tcPr>
            <w:tcW w:w="624" w:type="dxa"/>
          </w:tcPr>
          <w:p w14:paraId="335AE13B" w14:textId="77777777" w:rsidR="008E065A" w:rsidRPr="008E065A" w:rsidRDefault="008E065A" w:rsidP="008E065A">
            <w:pPr>
              <w:pStyle w:val="TableText"/>
              <w:jc w:val="both"/>
              <w:rPr>
                <w:rtl/>
              </w:rPr>
            </w:pPr>
          </w:p>
        </w:tc>
        <w:tc>
          <w:tcPr>
            <w:tcW w:w="7143" w:type="dxa"/>
            <w:gridSpan w:val="6"/>
          </w:tcPr>
          <w:p w14:paraId="407F6A14" w14:textId="77777777" w:rsidR="008E065A" w:rsidRDefault="008E065A" w:rsidP="008E065A">
            <w:pPr>
              <w:pStyle w:val="TableBlock"/>
              <w:rPr>
                <w:rtl/>
              </w:rPr>
            </w:pPr>
            <w:r>
              <w:rPr>
                <w:rFonts w:hint="cs"/>
                <w:rtl/>
              </w:rPr>
              <w:t>(3)</w:t>
            </w:r>
            <w:r>
              <w:rPr>
                <w:rtl/>
              </w:rPr>
              <w:tab/>
            </w:r>
            <w:r>
              <w:rPr>
                <w:rFonts w:hint="cs"/>
                <w:rtl/>
              </w:rPr>
              <w:t xml:space="preserve">בפסקה (3), במקום "קביעותיה" יבוא "קביעתה", </w:t>
            </w:r>
            <w:proofErr w:type="spellStart"/>
            <w:r>
              <w:rPr>
                <w:rFonts w:hint="cs"/>
                <w:rtl/>
              </w:rPr>
              <w:t>והסיפה</w:t>
            </w:r>
            <w:proofErr w:type="spellEnd"/>
            <w:r>
              <w:rPr>
                <w:rFonts w:hint="cs"/>
                <w:rtl/>
              </w:rPr>
              <w:t xml:space="preserve"> החל במילים "אם מצא" </w:t>
            </w:r>
            <w:r>
              <w:rPr>
                <w:rtl/>
              </w:rPr>
              <w:t>–</w:t>
            </w:r>
            <w:r>
              <w:rPr>
                <w:rFonts w:hint="cs"/>
                <w:rtl/>
              </w:rPr>
              <w:t xml:space="preserve"> תימחק.</w:t>
            </w:r>
          </w:p>
        </w:tc>
      </w:tr>
      <w:tr w:rsidR="008E065A" w14:paraId="2AFDF4A3" w14:textId="77777777" w:rsidTr="008E065A">
        <w:tblPrEx>
          <w:tblLook w:val="01E0" w:firstRow="1" w:lastRow="1" w:firstColumn="1" w:lastColumn="1" w:noHBand="0" w:noVBand="0"/>
        </w:tblPrEx>
        <w:trPr>
          <w:cantSplit/>
        </w:trPr>
        <w:tc>
          <w:tcPr>
            <w:tcW w:w="1871" w:type="dxa"/>
          </w:tcPr>
          <w:p w14:paraId="131EA5F6" w14:textId="77777777" w:rsidR="004B57C4" w:rsidRDefault="008E065A" w:rsidP="006A2677">
            <w:pPr>
              <w:pStyle w:val="TableSideHeading"/>
              <w:rPr>
                <w:sz w:val="26"/>
                <w:rtl/>
              </w:rPr>
            </w:pPr>
            <w:r w:rsidRPr="00281291">
              <w:rPr>
                <w:rFonts w:hint="cs"/>
                <w:sz w:val="26"/>
                <w:rtl/>
              </w:rPr>
              <w:t xml:space="preserve">תיקון חוק </w:t>
            </w:r>
          </w:p>
          <w:p w14:paraId="19D187B1" w14:textId="77777777" w:rsidR="008E065A" w:rsidRPr="00281291" w:rsidRDefault="008E065A" w:rsidP="006A2677">
            <w:pPr>
              <w:pStyle w:val="TableSideHeading"/>
              <w:rPr>
                <w:sz w:val="26"/>
                <w:rtl/>
              </w:rPr>
            </w:pPr>
            <w:bookmarkStart w:id="5" w:name="_GoBack"/>
            <w:bookmarkEnd w:id="5"/>
            <w:r w:rsidRPr="00281291">
              <w:rPr>
                <w:rFonts w:hint="cs"/>
                <w:sz w:val="26"/>
                <w:rtl/>
              </w:rPr>
              <w:t>הכנסת</w:t>
            </w:r>
            <w:r>
              <w:rPr>
                <w:rFonts w:hint="cs"/>
                <w:sz w:val="26"/>
                <w:rtl/>
              </w:rPr>
              <w:t xml:space="preserve"> </w:t>
            </w:r>
            <w:r>
              <w:rPr>
                <w:sz w:val="26"/>
                <w:rtl/>
              </w:rPr>
              <w:t>–</w:t>
            </w:r>
            <w:r>
              <w:rPr>
                <w:rFonts w:hint="cs"/>
                <w:sz w:val="26"/>
                <w:rtl/>
              </w:rPr>
              <w:t xml:space="preserve"> מס' 46</w:t>
            </w:r>
          </w:p>
        </w:tc>
        <w:tc>
          <w:tcPr>
            <w:tcW w:w="624" w:type="dxa"/>
          </w:tcPr>
          <w:p w14:paraId="164F430E" w14:textId="77777777" w:rsidR="008E065A" w:rsidRDefault="008E065A" w:rsidP="006A2677">
            <w:pPr>
              <w:pStyle w:val="TableText"/>
            </w:pPr>
            <w:r>
              <w:rPr>
                <w:rFonts w:hint="cs"/>
                <w:rtl/>
              </w:rPr>
              <w:t>12.</w:t>
            </w:r>
          </w:p>
        </w:tc>
        <w:tc>
          <w:tcPr>
            <w:tcW w:w="7143" w:type="dxa"/>
            <w:gridSpan w:val="6"/>
          </w:tcPr>
          <w:p w14:paraId="79CC3AF0" w14:textId="77777777" w:rsidR="008E065A" w:rsidRDefault="008E065A" w:rsidP="008E065A">
            <w:pPr>
              <w:pStyle w:val="TableBlock"/>
              <w:rPr>
                <w:rtl/>
              </w:rPr>
            </w:pPr>
            <w:r>
              <w:rPr>
                <w:rFonts w:hint="cs"/>
                <w:rtl/>
              </w:rPr>
              <w:t xml:space="preserve">בחוק הכנסת, </w:t>
            </w:r>
            <w:proofErr w:type="spellStart"/>
            <w:r>
              <w:rPr>
                <w:rFonts w:hint="cs"/>
                <w:rtl/>
              </w:rPr>
              <w:t>התשנ"ד</w:t>
            </w:r>
            <w:proofErr w:type="spellEnd"/>
            <w:r>
              <w:rPr>
                <w:rFonts w:hint="eastAsia"/>
                <w:rtl/>
              </w:rPr>
              <w:t>–</w:t>
            </w:r>
            <w:r>
              <w:rPr>
                <w:rFonts w:hint="cs"/>
                <w:rtl/>
              </w:rPr>
              <w:t>1994</w:t>
            </w:r>
            <w:r w:rsidRPr="008E065A">
              <w:rPr>
                <w:rStyle w:val="a8"/>
                <w:rFonts w:ascii="David" w:hAnsi="David"/>
                <w:sz w:val="26"/>
                <w:rtl/>
              </w:rPr>
              <w:footnoteReference w:id="6"/>
            </w:r>
            <w:r>
              <w:rPr>
                <w:rFonts w:hint="cs"/>
                <w:rtl/>
              </w:rPr>
              <w:t xml:space="preserve">, בסעיף 59(2), המילים "בציון ההשתייכות של המועמדים" </w:t>
            </w:r>
            <w:r>
              <w:rPr>
                <w:rtl/>
              </w:rPr>
              <w:t>–</w:t>
            </w:r>
            <w:r>
              <w:rPr>
                <w:rFonts w:hint="cs"/>
                <w:rtl/>
              </w:rPr>
              <w:t xml:space="preserve"> יימחקו.</w:t>
            </w:r>
          </w:p>
        </w:tc>
      </w:tr>
    </w:tbl>
    <w:p w14:paraId="6B9ED6F9" w14:textId="77777777" w:rsidR="008525E2" w:rsidRPr="00E125CC" w:rsidRDefault="008525E2" w:rsidP="00D114CA">
      <w:pPr>
        <w:pStyle w:val="Noparagraphstyle"/>
        <w:spacing w:after="1200"/>
        <w:rPr>
          <w:sz w:val="26"/>
          <w:rtl/>
        </w:rPr>
      </w:pPr>
    </w:p>
    <w:tbl>
      <w:tblPr>
        <w:bidiVisual/>
        <w:tblW w:w="9639" w:type="dxa"/>
        <w:tblLook w:val="00A0" w:firstRow="1" w:lastRow="0" w:firstColumn="1" w:lastColumn="0" w:noHBand="0" w:noVBand="0"/>
      </w:tblPr>
      <w:tblGrid>
        <w:gridCol w:w="2409"/>
        <w:gridCol w:w="2410"/>
        <w:gridCol w:w="2410"/>
        <w:gridCol w:w="2410"/>
      </w:tblGrid>
      <w:tr w:rsidR="008E065A" w:rsidRPr="00D466D4" w14:paraId="41286E72" w14:textId="77777777" w:rsidTr="00562A29">
        <w:tc>
          <w:tcPr>
            <w:tcW w:w="2409" w:type="dxa"/>
            <w:shd w:val="clear" w:color="auto" w:fill="auto"/>
          </w:tcPr>
          <w:p w14:paraId="47A9EC6B" w14:textId="77777777" w:rsidR="008E065A" w:rsidRPr="00D466D4" w:rsidRDefault="008E065A" w:rsidP="006F3CC7">
            <w:pPr>
              <w:jc w:val="center"/>
              <w:rPr>
                <w:sz w:val="26"/>
                <w:szCs w:val="26"/>
                <w:rtl/>
              </w:rPr>
            </w:pPr>
          </w:p>
        </w:tc>
        <w:tc>
          <w:tcPr>
            <w:tcW w:w="4820" w:type="dxa"/>
            <w:gridSpan w:val="2"/>
            <w:shd w:val="clear" w:color="auto" w:fill="auto"/>
          </w:tcPr>
          <w:p w14:paraId="5CDF9651" w14:textId="77777777" w:rsidR="008E065A" w:rsidRPr="00D466D4" w:rsidRDefault="008E065A" w:rsidP="006F3CC7">
            <w:pPr>
              <w:jc w:val="center"/>
              <w:rPr>
                <w:sz w:val="26"/>
                <w:szCs w:val="26"/>
                <w:rtl/>
              </w:rPr>
            </w:pPr>
            <w:bookmarkStart w:id="6" w:name="PrimeMinistryName"/>
            <w:r>
              <w:rPr>
                <w:rFonts w:hint="cs"/>
                <w:sz w:val="26"/>
                <w:szCs w:val="26"/>
                <w:rtl/>
              </w:rPr>
              <w:t>בנימין נתניהו</w:t>
            </w:r>
            <w:bookmarkEnd w:id="6"/>
          </w:p>
          <w:p w14:paraId="08968C47" w14:textId="77777777" w:rsidR="008E065A" w:rsidRPr="00D466D4" w:rsidRDefault="008E065A" w:rsidP="006F3CC7">
            <w:pPr>
              <w:jc w:val="center"/>
              <w:rPr>
                <w:sz w:val="26"/>
                <w:szCs w:val="26"/>
                <w:rtl/>
              </w:rPr>
            </w:pPr>
            <w:r w:rsidRPr="00D466D4">
              <w:rPr>
                <w:rFonts w:hint="cs"/>
                <w:sz w:val="26"/>
                <w:szCs w:val="26"/>
                <w:rtl/>
              </w:rPr>
              <w:t>ראש הממשלה</w:t>
            </w:r>
          </w:p>
        </w:tc>
        <w:tc>
          <w:tcPr>
            <w:tcW w:w="2410" w:type="dxa"/>
            <w:shd w:val="clear" w:color="auto" w:fill="auto"/>
          </w:tcPr>
          <w:p w14:paraId="12903405" w14:textId="77777777" w:rsidR="008E065A" w:rsidRPr="00D466D4" w:rsidRDefault="008E065A" w:rsidP="006F3CC7">
            <w:pPr>
              <w:jc w:val="center"/>
              <w:rPr>
                <w:sz w:val="26"/>
                <w:szCs w:val="26"/>
                <w:rtl/>
              </w:rPr>
            </w:pPr>
          </w:p>
        </w:tc>
      </w:tr>
      <w:tr w:rsidR="008525E2" w:rsidRPr="00D466D4" w14:paraId="6AE784FF" w14:textId="77777777" w:rsidTr="00D114CA">
        <w:tc>
          <w:tcPr>
            <w:tcW w:w="2409" w:type="dxa"/>
            <w:shd w:val="clear" w:color="auto" w:fill="auto"/>
          </w:tcPr>
          <w:p w14:paraId="4721E1F5" w14:textId="77777777" w:rsidR="008525E2" w:rsidRPr="00D466D4" w:rsidRDefault="008525E2" w:rsidP="006F3CC7">
            <w:pPr>
              <w:jc w:val="center"/>
              <w:rPr>
                <w:sz w:val="26"/>
                <w:szCs w:val="26"/>
                <w:rtl/>
              </w:rPr>
            </w:pPr>
          </w:p>
          <w:p w14:paraId="79E645F9" w14:textId="77777777" w:rsidR="008525E2" w:rsidRPr="00D466D4" w:rsidRDefault="008525E2" w:rsidP="006F3CC7">
            <w:pPr>
              <w:jc w:val="center"/>
              <w:rPr>
                <w:sz w:val="26"/>
                <w:szCs w:val="26"/>
                <w:rtl/>
              </w:rPr>
            </w:pPr>
          </w:p>
        </w:tc>
        <w:tc>
          <w:tcPr>
            <w:tcW w:w="2410" w:type="dxa"/>
            <w:shd w:val="clear" w:color="auto" w:fill="auto"/>
          </w:tcPr>
          <w:p w14:paraId="121756B9" w14:textId="77777777" w:rsidR="008525E2" w:rsidRPr="00D466D4" w:rsidRDefault="008525E2" w:rsidP="006F3CC7">
            <w:pPr>
              <w:jc w:val="center"/>
              <w:rPr>
                <w:sz w:val="26"/>
                <w:szCs w:val="26"/>
                <w:rtl/>
              </w:rPr>
            </w:pPr>
          </w:p>
        </w:tc>
        <w:tc>
          <w:tcPr>
            <w:tcW w:w="2410" w:type="dxa"/>
            <w:shd w:val="clear" w:color="auto" w:fill="auto"/>
          </w:tcPr>
          <w:p w14:paraId="2466B506" w14:textId="77777777" w:rsidR="008525E2" w:rsidRPr="00D466D4" w:rsidRDefault="008525E2" w:rsidP="006F3CC7">
            <w:pPr>
              <w:jc w:val="center"/>
              <w:rPr>
                <w:sz w:val="26"/>
                <w:szCs w:val="26"/>
                <w:rtl/>
              </w:rPr>
            </w:pPr>
          </w:p>
        </w:tc>
        <w:tc>
          <w:tcPr>
            <w:tcW w:w="2410" w:type="dxa"/>
            <w:shd w:val="clear" w:color="auto" w:fill="auto"/>
          </w:tcPr>
          <w:p w14:paraId="133B7B67" w14:textId="77777777" w:rsidR="008525E2" w:rsidRPr="00D466D4" w:rsidRDefault="008525E2" w:rsidP="006F3CC7">
            <w:pPr>
              <w:jc w:val="center"/>
              <w:rPr>
                <w:sz w:val="26"/>
                <w:szCs w:val="26"/>
                <w:rtl/>
              </w:rPr>
            </w:pPr>
          </w:p>
          <w:p w14:paraId="6BF9D82F" w14:textId="77777777" w:rsidR="008525E2" w:rsidRPr="00D466D4" w:rsidRDefault="008525E2" w:rsidP="006F3CC7">
            <w:pPr>
              <w:jc w:val="center"/>
              <w:rPr>
                <w:sz w:val="26"/>
                <w:szCs w:val="26"/>
                <w:rtl/>
              </w:rPr>
            </w:pPr>
          </w:p>
        </w:tc>
      </w:tr>
      <w:tr w:rsidR="008E065A" w:rsidRPr="00D466D4" w14:paraId="2D1E6357" w14:textId="77777777" w:rsidTr="006F235F">
        <w:tc>
          <w:tcPr>
            <w:tcW w:w="4819" w:type="dxa"/>
            <w:gridSpan w:val="2"/>
            <w:shd w:val="clear" w:color="auto" w:fill="auto"/>
          </w:tcPr>
          <w:p w14:paraId="4EE629A4" w14:textId="77777777" w:rsidR="008E065A" w:rsidRPr="00D466D4" w:rsidRDefault="008E065A" w:rsidP="006F3CC7">
            <w:pPr>
              <w:jc w:val="center"/>
              <w:rPr>
                <w:sz w:val="26"/>
                <w:szCs w:val="26"/>
                <w:rtl/>
              </w:rPr>
            </w:pPr>
            <w:r w:rsidRPr="003710E7">
              <w:rPr>
                <w:rFonts w:hint="cs"/>
                <w:sz w:val="26"/>
                <w:szCs w:val="26"/>
                <w:rtl/>
              </w:rPr>
              <w:t>ראובן ריבלין</w:t>
            </w:r>
          </w:p>
          <w:p w14:paraId="6ED84DEB" w14:textId="77777777" w:rsidR="008E065A" w:rsidRPr="00D466D4" w:rsidRDefault="008E065A" w:rsidP="006F3CC7">
            <w:pPr>
              <w:jc w:val="center"/>
              <w:rPr>
                <w:sz w:val="26"/>
                <w:szCs w:val="26"/>
                <w:rtl/>
              </w:rPr>
            </w:pPr>
            <w:r w:rsidRPr="00D466D4">
              <w:rPr>
                <w:rFonts w:hint="cs"/>
                <w:sz w:val="26"/>
                <w:szCs w:val="26"/>
                <w:rtl/>
              </w:rPr>
              <w:t>נשיא המדינה</w:t>
            </w:r>
          </w:p>
        </w:tc>
        <w:tc>
          <w:tcPr>
            <w:tcW w:w="4820" w:type="dxa"/>
            <w:gridSpan w:val="2"/>
            <w:shd w:val="clear" w:color="auto" w:fill="auto"/>
          </w:tcPr>
          <w:p w14:paraId="7B322C4D" w14:textId="77777777" w:rsidR="008E065A" w:rsidRPr="00D466D4" w:rsidRDefault="008E065A" w:rsidP="006F3CC7">
            <w:pPr>
              <w:jc w:val="center"/>
              <w:rPr>
                <w:sz w:val="26"/>
                <w:szCs w:val="26"/>
                <w:rtl/>
              </w:rPr>
            </w:pPr>
            <w:bookmarkStart w:id="7" w:name="HeadKnessetName"/>
            <w:r>
              <w:rPr>
                <w:rFonts w:hint="cs"/>
                <w:sz w:val="26"/>
                <w:szCs w:val="26"/>
                <w:rtl/>
              </w:rPr>
              <w:t>יולי יואל אדלשטיין</w:t>
            </w:r>
            <w:bookmarkEnd w:id="7"/>
          </w:p>
          <w:p w14:paraId="4EDA7098" w14:textId="77777777" w:rsidR="008E065A" w:rsidRPr="00D466D4" w:rsidRDefault="008E065A" w:rsidP="006F3CC7">
            <w:pPr>
              <w:jc w:val="center"/>
              <w:rPr>
                <w:sz w:val="26"/>
                <w:szCs w:val="26"/>
                <w:rtl/>
              </w:rPr>
            </w:pPr>
            <w:r w:rsidRPr="00D466D4">
              <w:rPr>
                <w:rFonts w:hint="cs"/>
                <w:sz w:val="26"/>
                <w:szCs w:val="26"/>
                <w:rtl/>
              </w:rPr>
              <w:t>יושב ראש הכנסת</w:t>
            </w:r>
          </w:p>
        </w:tc>
      </w:tr>
    </w:tbl>
    <w:p w14:paraId="01D5DE92" w14:textId="77777777" w:rsidR="002137F8" w:rsidRPr="008525E2" w:rsidRDefault="002137F8" w:rsidP="00D114CA">
      <w:pPr>
        <w:rPr>
          <w:rtl/>
        </w:rPr>
      </w:pPr>
    </w:p>
    <w:sectPr w:rsidR="002137F8" w:rsidRPr="008525E2" w:rsidSect="008E065A">
      <w:headerReference w:type="even" r:id="rId14"/>
      <w:headerReference w:type="default" r:id="rId15"/>
      <w:footerReference w:type="even" r:id="rId16"/>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DE5EB" w14:textId="77777777" w:rsidR="00AC209E" w:rsidRDefault="00AC209E" w:rsidP="00B416AF">
      <w:pPr>
        <w:pStyle w:val="HeadHatzaotHok"/>
      </w:pPr>
      <w:r>
        <w:separator/>
      </w:r>
    </w:p>
  </w:endnote>
  <w:endnote w:type="continuationSeparator" w:id="0">
    <w:p w14:paraId="78DAD2BB" w14:textId="77777777" w:rsidR="00AC209E" w:rsidRDefault="00AC209E"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3F909"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572582B8"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188C0" w14:textId="77777777" w:rsidR="00AC209E" w:rsidRDefault="00AC209E" w:rsidP="008E065A">
      <w:pPr>
        <w:pStyle w:val="HeadHatzaotHok"/>
        <w:spacing w:before="0"/>
        <w:ind w:left="0"/>
        <w:jc w:val="left"/>
      </w:pPr>
      <w:r>
        <w:separator/>
      </w:r>
    </w:p>
  </w:footnote>
  <w:footnote w:type="continuationSeparator" w:id="0">
    <w:p w14:paraId="03F580FC" w14:textId="77777777" w:rsidR="00AC209E" w:rsidRPr="00696C5E" w:rsidRDefault="00AC209E" w:rsidP="00696C5E">
      <w:pPr>
        <w:pStyle w:val="HeadHatzaotHok"/>
        <w:spacing w:before="0"/>
        <w:jc w:val="left"/>
      </w:pPr>
      <w:r>
        <w:separator/>
      </w:r>
    </w:p>
  </w:footnote>
  <w:footnote w:id="1">
    <w:p w14:paraId="66930EF7" w14:textId="77777777" w:rsidR="008525E2" w:rsidRDefault="008525E2" w:rsidP="0024044E">
      <w:pPr>
        <w:pStyle w:val="a9"/>
        <w:rPr>
          <w:rtl/>
        </w:rPr>
      </w:pPr>
      <w:r>
        <w:rPr>
          <w:rStyle w:val="a8"/>
        </w:rPr>
        <w:t>*</w:t>
      </w:r>
      <w:r>
        <w:rPr>
          <w:rFonts w:hint="cs"/>
          <w:rtl/>
        </w:rPr>
        <w:t xml:space="preserve"> התקבל בכנסת ביום</w:t>
      </w:r>
      <w:r w:rsidR="008E065A">
        <w:rPr>
          <w:rFonts w:hint="cs"/>
          <w:rtl/>
        </w:rPr>
        <w:t xml:space="preserve"> י"ב בתמוז </w:t>
      </w:r>
      <w:proofErr w:type="spellStart"/>
      <w:r w:rsidR="008E065A">
        <w:rPr>
          <w:rFonts w:hint="cs"/>
          <w:rtl/>
        </w:rPr>
        <w:t>התשע"ח</w:t>
      </w:r>
      <w:proofErr w:type="spellEnd"/>
      <w:r w:rsidR="008E065A">
        <w:rPr>
          <w:rFonts w:hint="cs"/>
          <w:rtl/>
        </w:rPr>
        <w:t xml:space="preserve"> (25 ביוני 2018)</w:t>
      </w:r>
      <w:r>
        <w:rPr>
          <w:rFonts w:hint="cs"/>
          <w:rtl/>
        </w:rPr>
        <w:t xml:space="preserve">; הצעת החוק ודברי הסבר פורסמו בהצעות חוק </w:t>
      </w:r>
      <w:bookmarkStart w:id="1" w:name="LGSType"/>
      <w:r>
        <w:rPr>
          <w:rFonts w:hint="cs"/>
          <w:rtl/>
        </w:rPr>
        <w:t>הכנסת</w:t>
      </w:r>
      <w:bookmarkEnd w:id="1"/>
      <w:r>
        <w:rPr>
          <w:rFonts w:hint="cs"/>
          <w:rtl/>
        </w:rPr>
        <w:t xml:space="preserve"> </w:t>
      </w:r>
      <w:r>
        <w:rPr>
          <w:rFonts w:hint="eastAsia"/>
          <w:rtl/>
        </w:rPr>
        <w:t>–</w:t>
      </w:r>
      <w:r>
        <w:rPr>
          <w:rFonts w:hint="cs"/>
          <w:rtl/>
        </w:rPr>
        <w:t xml:space="preserve"> </w:t>
      </w:r>
      <w:bookmarkStart w:id="2" w:name="LGSNum"/>
      <w:r>
        <w:rPr>
          <w:rFonts w:hint="cs"/>
          <w:rtl/>
        </w:rPr>
        <w:t>737</w:t>
      </w:r>
      <w:bookmarkEnd w:id="2"/>
      <w:r>
        <w:rPr>
          <w:rFonts w:hint="eastAsia"/>
          <w:rtl/>
        </w:rPr>
        <w:t xml:space="preserve">, מיום </w:t>
      </w:r>
      <w:bookmarkStart w:id="3" w:name="HebDate"/>
      <w:r w:rsidR="008E065A">
        <w:rPr>
          <w:rFonts w:hint="cs"/>
          <w:rtl/>
        </w:rPr>
        <w:t xml:space="preserve">י"א בחשוון </w:t>
      </w:r>
      <w:proofErr w:type="spellStart"/>
      <w:r w:rsidR="008E065A">
        <w:rPr>
          <w:rFonts w:hint="cs"/>
          <w:rtl/>
        </w:rPr>
        <w:t>התשע"ח</w:t>
      </w:r>
      <w:bookmarkEnd w:id="3"/>
      <w:proofErr w:type="spellEnd"/>
      <w:r w:rsidRPr="00827E61">
        <w:rPr>
          <w:rFonts w:hint="cs"/>
          <w:rtl/>
        </w:rPr>
        <w:t xml:space="preserve"> (</w:t>
      </w:r>
      <w:bookmarkStart w:id="4" w:name="EngDate"/>
      <w:r w:rsidR="008E065A">
        <w:rPr>
          <w:rFonts w:hint="cs"/>
          <w:rtl/>
        </w:rPr>
        <w:t>31 באוקטובר 2017</w:t>
      </w:r>
      <w:bookmarkEnd w:id="4"/>
      <w:r w:rsidRPr="00827E61">
        <w:rPr>
          <w:rFonts w:hint="cs"/>
          <w:rtl/>
        </w:rPr>
        <w:t>), עמ'</w:t>
      </w:r>
      <w:r w:rsidR="008E065A">
        <w:rPr>
          <w:rFonts w:hint="cs"/>
          <w:rtl/>
        </w:rPr>
        <w:t xml:space="preserve"> 10.</w:t>
      </w:r>
    </w:p>
  </w:footnote>
  <w:footnote w:id="2">
    <w:p w14:paraId="32B2046E" w14:textId="77777777" w:rsidR="008E065A" w:rsidRDefault="008E065A" w:rsidP="008E065A">
      <w:pPr>
        <w:pStyle w:val="a9"/>
        <w:rPr>
          <w:rtl/>
        </w:rPr>
      </w:pPr>
      <w:r>
        <w:rPr>
          <w:rStyle w:val="a8"/>
        </w:rPr>
        <w:footnoteRef/>
      </w:r>
      <w:r>
        <w:rPr>
          <w:rtl/>
        </w:rPr>
        <w:t xml:space="preserve"> </w:t>
      </w:r>
      <w:r>
        <w:rPr>
          <w:rFonts w:hint="eastAsia"/>
          <w:rtl/>
        </w:rPr>
        <w:t>ס</w:t>
      </w:r>
      <w:r>
        <w:rPr>
          <w:rtl/>
        </w:rPr>
        <w:t xml:space="preserve">"ח </w:t>
      </w:r>
      <w:proofErr w:type="spellStart"/>
      <w:r>
        <w:rPr>
          <w:rtl/>
        </w:rPr>
        <w:t>התשל"ג</w:t>
      </w:r>
      <w:proofErr w:type="spellEnd"/>
      <w:r>
        <w:rPr>
          <w:rtl/>
        </w:rPr>
        <w:t>, עמ' 5</w:t>
      </w:r>
      <w:r w:rsidRPr="00AA55BB">
        <w:rPr>
          <w:rtl/>
        </w:rPr>
        <w:t xml:space="preserve">2; </w:t>
      </w:r>
      <w:proofErr w:type="spellStart"/>
      <w:r w:rsidRPr="00AA55BB">
        <w:rPr>
          <w:rtl/>
        </w:rPr>
        <w:t>התשע"ז</w:t>
      </w:r>
      <w:proofErr w:type="spellEnd"/>
      <w:r w:rsidRPr="00AA55BB">
        <w:rPr>
          <w:rtl/>
        </w:rPr>
        <w:t>, עמ' 520.</w:t>
      </w:r>
    </w:p>
  </w:footnote>
  <w:footnote w:id="3">
    <w:p w14:paraId="7260BC9C" w14:textId="77777777" w:rsidR="008E065A" w:rsidRDefault="008E065A" w:rsidP="008E065A">
      <w:pPr>
        <w:pStyle w:val="a9"/>
        <w:rPr>
          <w:rtl/>
        </w:rPr>
      </w:pPr>
      <w:r>
        <w:rPr>
          <w:rStyle w:val="a8"/>
        </w:rPr>
        <w:footnoteRef/>
      </w:r>
      <w:r>
        <w:rPr>
          <w:rtl/>
        </w:rPr>
        <w:t xml:space="preserve"> </w:t>
      </w:r>
      <w:r>
        <w:rPr>
          <w:rFonts w:hint="cs"/>
          <w:rtl/>
        </w:rPr>
        <w:t xml:space="preserve">ס"ח </w:t>
      </w:r>
      <w:proofErr w:type="spellStart"/>
      <w:r>
        <w:rPr>
          <w:rFonts w:hint="cs"/>
          <w:rtl/>
        </w:rPr>
        <w:t>התשכ"ט</w:t>
      </w:r>
      <w:proofErr w:type="spellEnd"/>
      <w:r>
        <w:rPr>
          <w:rFonts w:hint="cs"/>
          <w:rtl/>
        </w:rPr>
        <w:t xml:space="preserve">, עמ' 103; </w:t>
      </w:r>
      <w:proofErr w:type="spellStart"/>
      <w:r>
        <w:rPr>
          <w:rFonts w:hint="cs"/>
          <w:rtl/>
        </w:rPr>
        <w:t>התשע"ח</w:t>
      </w:r>
      <w:proofErr w:type="spellEnd"/>
      <w:r>
        <w:rPr>
          <w:rFonts w:hint="cs"/>
          <w:rtl/>
        </w:rPr>
        <w:t>, עמ' 426.</w:t>
      </w:r>
    </w:p>
  </w:footnote>
  <w:footnote w:id="4">
    <w:p w14:paraId="0430A5E9" w14:textId="77777777" w:rsidR="008E065A" w:rsidRDefault="008E065A" w:rsidP="008E065A">
      <w:pPr>
        <w:pStyle w:val="a9"/>
        <w:rPr>
          <w:rtl/>
        </w:rPr>
      </w:pPr>
      <w:r>
        <w:rPr>
          <w:rStyle w:val="a8"/>
        </w:rPr>
        <w:footnoteRef/>
      </w:r>
      <w:r>
        <w:rPr>
          <w:rtl/>
        </w:rPr>
        <w:t xml:space="preserve"> </w:t>
      </w:r>
      <w:r>
        <w:rPr>
          <w:rFonts w:hint="cs"/>
          <w:rtl/>
        </w:rPr>
        <w:t xml:space="preserve">ס"ח </w:t>
      </w:r>
      <w:proofErr w:type="spellStart"/>
      <w:r>
        <w:rPr>
          <w:rFonts w:hint="cs"/>
          <w:rtl/>
        </w:rPr>
        <w:t>התשנ"ד</w:t>
      </w:r>
      <w:proofErr w:type="spellEnd"/>
      <w:r>
        <w:rPr>
          <w:rFonts w:hint="cs"/>
          <w:rtl/>
        </w:rPr>
        <w:t>, עמ' 140.</w:t>
      </w:r>
    </w:p>
  </w:footnote>
  <w:footnote w:id="5">
    <w:p w14:paraId="59598B39" w14:textId="77777777" w:rsidR="008E065A" w:rsidRDefault="008E065A" w:rsidP="008E065A">
      <w:pPr>
        <w:pStyle w:val="a9"/>
      </w:pPr>
      <w:r>
        <w:rPr>
          <w:rStyle w:val="a8"/>
        </w:rPr>
        <w:footnoteRef/>
      </w:r>
      <w:r>
        <w:rPr>
          <w:rtl/>
        </w:rPr>
        <w:t xml:space="preserve"> </w:t>
      </w:r>
      <w:r>
        <w:rPr>
          <w:rFonts w:hint="cs"/>
          <w:rtl/>
        </w:rPr>
        <w:t xml:space="preserve">ס"ח </w:t>
      </w:r>
      <w:proofErr w:type="spellStart"/>
      <w:r>
        <w:rPr>
          <w:rFonts w:hint="cs"/>
          <w:rtl/>
        </w:rPr>
        <w:t>התשכ"ה</w:t>
      </w:r>
      <w:proofErr w:type="spellEnd"/>
      <w:r>
        <w:rPr>
          <w:rFonts w:hint="cs"/>
          <w:rtl/>
        </w:rPr>
        <w:t xml:space="preserve">, עמ' 248; </w:t>
      </w:r>
      <w:proofErr w:type="spellStart"/>
      <w:r>
        <w:rPr>
          <w:rFonts w:hint="cs"/>
          <w:rtl/>
        </w:rPr>
        <w:t>התשע"ח</w:t>
      </w:r>
      <w:proofErr w:type="spellEnd"/>
      <w:r>
        <w:rPr>
          <w:rFonts w:hint="cs"/>
          <w:rtl/>
        </w:rPr>
        <w:t>, עמ' 672.</w:t>
      </w:r>
    </w:p>
  </w:footnote>
  <w:footnote w:id="6">
    <w:p w14:paraId="5B3EF0A8" w14:textId="77777777" w:rsidR="008E065A" w:rsidRDefault="008E065A" w:rsidP="008E065A">
      <w:pPr>
        <w:pStyle w:val="a9"/>
        <w:rPr>
          <w:rtl/>
        </w:rPr>
      </w:pPr>
      <w:r>
        <w:rPr>
          <w:rStyle w:val="a8"/>
        </w:rPr>
        <w:footnoteRef/>
      </w:r>
      <w:r>
        <w:rPr>
          <w:rtl/>
        </w:rPr>
        <w:t xml:space="preserve"> </w:t>
      </w:r>
      <w:r>
        <w:rPr>
          <w:rFonts w:hint="cs"/>
          <w:rtl/>
        </w:rPr>
        <w:t xml:space="preserve">ס"ח </w:t>
      </w:r>
      <w:proofErr w:type="spellStart"/>
      <w:r>
        <w:rPr>
          <w:rFonts w:hint="cs"/>
          <w:rtl/>
        </w:rPr>
        <w:t>התשנ"ד</w:t>
      </w:r>
      <w:proofErr w:type="spellEnd"/>
      <w:r>
        <w:rPr>
          <w:rFonts w:hint="cs"/>
          <w:rtl/>
        </w:rPr>
        <w:t xml:space="preserve">, עמ' 140; </w:t>
      </w:r>
      <w:proofErr w:type="spellStart"/>
      <w:r>
        <w:rPr>
          <w:rFonts w:hint="cs"/>
          <w:rtl/>
        </w:rPr>
        <w:t>התשע"ח</w:t>
      </w:r>
      <w:proofErr w:type="spellEnd"/>
      <w:r>
        <w:rPr>
          <w:rFonts w:hint="cs"/>
          <w:rtl/>
        </w:rPr>
        <w:t>, עמ' 693.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4D0AF"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2996A5F6"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02D62" w14:textId="77777777" w:rsidR="002137F8" w:rsidRPr="00E125CC" w:rsidRDefault="002137F8">
    <w:pPr>
      <w:pStyle w:val="ab"/>
      <w:framePr w:wrap="around" w:vAnchor="text" w:hAnchor="margin" w:xAlign="center" w:y="1"/>
      <w:rPr>
        <w:rStyle w:val="ac"/>
        <w:rtl/>
      </w:rPr>
    </w:pPr>
    <w:r>
      <w:rPr>
        <w:rStyle w:val="ac"/>
        <w:rFonts w:hint="cs"/>
        <w:rtl/>
      </w:rPr>
      <w:t xml:space="preserve">- </w:t>
    </w:r>
    <w:r w:rsidRPr="00E125CC">
      <w:rPr>
        <w:rStyle w:val="ac"/>
        <w:rtl/>
      </w:rPr>
      <w:fldChar w:fldCharType="begin"/>
    </w:r>
    <w:r w:rsidRPr="00E125CC">
      <w:rPr>
        <w:rStyle w:val="ac"/>
      </w:rPr>
      <w:instrText xml:space="preserve">PAGE  </w:instrText>
    </w:r>
    <w:r w:rsidRPr="00E125CC">
      <w:rPr>
        <w:rStyle w:val="ac"/>
        <w:rtl/>
      </w:rPr>
      <w:fldChar w:fldCharType="separate"/>
    </w:r>
    <w:r w:rsidR="004B57C4">
      <w:rPr>
        <w:rStyle w:val="ac"/>
        <w:noProof/>
        <w:rtl/>
      </w:rPr>
      <w:t>8</w:t>
    </w:r>
    <w:r w:rsidRPr="00E125CC">
      <w:rPr>
        <w:rStyle w:val="ac"/>
        <w:rtl/>
      </w:rPr>
      <w:fldChar w:fldCharType="end"/>
    </w:r>
    <w:r>
      <w:rPr>
        <w:rStyle w:val="ac"/>
        <w:rFonts w:hint="cs"/>
        <w:rtl/>
      </w:rPr>
      <w:t xml:space="preserve"> -</w:t>
    </w:r>
  </w:p>
  <w:p w14:paraId="6E49E390"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12"/>
  </w:num>
  <w:num w:numId="5">
    <w:abstractNumId w:val="15"/>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4044E"/>
    <w:rsid w:val="00280B87"/>
    <w:rsid w:val="002C4285"/>
    <w:rsid w:val="002C440E"/>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B57C4"/>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8E065A"/>
    <w:rsid w:val="009579F7"/>
    <w:rsid w:val="009B1679"/>
    <w:rsid w:val="009C37CC"/>
    <w:rsid w:val="009C7FC7"/>
    <w:rsid w:val="009E19BF"/>
    <w:rsid w:val="009F0EF8"/>
    <w:rsid w:val="009F1621"/>
    <w:rsid w:val="00A03A03"/>
    <w:rsid w:val="00A15945"/>
    <w:rsid w:val="00A54DE5"/>
    <w:rsid w:val="00A9474C"/>
    <w:rsid w:val="00AA5399"/>
    <w:rsid w:val="00AC209E"/>
    <w:rsid w:val="00AC4CCE"/>
    <w:rsid w:val="00B16515"/>
    <w:rsid w:val="00B416AF"/>
    <w:rsid w:val="00B4412A"/>
    <w:rsid w:val="00B6418A"/>
    <w:rsid w:val="00B90E4C"/>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114CA"/>
    <w:rsid w:val="00D24673"/>
    <w:rsid w:val="00D4588A"/>
    <w:rsid w:val="00D82284"/>
    <w:rsid w:val="00D92FDC"/>
    <w:rsid w:val="00D9552D"/>
    <w:rsid w:val="00DD65EA"/>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0EB06"/>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65A"/>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E065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E065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E065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E065A"/>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E065A"/>
    <w:pPr>
      <w:spacing w:line="259" w:lineRule="auto"/>
      <w:outlineLvl w:val="4"/>
    </w:pPr>
    <w:rPr>
      <w:color w:val="000000" w:themeColor="text1"/>
    </w:rPr>
  </w:style>
  <w:style w:type="character" w:default="1" w:styleId="a0">
    <w:name w:val="Default Paragraph Font"/>
    <w:uiPriority w:val="1"/>
    <w:semiHidden/>
    <w:unhideWhenUsed/>
    <w:rsid w:val="008E065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E065A"/>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8E065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E065A"/>
    <w:rPr>
      <w:sz w:val="36"/>
      <w:szCs w:val="52"/>
    </w:rPr>
  </w:style>
  <w:style w:type="paragraph" w:customStyle="1" w:styleId="Cover3-Haknesset">
    <w:name w:val="Cover 3-Haknesset"/>
    <w:basedOn w:val="Cover1-Reshumot"/>
    <w:rsid w:val="008E065A"/>
    <w:rPr>
      <w:b/>
      <w:bCs/>
      <w:spacing w:val="60"/>
    </w:rPr>
  </w:style>
  <w:style w:type="paragraph" w:customStyle="1" w:styleId="Cover4-Date">
    <w:name w:val="Cover 4-Date"/>
    <w:basedOn w:val="a"/>
    <w:rsid w:val="008E065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5">
    <w:name w:val="endnote reference"/>
    <w:basedOn w:val="a0"/>
    <w:semiHidden/>
    <w:rsid w:val="008E065A"/>
    <w:rPr>
      <w:vertAlign w:val="superscript"/>
    </w:rPr>
  </w:style>
  <w:style w:type="paragraph" w:customStyle="1" w:styleId="Ragil">
    <w:name w:val="Ragil"/>
    <w:basedOn w:val="a"/>
    <w:rsid w:val="008E065A"/>
    <w:pPr>
      <w:snapToGrid w:val="0"/>
      <w:jc w:val="left"/>
    </w:pPr>
    <w:rPr>
      <w:rFonts w:ascii="Arial" w:eastAsia="Arial Unicode MS" w:hAnsi="Arial"/>
      <w:snapToGrid w:val="0"/>
      <w:sz w:val="20"/>
      <w:szCs w:val="26"/>
    </w:rPr>
  </w:style>
  <w:style w:type="paragraph" w:styleId="a6">
    <w:name w:val="endnote text"/>
    <w:basedOn w:val="a"/>
    <w:semiHidden/>
    <w:rsid w:val="008E065A"/>
    <w:pPr>
      <w:ind w:left="227" w:hanging="227"/>
    </w:pPr>
    <w:rPr>
      <w:sz w:val="14"/>
      <w:szCs w:val="22"/>
    </w:rPr>
  </w:style>
  <w:style w:type="paragraph" w:styleId="a7">
    <w:name w:val="footer"/>
    <w:basedOn w:val="a"/>
    <w:rsid w:val="008E065A"/>
    <w:pPr>
      <w:tabs>
        <w:tab w:val="center" w:pos="4153"/>
        <w:tab w:val="right" w:pos="8306"/>
      </w:tabs>
    </w:pPr>
  </w:style>
  <w:style w:type="character" w:styleId="a8">
    <w:name w:val="footnote reference"/>
    <w:aliases w:val="Footnote Reference"/>
    <w:basedOn w:val="a0"/>
    <w:rsid w:val="008E065A"/>
    <w:rPr>
      <w:vertAlign w:val="superscript"/>
    </w:rPr>
  </w:style>
  <w:style w:type="paragraph" w:styleId="a9">
    <w:name w:val="footnote text"/>
    <w:basedOn w:val="a"/>
    <w:link w:val="aa"/>
    <w:autoRedefine/>
    <w:rsid w:val="008E065A"/>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8E065A"/>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8E065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E065A"/>
    <w:pPr>
      <w:spacing w:before="120" w:after="120"/>
    </w:pPr>
    <w:rPr>
      <w:color w:val="FF0000"/>
      <w:w w:val="80"/>
    </w:rPr>
  </w:style>
  <w:style w:type="paragraph" w:customStyle="1" w:styleId="HeadMitparsemetBaze">
    <w:name w:val="Head MitparsemetBaze"/>
    <w:basedOn w:val="a"/>
    <w:rsid w:val="008E065A"/>
    <w:pPr>
      <w:keepNext/>
      <w:keepLines/>
      <w:pageBreakBefore/>
      <w:snapToGrid w:val="0"/>
      <w:spacing w:before="480"/>
    </w:pPr>
    <w:rPr>
      <w:rFonts w:ascii="Arial" w:eastAsia="Arial Unicode MS" w:hAnsi="Arial"/>
      <w:b/>
      <w:bCs/>
      <w:snapToGrid w:val="0"/>
      <w:sz w:val="20"/>
      <w:szCs w:val="26"/>
    </w:rPr>
  </w:style>
  <w:style w:type="paragraph" w:styleId="ab">
    <w:name w:val="header"/>
    <w:basedOn w:val="a"/>
    <w:rsid w:val="008E065A"/>
    <w:pPr>
      <w:tabs>
        <w:tab w:val="center" w:pos="4153"/>
        <w:tab w:val="right" w:pos="8306"/>
      </w:tabs>
    </w:pPr>
  </w:style>
  <w:style w:type="paragraph" w:customStyle="1" w:styleId="Hesber">
    <w:name w:val="Hesber"/>
    <w:basedOn w:val="a"/>
    <w:rsid w:val="008E065A"/>
    <w:pPr>
      <w:snapToGrid w:val="0"/>
      <w:ind w:left="0" w:firstLine="340"/>
    </w:pPr>
    <w:rPr>
      <w:rFonts w:ascii="Arial" w:eastAsia="Arial Unicode MS" w:hAnsi="Arial"/>
      <w:snapToGrid w:val="0"/>
      <w:sz w:val="20"/>
      <w:szCs w:val="26"/>
    </w:rPr>
  </w:style>
  <w:style w:type="paragraph" w:customStyle="1" w:styleId="Hesber1st">
    <w:name w:val="Hesber 1st"/>
    <w:basedOn w:val="Hesber"/>
    <w:rsid w:val="008E065A"/>
    <w:pPr>
      <w:tabs>
        <w:tab w:val="left" w:pos="680"/>
        <w:tab w:val="left" w:pos="1020"/>
      </w:tabs>
      <w:ind w:firstLine="0"/>
    </w:pPr>
  </w:style>
  <w:style w:type="paragraph" w:customStyle="1" w:styleId="HesberHeading">
    <w:name w:val="Hesber Heading"/>
    <w:basedOn w:val="Hesber"/>
    <w:rsid w:val="008E065A"/>
    <w:pPr>
      <w:tabs>
        <w:tab w:val="left" w:pos="624"/>
        <w:tab w:val="left" w:pos="1247"/>
      </w:tabs>
    </w:pPr>
    <w:rPr>
      <w:b/>
      <w:bCs/>
    </w:rPr>
  </w:style>
  <w:style w:type="paragraph" w:customStyle="1" w:styleId="HesberWriters">
    <w:name w:val="Hesber Writers"/>
    <w:basedOn w:val="Hesber"/>
    <w:rsid w:val="008E065A"/>
    <w:pPr>
      <w:spacing w:before="120" w:after="120"/>
      <w:ind w:left="1418"/>
      <w:jc w:val="right"/>
    </w:pPr>
    <w:rPr>
      <w:b/>
      <w:bCs/>
    </w:rPr>
  </w:style>
  <w:style w:type="character" w:styleId="Hyperlink">
    <w:name w:val="Hyperlink"/>
    <w:basedOn w:val="a0"/>
    <w:uiPriority w:val="99"/>
    <w:unhideWhenUsed/>
    <w:rsid w:val="008E065A"/>
    <w:rPr>
      <w:color w:val="0563C1" w:themeColor="hyperlink"/>
      <w:u w:val="single"/>
    </w:rPr>
  </w:style>
  <w:style w:type="character" w:styleId="ac">
    <w:name w:val="page number"/>
    <w:basedOn w:val="a0"/>
    <w:rsid w:val="008E065A"/>
  </w:style>
  <w:style w:type="paragraph" w:customStyle="1" w:styleId="TableText">
    <w:name w:val="Table Text"/>
    <w:basedOn w:val="a"/>
    <w:rsid w:val="008E065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8E065A"/>
    <w:pPr>
      <w:jc w:val="both"/>
    </w:pPr>
  </w:style>
  <w:style w:type="paragraph" w:customStyle="1" w:styleId="TableBlockOutdent">
    <w:name w:val="Table BlockOutdent"/>
    <w:basedOn w:val="TableBlock"/>
    <w:rsid w:val="008E065A"/>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8E065A"/>
    <w:pPr>
      <w:jc w:val="center"/>
      <w:outlineLvl w:val="1"/>
    </w:pPr>
    <w:rPr>
      <w:b/>
      <w:bCs/>
    </w:rPr>
  </w:style>
  <w:style w:type="paragraph" w:customStyle="1" w:styleId="TableSideHeading">
    <w:name w:val="Table SideHeading"/>
    <w:basedOn w:val="TableText"/>
    <w:rsid w:val="008E065A"/>
    <w:pPr>
      <w:outlineLvl w:val="2"/>
    </w:pPr>
  </w:style>
  <w:style w:type="paragraph" w:customStyle="1" w:styleId="TableInnerSideHeading">
    <w:name w:val="Table InnerSideHeading"/>
    <w:basedOn w:val="TableSideHeading"/>
    <w:rsid w:val="008E065A"/>
    <w:pPr>
      <w:outlineLvl w:val="9"/>
    </w:pPr>
  </w:style>
  <w:style w:type="paragraph" w:customStyle="1" w:styleId="TableText2">
    <w:name w:val="Table Text2"/>
    <w:basedOn w:val="TableText"/>
    <w:rsid w:val="009579F7"/>
  </w:style>
  <w:style w:type="paragraph" w:styleId="ad">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a">
    <w:name w:val="טקסט הערת שוליים תו"/>
    <w:link w:val="a9"/>
    <w:rsid w:val="008525E2"/>
    <w:rPr>
      <w:rFonts w:ascii="Arial" w:eastAsia="Arial Unicode MS" w:hAnsi="Arial" w:cs="David"/>
      <w:snapToGrid w:val="0"/>
      <w:sz w:val="14"/>
    </w:rPr>
  </w:style>
  <w:style w:type="paragraph" w:styleId="ae">
    <w:name w:val="Balloon Text"/>
    <w:basedOn w:val="a"/>
    <w:link w:val="af"/>
    <w:rsid w:val="0024044E"/>
    <w:pPr>
      <w:spacing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 w:type="character" w:customStyle="1" w:styleId="30">
    <w:name w:val="כותרת 3 תו"/>
    <w:basedOn w:val="a0"/>
    <w:link w:val="3"/>
    <w:rsid w:val="008E065A"/>
    <w:rPr>
      <w:rFonts w:asciiTheme="majorHAnsi" w:eastAsiaTheme="majorEastAsia" w:hAnsiTheme="majorHAnsi" w:cs="David"/>
      <w:sz w:val="24"/>
      <w:szCs w:val="28"/>
      <w:u w:val="double"/>
    </w:rPr>
  </w:style>
  <w:style w:type="character" w:customStyle="1" w:styleId="40">
    <w:name w:val="כותרת 4 תו"/>
    <w:basedOn w:val="a0"/>
    <w:link w:val="4"/>
    <w:uiPriority w:val="9"/>
    <w:rsid w:val="008E065A"/>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E065A"/>
    <w:rPr>
      <w:rFonts w:ascii="David" w:eastAsiaTheme="minorHAnsi" w:hAnsi="David" w:cs="David"/>
      <w:color w:val="000000" w:themeColor="text1"/>
      <w:sz w:val="24"/>
      <w:szCs w:val="24"/>
    </w:rPr>
  </w:style>
  <w:style w:type="character" w:customStyle="1" w:styleId="10">
    <w:name w:val="כותרת 1 תו"/>
    <w:basedOn w:val="a0"/>
    <w:link w:val="1"/>
    <w:uiPriority w:val="9"/>
    <w:rsid w:val="008E065A"/>
    <w:rPr>
      <w:rFonts w:asciiTheme="majorHAnsi" w:eastAsiaTheme="majorEastAsia" w:hAnsiTheme="majorHAnsi" w:cs="David"/>
      <w:bCs/>
      <w:sz w:val="32"/>
      <w:szCs w:val="36"/>
    </w:rPr>
  </w:style>
  <w:style w:type="paragraph" w:styleId="af0">
    <w:name w:val="TOC Heading"/>
    <w:basedOn w:val="1"/>
    <w:next w:val="a"/>
    <w:uiPriority w:val="39"/>
    <w:unhideWhenUsed/>
    <w:qFormat/>
    <w:rsid w:val="008E065A"/>
    <w:pPr>
      <w:widowControl/>
      <w:spacing w:before="120" w:after="120"/>
      <w:outlineLvl w:val="9"/>
    </w:pPr>
    <w:rPr>
      <w:rtl/>
      <w:cs/>
    </w:rPr>
  </w:style>
  <w:style w:type="paragraph" w:styleId="TOC1">
    <w:name w:val="toc 1"/>
    <w:basedOn w:val="a"/>
    <w:next w:val="a"/>
    <w:autoRedefine/>
    <w:uiPriority w:val="39"/>
    <w:unhideWhenUsed/>
    <w:rsid w:val="008E065A"/>
    <w:pPr>
      <w:tabs>
        <w:tab w:val="right" w:leader="dot" w:pos="9629"/>
      </w:tabs>
      <w:spacing w:after="100"/>
    </w:pPr>
    <w:rPr>
      <w:bCs/>
      <w:szCs w:val="22"/>
    </w:rPr>
  </w:style>
  <w:style w:type="paragraph" w:styleId="TOC2">
    <w:name w:val="toc 2"/>
    <w:basedOn w:val="a"/>
    <w:next w:val="a"/>
    <w:uiPriority w:val="39"/>
    <w:unhideWhenUsed/>
    <w:rsid w:val="008E065A"/>
    <w:pPr>
      <w:tabs>
        <w:tab w:val="right" w:leader="dot" w:pos="9628"/>
      </w:tabs>
      <w:spacing w:after="100"/>
    </w:pPr>
    <w:rPr>
      <w:szCs w:val="22"/>
    </w:rPr>
  </w:style>
  <w:style w:type="paragraph" w:styleId="TOC3">
    <w:name w:val="toc 3"/>
    <w:basedOn w:val="a"/>
    <w:next w:val="a"/>
    <w:uiPriority w:val="39"/>
    <w:unhideWhenUsed/>
    <w:rsid w:val="008E065A"/>
    <w:pPr>
      <w:tabs>
        <w:tab w:val="right" w:leader="dot" w:pos="9629"/>
      </w:tabs>
      <w:spacing w:after="100"/>
      <w:ind w:left="567"/>
    </w:pPr>
    <w:rPr>
      <w:szCs w:val="22"/>
    </w:rPr>
  </w:style>
  <w:style w:type="paragraph" w:styleId="TOC4">
    <w:name w:val="toc 4"/>
    <w:basedOn w:val="a"/>
    <w:next w:val="a"/>
    <w:autoRedefine/>
    <w:unhideWhenUsed/>
    <w:qFormat/>
    <w:rsid w:val="008E065A"/>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E065A"/>
    <w:pPr>
      <w:tabs>
        <w:tab w:val="right" w:leader="dot" w:pos="9628"/>
      </w:tabs>
      <w:spacing w:after="100"/>
      <w:ind w:left="567"/>
    </w:pPr>
    <w:rPr>
      <w:szCs w:val="22"/>
    </w:rPr>
  </w:style>
  <w:style w:type="paragraph" w:styleId="TOC6">
    <w:name w:val="toc 6"/>
    <w:basedOn w:val="a"/>
    <w:next w:val="a"/>
    <w:autoRedefine/>
    <w:semiHidden/>
    <w:unhideWhenUsed/>
    <w:rsid w:val="008E065A"/>
    <w:pPr>
      <w:spacing w:after="100"/>
      <w:ind w:left="850"/>
    </w:pPr>
  </w:style>
  <w:style w:type="paragraph" w:styleId="TOC7">
    <w:name w:val="toc 7"/>
    <w:basedOn w:val="a"/>
    <w:next w:val="a"/>
    <w:autoRedefine/>
    <w:semiHidden/>
    <w:unhideWhenUsed/>
    <w:rsid w:val="008E065A"/>
    <w:pPr>
      <w:spacing w:after="100"/>
      <w:ind w:left="1020"/>
    </w:pPr>
  </w:style>
  <w:style w:type="paragraph" w:styleId="TOC8">
    <w:name w:val="toc 8"/>
    <w:basedOn w:val="a"/>
    <w:next w:val="a"/>
    <w:autoRedefine/>
    <w:semiHidden/>
    <w:unhideWhenUsed/>
    <w:rsid w:val="008E065A"/>
    <w:pPr>
      <w:spacing w:after="100"/>
      <w:ind w:left="1190"/>
    </w:pPr>
  </w:style>
  <w:style w:type="paragraph" w:styleId="TOC9">
    <w:name w:val="toc 9"/>
    <w:basedOn w:val="a"/>
    <w:next w:val="a"/>
    <w:autoRedefine/>
    <w:semiHidden/>
    <w:unhideWhenUsed/>
    <w:rsid w:val="008E065A"/>
    <w:pPr>
      <w:spacing w:after="100"/>
      <w:ind w:left="1360"/>
    </w:pPr>
  </w:style>
  <w:style w:type="character" w:customStyle="1" w:styleId="20">
    <w:name w:val="כותרת 2 תו"/>
    <w:basedOn w:val="a0"/>
    <w:link w:val="2"/>
    <w:rsid w:val="008E065A"/>
    <w:rPr>
      <w:rFonts w:asciiTheme="majorHAnsi" w:eastAsiaTheme="majorEastAsia" w:hAnsiTheme="majorHAnsi" w:cs="David"/>
      <w:bCs/>
      <w:sz w:val="26"/>
      <w:szCs w:val="36"/>
      <w:u w:val="single"/>
    </w:rPr>
  </w:style>
  <w:style w:type="paragraph" w:customStyle="1" w:styleId="TableHead2">
    <w:name w:val="Table Head2"/>
    <w:basedOn w:val="TableHead"/>
    <w:qFormat/>
    <w:rsid w:val="008E065A"/>
    <w:pPr>
      <w:outlineLvl w:val="9"/>
    </w:pPr>
  </w:style>
  <w:style w:type="paragraph" w:customStyle="1" w:styleId="TableSideHeading2">
    <w:name w:val="Table SideHeading2"/>
    <w:basedOn w:val="TableSideHeading"/>
    <w:autoRedefine/>
    <w:qFormat/>
    <w:rsid w:val="008E065A"/>
    <w:pPr>
      <w:keepLines w:val="0"/>
      <w:outlineLvl w:val="9"/>
    </w:pPr>
  </w:style>
  <w:style w:type="paragraph" w:customStyle="1" w:styleId="0">
    <w:name w:val="סגנון שורה ראשונה:  0  ס''מ"/>
    <w:basedOn w:val="2"/>
    <w:rsid w:val="008E065A"/>
    <w:rPr>
      <w:rFonts w:eastAsia="Times New Roman"/>
    </w:rPr>
  </w:style>
  <w:style w:type="paragraph" w:styleId="af1">
    <w:name w:val="List Paragraph"/>
    <w:basedOn w:val="a"/>
    <w:uiPriority w:val="34"/>
    <w:qFormat/>
    <w:rsid w:val="008E065A"/>
    <w:pPr>
      <w:widowControl/>
      <w:spacing w:line="259" w:lineRule="auto"/>
    </w:pPr>
    <w:rPr>
      <w:rFonts w:asciiTheme="minorHAnsi" w:hAnsiTheme="minorHAnsi"/>
      <w:sz w:val="22"/>
    </w:rPr>
  </w:style>
  <w:style w:type="table" w:styleId="af2">
    <w:name w:val="Table Grid"/>
    <w:basedOn w:val="a1"/>
    <w:rsid w:val="008E065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8E065A"/>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8E065A"/>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3">
    <w:name w:val="טבלת חקיקה"/>
    <w:basedOn w:val="a1"/>
    <w:uiPriority w:val="99"/>
    <w:rsid w:val="008E065A"/>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8E065A"/>
    <w:rPr>
      <w:rFonts w:eastAsia="MS Mincho"/>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B95C-94DE-4C22-84E5-4BFDD2983F94}"/>
</file>

<file path=customXml/itemProps2.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3.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4.xml><?xml version="1.0" encoding="utf-8"?>
<ds:datastoreItem xmlns:ds="http://schemas.openxmlformats.org/officeDocument/2006/customXml" ds:itemID="{4BB05CBE-F70C-422F-B3DA-22423CB5D0E0}">
  <ds:schemaRefs>
    <ds:schemaRef ds:uri="http://schemas.microsoft.com/sharepoint/events"/>
  </ds:schemaRefs>
</ds:datastoreItem>
</file>

<file path=customXml/itemProps5.xml><?xml version="1.0" encoding="utf-8"?>
<ds:datastoreItem xmlns:ds="http://schemas.openxmlformats.org/officeDocument/2006/customXml" ds:itemID="{9AAD3E59-1685-4866-88AE-10917921A27A}">
  <ds:schemaRefs>
    <ds:schemaRef ds:uri="http://schemas.microsoft.com/office/2006/metadata/properties"/>
    <ds:schemaRef ds:uri="http://purl.org/dc/elements/1.1/"/>
    <ds:schemaRef ds:uri="e860c347-3c75-42f3-9b43-fe3c3ef9805f"/>
    <ds:schemaRef ds:uri="f380af25-22dd-4a89-bd18-c5bf793c562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8ce1d4b-e1f6-446e-84c0-71ee544e8fe0"/>
    <ds:schemaRef ds:uri="http://www.w3.org/XML/1998/namespace"/>
    <ds:schemaRef ds:uri="http://purl.org/dc/dcmitype/"/>
  </ds:schemaRefs>
</ds:datastoreItem>
</file>

<file path=customXml/itemProps6.xml><?xml version="1.0" encoding="utf-8"?>
<ds:datastoreItem xmlns:ds="http://schemas.openxmlformats.org/officeDocument/2006/customXml" ds:itemID="{3A5D4FCB-93F9-4D6A-A7EE-E590ED5F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1717</Words>
  <Characters>8419</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10116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4</cp:revision>
  <cp:lastPrinted>2018-06-26T09:40:00Z</cp:lastPrinted>
  <dcterms:created xsi:type="dcterms:W3CDTF">2018-06-18T13:53:00Z</dcterms:created>
  <dcterms:modified xsi:type="dcterms:W3CDTF">2018-06-26T09:41:00Z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aa16e74d-e415-4609-970f-0222046a64f9</vt:lpwstr>
  </property>
  <property fmtid="{D5CDD505-2E9C-101B-9397-08002B2CF9AE}" pid="20" name="_docset_NoMedatataSyncRequired">
    <vt:lpwstr>False</vt:lpwstr>
  </property>
  <property fmtid="{D5CDD505-2E9C-101B-9397-08002B2CF9AE}" pid="21" name="SanhedrinItemID">
    <vt:r8>2025535</vt:r8>
  </property>
  <property fmtid="{D5CDD505-2E9C-101B-9397-08002B2CF9AE}" pid="22" name="SanhedrinDocumentType">
    <vt:r8>42</vt:r8>
  </property>
</Properties>
</file>