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F6499" w14:textId="77777777" w:rsidR="008525E2" w:rsidRDefault="00C7276B" w:rsidP="008525E2">
      <w:pPr>
        <w:jc w:val="center"/>
        <w:rPr>
          <w:b/>
          <w:bCs/>
          <w:sz w:val="28"/>
          <w:szCs w:val="28"/>
          <w:rtl/>
        </w:rPr>
      </w:pPr>
      <w:r>
        <w:rPr>
          <w:noProof/>
        </w:rPr>
        <w:drawing>
          <wp:inline distT="0" distB="0" distL="0" distR="0" wp14:anchorId="30AF5BCC" wp14:editId="52616C43">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57532250" w14:textId="77777777" w:rsidR="008525E2" w:rsidRDefault="008525E2" w:rsidP="00656E7E">
      <w:pPr>
        <w:spacing w:line="240" w:lineRule="auto"/>
        <w:jc w:val="center"/>
        <w:rPr>
          <w:b/>
          <w:bCs/>
          <w:sz w:val="28"/>
          <w:szCs w:val="28"/>
          <w:rtl/>
        </w:rPr>
      </w:pPr>
      <w:bookmarkStart w:id="0" w:name="_GoBack"/>
    </w:p>
    <w:p w14:paraId="2B584403" w14:textId="77777777" w:rsidR="00656E7E" w:rsidRDefault="00220CAF" w:rsidP="00656E7E">
      <w:pPr>
        <w:spacing w:line="240" w:lineRule="auto"/>
        <w:jc w:val="center"/>
        <w:rPr>
          <w:b/>
          <w:bCs/>
          <w:sz w:val="28"/>
          <w:szCs w:val="28"/>
          <w:rtl/>
        </w:rPr>
      </w:pPr>
      <w:bookmarkStart w:id="1" w:name="LGSName"/>
      <w:bookmarkEnd w:id="0"/>
      <w:r>
        <w:rPr>
          <w:rStyle w:val="HeadHatzaotHok0"/>
          <w:rFonts w:hint="cs"/>
          <w:rtl/>
        </w:rPr>
        <w:t xml:space="preserve">חוק הכניסה לישראל (תיקון מס' 32), </w:t>
      </w:r>
      <w:proofErr w:type="spellStart"/>
      <w:r>
        <w:rPr>
          <w:rStyle w:val="HeadHatzaotHok0"/>
          <w:rFonts w:hint="cs"/>
          <w:rtl/>
        </w:rPr>
        <w:t>התשע"ח</w:t>
      </w:r>
      <w:proofErr w:type="spellEnd"/>
      <w:r w:rsidR="00656E7E">
        <w:rPr>
          <w:rStyle w:val="HeadHatzaotHok0"/>
          <w:rFonts w:hint="eastAsia"/>
          <w:rtl/>
        </w:rPr>
        <w:t>–</w:t>
      </w:r>
      <w:r>
        <w:rPr>
          <w:rStyle w:val="HeadHatzaotHok0"/>
          <w:rFonts w:hint="cs"/>
          <w:rtl/>
        </w:rPr>
        <w:t>2018</w:t>
      </w:r>
      <w:bookmarkEnd w:id="1"/>
      <w:r w:rsidR="008525E2">
        <w:rPr>
          <w:rStyle w:val="a8"/>
          <w:b/>
          <w:bCs/>
          <w:sz w:val="28"/>
          <w:szCs w:val="28"/>
          <w:rtl/>
        </w:rPr>
        <w:footnoteReference w:customMarkFollows="1" w:id="1"/>
        <w:t>*</w:t>
      </w:r>
    </w:p>
    <w:p w14:paraId="7435DE9C" w14:textId="77777777" w:rsidR="00656E7E" w:rsidRDefault="00656E7E" w:rsidP="00656E7E">
      <w:pPr>
        <w:spacing w:line="240" w:lineRule="auto"/>
        <w:jc w:val="center"/>
        <w:rPr>
          <w:b/>
          <w:bCs/>
          <w:sz w:val="28"/>
          <w:szCs w:val="28"/>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5895"/>
      </w:tblGrid>
      <w:tr w:rsidR="00656E7E" w:rsidRPr="0025406C" w14:paraId="43C98401" w14:textId="77777777" w:rsidTr="00656E7E">
        <w:trPr>
          <w:cantSplit/>
        </w:trPr>
        <w:tc>
          <w:tcPr>
            <w:tcW w:w="1871" w:type="dxa"/>
            <w:shd w:val="clear" w:color="auto" w:fill="auto"/>
          </w:tcPr>
          <w:p w14:paraId="51A9F75D" w14:textId="77777777" w:rsidR="00656E7E" w:rsidRPr="0025406C" w:rsidRDefault="00656E7E" w:rsidP="008A13C5">
            <w:pPr>
              <w:pStyle w:val="TableSideHeading"/>
              <w:keepLines w:val="0"/>
              <w:ind w:right="-28"/>
              <w:rPr>
                <w:sz w:val="26"/>
                <w:rtl/>
              </w:rPr>
            </w:pPr>
            <w:r w:rsidRPr="0025406C">
              <w:rPr>
                <w:sz w:val="26"/>
                <w:rtl/>
              </w:rPr>
              <w:t>תיקון סעיף 3א</w:t>
            </w:r>
          </w:p>
        </w:tc>
        <w:tc>
          <w:tcPr>
            <w:tcW w:w="624" w:type="dxa"/>
            <w:shd w:val="clear" w:color="auto" w:fill="auto"/>
          </w:tcPr>
          <w:p w14:paraId="00838BD2" w14:textId="77777777" w:rsidR="00656E7E" w:rsidRPr="0025406C" w:rsidRDefault="00656E7E" w:rsidP="008A13C5">
            <w:pPr>
              <w:pStyle w:val="TableText"/>
              <w:keepLines w:val="0"/>
              <w:ind w:right="-28"/>
              <w:rPr>
                <w:sz w:val="26"/>
                <w:rtl/>
              </w:rPr>
            </w:pPr>
            <w:r w:rsidRPr="0025406C">
              <w:rPr>
                <w:sz w:val="26"/>
                <w:rtl/>
              </w:rPr>
              <w:t>1.</w:t>
            </w:r>
          </w:p>
        </w:tc>
        <w:tc>
          <w:tcPr>
            <w:tcW w:w="7143" w:type="dxa"/>
            <w:gridSpan w:val="3"/>
            <w:shd w:val="clear" w:color="auto" w:fill="auto"/>
          </w:tcPr>
          <w:p w14:paraId="5197B361" w14:textId="77777777" w:rsidR="00656E7E" w:rsidRPr="0025406C" w:rsidRDefault="00656E7E" w:rsidP="00656E7E">
            <w:pPr>
              <w:pStyle w:val="TableBlock"/>
              <w:rPr>
                <w:sz w:val="26"/>
                <w:rtl/>
              </w:rPr>
            </w:pPr>
            <w:r w:rsidRPr="0025406C">
              <w:rPr>
                <w:sz w:val="26"/>
                <w:rtl/>
              </w:rPr>
              <w:t xml:space="preserve">בחוק הכניסה לישראל, </w:t>
            </w:r>
            <w:proofErr w:type="spellStart"/>
            <w:r w:rsidRPr="0025406C">
              <w:rPr>
                <w:sz w:val="26"/>
                <w:rtl/>
              </w:rPr>
              <w:t>התשי"ב</w:t>
            </w:r>
            <w:proofErr w:type="spellEnd"/>
            <w:r w:rsidRPr="0025406C">
              <w:rPr>
                <w:sz w:val="26"/>
                <w:rtl/>
              </w:rPr>
              <w:t>–1952‏</w:t>
            </w:r>
            <w:r w:rsidRPr="00656E7E">
              <w:rPr>
                <w:rStyle w:val="a8"/>
                <w:rFonts w:ascii="David" w:hAnsi="David"/>
                <w:sz w:val="26"/>
                <w:rtl/>
              </w:rPr>
              <w:footnoteReference w:id="2"/>
            </w:r>
            <w:r w:rsidRPr="0025406C">
              <w:rPr>
                <w:sz w:val="26"/>
                <w:vertAlign w:val="superscript"/>
                <w:rtl/>
              </w:rPr>
              <w:t xml:space="preserve"> </w:t>
            </w:r>
            <w:r w:rsidRPr="0025406C">
              <w:rPr>
                <w:sz w:val="26"/>
                <w:rtl/>
              </w:rPr>
              <w:t xml:space="preserve">(להלן – החוק העיקרי), בסעיף 3א – </w:t>
            </w:r>
          </w:p>
        </w:tc>
      </w:tr>
      <w:tr w:rsidR="00656E7E" w:rsidRPr="0025406C" w14:paraId="1BF0F9B9" w14:textId="77777777" w:rsidTr="00656E7E">
        <w:trPr>
          <w:cantSplit/>
        </w:trPr>
        <w:tc>
          <w:tcPr>
            <w:tcW w:w="1871" w:type="dxa"/>
            <w:shd w:val="clear" w:color="auto" w:fill="auto"/>
          </w:tcPr>
          <w:p w14:paraId="24D9F1A8" w14:textId="77777777" w:rsidR="00656E7E" w:rsidRPr="0025406C" w:rsidRDefault="00656E7E" w:rsidP="008A13C5">
            <w:pPr>
              <w:pStyle w:val="TableSideHeading"/>
              <w:keepLines w:val="0"/>
              <w:ind w:right="-28"/>
              <w:rPr>
                <w:sz w:val="26"/>
                <w:rtl/>
              </w:rPr>
            </w:pPr>
          </w:p>
        </w:tc>
        <w:tc>
          <w:tcPr>
            <w:tcW w:w="624" w:type="dxa"/>
            <w:shd w:val="clear" w:color="auto" w:fill="auto"/>
          </w:tcPr>
          <w:p w14:paraId="581884F5" w14:textId="77777777" w:rsidR="00656E7E" w:rsidRPr="0025406C" w:rsidRDefault="00656E7E" w:rsidP="008A13C5">
            <w:pPr>
              <w:pStyle w:val="TableText"/>
              <w:keepLines w:val="0"/>
              <w:ind w:right="-28"/>
              <w:rPr>
                <w:sz w:val="26"/>
                <w:rtl/>
              </w:rPr>
            </w:pPr>
          </w:p>
        </w:tc>
        <w:tc>
          <w:tcPr>
            <w:tcW w:w="7143" w:type="dxa"/>
            <w:gridSpan w:val="3"/>
            <w:shd w:val="clear" w:color="auto" w:fill="auto"/>
          </w:tcPr>
          <w:p w14:paraId="3FB19D6B" w14:textId="77777777" w:rsidR="00656E7E" w:rsidRPr="0025406C" w:rsidRDefault="00656E7E" w:rsidP="00656E7E">
            <w:pPr>
              <w:pStyle w:val="TableBlock"/>
              <w:rPr>
                <w:sz w:val="26"/>
                <w:rtl/>
              </w:rPr>
            </w:pPr>
            <w:r w:rsidRPr="0025406C">
              <w:rPr>
                <w:sz w:val="26"/>
                <w:rtl/>
              </w:rPr>
              <w:t>(1)</w:t>
            </w:r>
            <w:r w:rsidRPr="0025406C">
              <w:rPr>
                <w:sz w:val="26"/>
                <w:rtl/>
              </w:rPr>
              <w:tab/>
              <w:t>בסעיף קטן (ב)(2), המילים "שאינו מועסק ואינו בעל ענין בחברה העוסקת בתיווך עובדים זרים או בהעסקתם</w:t>
            </w:r>
            <w:r>
              <w:rPr>
                <w:rFonts w:hint="cs"/>
                <w:sz w:val="26"/>
                <w:rtl/>
              </w:rPr>
              <w:t>,</w:t>
            </w:r>
            <w:r w:rsidRPr="0025406C">
              <w:rPr>
                <w:sz w:val="26"/>
                <w:rtl/>
              </w:rPr>
              <w:t xml:space="preserve">" – יימחקו, ובסופו יבוא "או עובד סוציאלי שיש לו שלוש שנות ותק לפחות והוא בעל תפקיד בכיר כהגדרתו בסעיף 62 לחוק שירות התעסוקה, </w:t>
            </w:r>
            <w:proofErr w:type="spellStart"/>
            <w:r w:rsidRPr="0025406C">
              <w:rPr>
                <w:sz w:val="26"/>
                <w:rtl/>
              </w:rPr>
              <w:t>התשי"ט</w:t>
            </w:r>
            <w:proofErr w:type="spellEnd"/>
            <w:r w:rsidRPr="0025406C">
              <w:rPr>
                <w:sz w:val="26"/>
                <w:rtl/>
              </w:rPr>
              <w:t>–1959, בלשכה פרטית בעלת היתר מיוחד לתיווך ולטיפול בעובדים זרים בענף הסיעוד לפי</w:t>
            </w:r>
            <w:r w:rsidRPr="0025406C">
              <w:rPr>
                <w:sz w:val="26"/>
                <w:rtl/>
              </w:rPr>
              <w:br/>
              <w:t>סעיף 65 לחוק האמור.";</w:t>
            </w:r>
          </w:p>
        </w:tc>
      </w:tr>
      <w:tr w:rsidR="00656E7E" w:rsidRPr="0025406C" w14:paraId="18184A4A" w14:textId="77777777" w:rsidTr="00656E7E">
        <w:trPr>
          <w:cantSplit/>
        </w:trPr>
        <w:tc>
          <w:tcPr>
            <w:tcW w:w="1871" w:type="dxa"/>
            <w:shd w:val="clear" w:color="auto" w:fill="auto"/>
          </w:tcPr>
          <w:p w14:paraId="06A8FE9C" w14:textId="77777777" w:rsidR="00656E7E" w:rsidRPr="0025406C" w:rsidRDefault="00656E7E" w:rsidP="008A13C5">
            <w:pPr>
              <w:pStyle w:val="TableSideHeading"/>
              <w:keepLines w:val="0"/>
              <w:ind w:right="-28"/>
              <w:rPr>
                <w:sz w:val="26"/>
                <w:rtl/>
              </w:rPr>
            </w:pPr>
          </w:p>
        </w:tc>
        <w:tc>
          <w:tcPr>
            <w:tcW w:w="624" w:type="dxa"/>
            <w:shd w:val="clear" w:color="auto" w:fill="auto"/>
          </w:tcPr>
          <w:p w14:paraId="1C3C5654" w14:textId="77777777" w:rsidR="00656E7E" w:rsidRPr="0025406C" w:rsidRDefault="00656E7E" w:rsidP="008A13C5">
            <w:pPr>
              <w:pStyle w:val="TableText"/>
              <w:keepLines w:val="0"/>
              <w:ind w:right="-28"/>
              <w:rPr>
                <w:sz w:val="26"/>
                <w:rtl/>
              </w:rPr>
            </w:pPr>
          </w:p>
        </w:tc>
        <w:tc>
          <w:tcPr>
            <w:tcW w:w="7143" w:type="dxa"/>
            <w:gridSpan w:val="3"/>
            <w:shd w:val="clear" w:color="auto" w:fill="auto"/>
          </w:tcPr>
          <w:p w14:paraId="51C89C12" w14:textId="77777777" w:rsidR="00656E7E" w:rsidRPr="0025406C" w:rsidRDefault="00656E7E" w:rsidP="00656E7E">
            <w:pPr>
              <w:pStyle w:val="TableBlock"/>
              <w:rPr>
                <w:sz w:val="26"/>
                <w:rtl/>
              </w:rPr>
            </w:pPr>
            <w:r w:rsidRPr="0025406C">
              <w:rPr>
                <w:sz w:val="26"/>
                <w:rtl/>
              </w:rPr>
              <w:t>(2)</w:t>
            </w:r>
            <w:r w:rsidRPr="0025406C">
              <w:rPr>
                <w:sz w:val="26"/>
                <w:rtl/>
              </w:rPr>
              <w:tab/>
              <w:t>בסעיף קטן (ב1), במקום פסקה (1) יבוא:</w:t>
            </w:r>
          </w:p>
        </w:tc>
      </w:tr>
      <w:tr w:rsidR="00656E7E" w:rsidRPr="0025406C" w14:paraId="7F95D971"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76E6B400"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0B9449E8"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52E3FDF4" w14:textId="77777777" w:rsidR="00656E7E" w:rsidRPr="0025406C" w:rsidRDefault="00656E7E" w:rsidP="008A13C5">
            <w:pPr>
              <w:pStyle w:val="TableText"/>
              <w:rPr>
                <w:sz w:val="26"/>
                <w:rtl/>
              </w:rPr>
            </w:pPr>
          </w:p>
        </w:tc>
        <w:tc>
          <w:tcPr>
            <w:tcW w:w="6519" w:type="dxa"/>
            <w:gridSpan w:val="2"/>
            <w:shd w:val="clear" w:color="auto" w:fill="auto"/>
            <w:tcMar>
              <w:top w:w="91" w:type="dxa"/>
              <w:left w:w="0" w:type="dxa"/>
              <w:bottom w:w="91" w:type="dxa"/>
              <w:right w:w="0" w:type="dxa"/>
            </w:tcMar>
          </w:tcPr>
          <w:p w14:paraId="0F926E15" w14:textId="77777777" w:rsidR="00656E7E" w:rsidRPr="0025406C" w:rsidRDefault="00656E7E" w:rsidP="00656E7E">
            <w:pPr>
              <w:pStyle w:val="TableBlock"/>
              <w:rPr>
                <w:sz w:val="26"/>
                <w:rtl/>
              </w:rPr>
            </w:pPr>
            <w:r w:rsidRPr="0025406C">
              <w:rPr>
                <w:sz w:val="26"/>
                <w:rtl/>
              </w:rPr>
              <w:t>"(1)</w:t>
            </w:r>
            <w:r w:rsidRPr="0025406C">
              <w:rPr>
                <w:sz w:val="26"/>
                <w:rtl/>
              </w:rPr>
              <w:tab/>
              <w:t xml:space="preserve">על אף האמור בסעיפים קטנים (א) ו-(ב), שר הפנים רשאי להאריך רישיון לישיבת ביקור לשם העסקה של עובד זר שחלפו 63 חודשים מיום כניסתו לישראל לראשונה באשרת עובד זמני בענף הסיעוד, לשם העסקתו במתן טיפול סיעודי למטופל בעל היתר להעסקת עובד זר לפי סעיף 1יג לחוק עובדים זרים (להלן – מטופל סיעודי), מטעמים הומניטריים מיוחדים וחריגים המתקיימים במטופל הסיעודי והקשורים למורכבות או לייחודיות הטיפול הסיעודי הנדרש לו או לנסיבות אישיות אחרות של המטופל, ובלבד </w:t>
            </w:r>
            <w:r w:rsidRPr="001D4422">
              <w:rPr>
                <w:rFonts w:hint="cs"/>
                <w:sz w:val="26"/>
                <w:rtl/>
              </w:rPr>
              <w:t xml:space="preserve">שבמועד הגשת הבקשה לא </w:t>
            </w:r>
            <w:r>
              <w:rPr>
                <w:rFonts w:hint="cs"/>
                <w:sz w:val="26"/>
                <w:rtl/>
              </w:rPr>
              <w:t>חלפו</w:t>
            </w:r>
            <w:r w:rsidRPr="001D4422">
              <w:rPr>
                <w:rFonts w:hint="cs"/>
                <w:sz w:val="26"/>
                <w:rtl/>
              </w:rPr>
              <w:t xml:space="preserve"> </w:t>
            </w:r>
            <w:r>
              <w:rPr>
                <w:rFonts w:hint="cs"/>
                <w:sz w:val="26"/>
                <w:rtl/>
              </w:rPr>
              <w:t>למעלה מ-</w:t>
            </w:r>
            <w:r w:rsidRPr="001D4422">
              <w:rPr>
                <w:rFonts w:hint="cs"/>
                <w:sz w:val="26"/>
                <w:rtl/>
              </w:rPr>
              <w:t>90 ימים מיום סיום תקופת העסקתו החוקית האחרונה בישראל של</w:t>
            </w:r>
            <w:r>
              <w:rPr>
                <w:rFonts w:hint="cs"/>
                <w:sz w:val="26"/>
                <w:rtl/>
              </w:rPr>
              <w:t xml:space="preserve"> </w:t>
            </w:r>
            <w:r w:rsidRPr="0025406C">
              <w:rPr>
                <w:sz w:val="26"/>
                <w:rtl/>
              </w:rPr>
              <w:t>העובד הזר שמבקשים להאריך את רישיונו והתקיימו לגביו תנאים אלה:</w:t>
            </w:r>
          </w:p>
        </w:tc>
      </w:tr>
      <w:tr w:rsidR="00656E7E" w:rsidRPr="0025406C" w14:paraId="4FF0C732"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32C3BEA2"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1A752CFD"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1C4B9B1D"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1B8A59AA" w14:textId="77777777" w:rsidR="00656E7E" w:rsidRPr="0025406C" w:rsidRDefault="00656E7E" w:rsidP="008A13C5">
            <w:pPr>
              <w:pStyle w:val="TableText"/>
              <w:rPr>
                <w:sz w:val="26"/>
                <w:rtl/>
              </w:rPr>
            </w:pPr>
          </w:p>
        </w:tc>
        <w:tc>
          <w:tcPr>
            <w:tcW w:w="5895" w:type="dxa"/>
            <w:shd w:val="clear" w:color="auto" w:fill="auto"/>
            <w:tcMar>
              <w:top w:w="91" w:type="dxa"/>
              <w:left w:w="0" w:type="dxa"/>
              <w:bottom w:w="91" w:type="dxa"/>
              <w:right w:w="0" w:type="dxa"/>
            </w:tcMar>
          </w:tcPr>
          <w:p w14:paraId="259E9617" w14:textId="77777777" w:rsidR="00656E7E" w:rsidRPr="0025406C" w:rsidRDefault="00656E7E" w:rsidP="00656E7E">
            <w:pPr>
              <w:pStyle w:val="TableBlock"/>
              <w:rPr>
                <w:sz w:val="26"/>
                <w:rtl/>
              </w:rPr>
            </w:pPr>
            <w:r w:rsidRPr="0025406C">
              <w:rPr>
                <w:sz w:val="26"/>
                <w:rtl/>
              </w:rPr>
              <w:t>(א)</w:t>
            </w:r>
            <w:r w:rsidRPr="0025406C">
              <w:rPr>
                <w:sz w:val="26"/>
                <w:rtl/>
              </w:rPr>
              <w:tab/>
              <w:t>בתקופת שהותו בישראל הועסק העובד הזר כדין אצל מטופל סיעודי מסוים 24 חודשים רצופים לפחות; לעניין זה, יראו מעבר בין מטופלים בעקבות פטירת מטופל או מעבר המטופל למוסד סיעודי כאילו המשיך העובד הזר לטפל באותו מטופל ברציפות;</w:t>
            </w:r>
          </w:p>
        </w:tc>
      </w:tr>
      <w:tr w:rsidR="00656E7E" w:rsidRPr="0025406C" w14:paraId="475E40D2"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6316B702"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7977AC80"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7F21B676"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4B61D8C2" w14:textId="77777777" w:rsidR="00656E7E" w:rsidRPr="0025406C" w:rsidRDefault="00656E7E" w:rsidP="008A13C5">
            <w:pPr>
              <w:pStyle w:val="TableText"/>
              <w:rPr>
                <w:sz w:val="26"/>
                <w:rtl/>
              </w:rPr>
            </w:pPr>
          </w:p>
        </w:tc>
        <w:tc>
          <w:tcPr>
            <w:tcW w:w="5895" w:type="dxa"/>
            <w:shd w:val="clear" w:color="auto" w:fill="auto"/>
            <w:tcMar>
              <w:top w:w="91" w:type="dxa"/>
              <w:left w:w="0" w:type="dxa"/>
              <w:bottom w:w="91" w:type="dxa"/>
              <w:right w:w="0" w:type="dxa"/>
            </w:tcMar>
          </w:tcPr>
          <w:p w14:paraId="03C5691D" w14:textId="77777777" w:rsidR="00656E7E" w:rsidRPr="0025406C" w:rsidRDefault="00656E7E" w:rsidP="00656E7E">
            <w:pPr>
              <w:pStyle w:val="TableBlock"/>
              <w:rPr>
                <w:sz w:val="26"/>
                <w:rtl/>
              </w:rPr>
            </w:pPr>
            <w:r w:rsidRPr="0025406C">
              <w:rPr>
                <w:sz w:val="26"/>
                <w:rtl/>
              </w:rPr>
              <w:t>(ב)</w:t>
            </w:r>
            <w:r w:rsidRPr="0025406C">
              <w:rPr>
                <w:sz w:val="26"/>
                <w:rtl/>
              </w:rPr>
              <w:tab/>
              <w:t>העובד הזר סיים את תקופת העסקתו האחרונה בישראל לפני מועד הגשת הבקשה לפי סעיף זה, בעקבות פטירת המטופל הסיעודי שבו טיפל או בעקבות מעבר קבוע של המטופל הסיעודי למוסד סיעודי;</w:t>
            </w:r>
          </w:p>
        </w:tc>
      </w:tr>
      <w:tr w:rsidR="00656E7E" w:rsidRPr="0025406C" w14:paraId="66C80C05"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05E9967A"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6D3E8628"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12ADA372"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2A640A15" w14:textId="77777777" w:rsidR="00656E7E" w:rsidRPr="0025406C" w:rsidRDefault="00656E7E" w:rsidP="008A13C5">
            <w:pPr>
              <w:pStyle w:val="TableText"/>
              <w:rPr>
                <w:sz w:val="26"/>
                <w:rtl/>
              </w:rPr>
            </w:pPr>
          </w:p>
        </w:tc>
        <w:tc>
          <w:tcPr>
            <w:tcW w:w="5895" w:type="dxa"/>
            <w:shd w:val="clear" w:color="auto" w:fill="auto"/>
            <w:tcMar>
              <w:top w:w="91" w:type="dxa"/>
              <w:left w:w="0" w:type="dxa"/>
              <w:bottom w:w="91" w:type="dxa"/>
              <w:right w:w="0" w:type="dxa"/>
            </w:tcMar>
          </w:tcPr>
          <w:p w14:paraId="5AE38DE9" w14:textId="77777777" w:rsidR="00656E7E" w:rsidRPr="0025406C" w:rsidRDefault="00656E7E" w:rsidP="00656E7E">
            <w:pPr>
              <w:pStyle w:val="TableBlock"/>
              <w:rPr>
                <w:sz w:val="26"/>
                <w:rtl/>
              </w:rPr>
            </w:pPr>
            <w:r w:rsidRPr="0025406C">
              <w:rPr>
                <w:sz w:val="26"/>
                <w:rtl/>
              </w:rPr>
              <w:t>(ג)</w:t>
            </w:r>
            <w:r w:rsidRPr="0025406C">
              <w:rPr>
                <w:sz w:val="26"/>
                <w:rtl/>
              </w:rPr>
              <w:tab/>
              <w:t xml:space="preserve">בעת הגשת הבקשה לפי סעיף זה, לא עברו 8 שנים מיום כניסתו לישראל לראשונה של העובד הזר לעבודה בענף הסיעוד; </w:t>
            </w:r>
          </w:p>
        </w:tc>
      </w:tr>
      <w:tr w:rsidR="00656E7E" w:rsidRPr="0025406C" w14:paraId="7A752751"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2381F6A2"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4BDF5E05"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5326D65C"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13FA5A85" w14:textId="77777777" w:rsidR="00656E7E" w:rsidRPr="0025406C" w:rsidRDefault="00656E7E" w:rsidP="008A13C5">
            <w:pPr>
              <w:pStyle w:val="TableText"/>
              <w:rPr>
                <w:sz w:val="26"/>
                <w:rtl/>
              </w:rPr>
            </w:pPr>
          </w:p>
        </w:tc>
        <w:tc>
          <w:tcPr>
            <w:tcW w:w="5895" w:type="dxa"/>
            <w:shd w:val="clear" w:color="auto" w:fill="auto"/>
            <w:tcMar>
              <w:top w:w="91" w:type="dxa"/>
              <w:left w:w="0" w:type="dxa"/>
              <w:bottom w:w="91" w:type="dxa"/>
              <w:right w:w="0" w:type="dxa"/>
            </w:tcMar>
          </w:tcPr>
          <w:p w14:paraId="066F64A8" w14:textId="77777777" w:rsidR="00656E7E" w:rsidRPr="0025406C" w:rsidRDefault="00656E7E" w:rsidP="00656E7E">
            <w:pPr>
              <w:pStyle w:val="TableBlock"/>
              <w:rPr>
                <w:sz w:val="26"/>
                <w:rtl/>
              </w:rPr>
            </w:pPr>
            <w:r w:rsidRPr="0025406C">
              <w:rPr>
                <w:sz w:val="26"/>
                <w:rtl/>
              </w:rPr>
              <w:t>(ד)</w:t>
            </w:r>
            <w:r w:rsidRPr="0025406C">
              <w:rPr>
                <w:sz w:val="26"/>
                <w:rtl/>
              </w:rPr>
              <w:tab/>
              <w:t xml:space="preserve">לא התקבלה החלטה קודמת של שר הפנים להארכת רישיונו של העובד הזר לפי סעיף קטן זה, למעט החלטה להאריך רישיון לישיבת ביקור לשם טיפול בבן זוג של המטופל הסיעודי שהתגורר יחד עם המטופל הסיעודי בעת העסקת העובד הזר; </w:t>
            </w:r>
          </w:p>
        </w:tc>
      </w:tr>
      <w:tr w:rsidR="00656E7E" w:rsidRPr="0025406C" w14:paraId="2DC2ACB3"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7B7247A8"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6A33F456"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66316E44"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11601D8B" w14:textId="77777777" w:rsidR="00656E7E" w:rsidRPr="0025406C" w:rsidRDefault="00656E7E" w:rsidP="008A13C5">
            <w:pPr>
              <w:pStyle w:val="TableText"/>
              <w:rPr>
                <w:sz w:val="26"/>
                <w:rtl/>
              </w:rPr>
            </w:pPr>
          </w:p>
        </w:tc>
        <w:tc>
          <w:tcPr>
            <w:tcW w:w="5895" w:type="dxa"/>
            <w:shd w:val="clear" w:color="auto" w:fill="auto"/>
            <w:tcMar>
              <w:top w:w="91" w:type="dxa"/>
              <w:left w:w="0" w:type="dxa"/>
              <w:bottom w:w="91" w:type="dxa"/>
              <w:right w:w="0" w:type="dxa"/>
            </w:tcMar>
          </w:tcPr>
          <w:p w14:paraId="2F5A141F" w14:textId="77777777" w:rsidR="00656E7E" w:rsidRPr="0025406C" w:rsidRDefault="00656E7E" w:rsidP="00656E7E">
            <w:pPr>
              <w:pStyle w:val="TableBlock"/>
              <w:rPr>
                <w:sz w:val="26"/>
                <w:rtl/>
              </w:rPr>
            </w:pPr>
            <w:r w:rsidRPr="0025406C">
              <w:rPr>
                <w:sz w:val="26"/>
                <w:rtl/>
              </w:rPr>
              <w:t>(ה)</w:t>
            </w:r>
            <w:r w:rsidRPr="0025406C">
              <w:rPr>
                <w:sz w:val="26"/>
                <w:rtl/>
              </w:rPr>
              <w:tab/>
              <w:t>הוועדה שמונתה לפי הוראות פסקה (2) המליצה לשר הפנים על הארכת הרישיון של העובד הזר; המליצה הוועדה שלא להאריך את הרישיון – תידחה הבקשה והעובד הזר ייצא מישראל בתוך 30 ימים ממועד ההודעה על דחיית בקשתו כאמור.</w:t>
            </w:r>
          </w:p>
        </w:tc>
      </w:tr>
      <w:tr w:rsidR="00656E7E" w:rsidRPr="0025406C" w14:paraId="682D870C"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206814CA"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53F240FB"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0FB3AE7C" w14:textId="77777777" w:rsidR="00656E7E" w:rsidRPr="0025406C" w:rsidRDefault="00656E7E" w:rsidP="008A13C5">
            <w:pPr>
              <w:pStyle w:val="TableText"/>
              <w:rPr>
                <w:sz w:val="26"/>
                <w:rtl/>
              </w:rPr>
            </w:pPr>
          </w:p>
        </w:tc>
        <w:tc>
          <w:tcPr>
            <w:tcW w:w="6519" w:type="dxa"/>
            <w:gridSpan w:val="2"/>
            <w:shd w:val="clear" w:color="auto" w:fill="auto"/>
            <w:tcMar>
              <w:top w:w="91" w:type="dxa"/>
              <w:left w:w="0" w:type="dxa"/>
              <w:bottom w:w="91" w:type="dxa"/>
              <w:right w:w="0" w:type="dxa"/>
            </w:tcMar>
          </w:tcPr>
          <w:p w14:paraId="7B398197" w14:textId="77777777" w:rsidR="00656E7E" w:rsidRPr="0025406C" w:rsidRDefault="00656E7E" w:rsidP="00656E7E">
            <w:pPr>
              <w:pStyle w:val="TableBlock"/>
              <w:rPr>
                <w:sz w:val="26"/>
                <w:rtl/>
              </w:rPr>
            </w:pPr>
            <w:r w:rsidRPr="0025406C">
              <w:rPr>
                <w:sz w:val="26"/>
                <w:rtl/>
              </w:rPr>
              <w:t>(1א)</w:t>
            </w:r>
            <w:r w:rsidRPr="0025406C">
              <w:rPr>
                <w:sz w:val="26"/>
                <w:rtl/>
              </w:rPr>
              <w:tab/>
              <w:t xml:space="preserve">על אף האמור בפסקה (1), שר הפנים רשאי להאריך את רישיון הישיבה של עובד זר לשם טיפול במטופל </w:t>
            </w:r>
            <w:r>
              <w:rPr>
                <w:rFonts w:hint="cs"/>
                <w:sz w:val="26"/>
                <w:rtl/>
              </w:rPr>
              <w:t xml:space="preserve">שגילו, במועד הגשת הבקשה, אינו עולה על גיל פרישת חובה, כמשמעותו בחוק גיל פרישה, </w:t>
            </w:r>
            <w:proofErr w:type="spellStart"/>
            <w:r>
              <w:rPr>
                <w:rFonts w:hint="cs"/>
                <w:sz w:val="26"/>
                <w:rtl/>
              </w:rPr>
              <w:t>התשס"ד</w:t>
            </w:r>
            <w:proofErr w:type="spellEnd"/>
            <w:r>
              <w:rPr>
                <w:rFonts w:hint="eastAsia"/>
                <w:sz w:val="26"/>
                <w:rtl/>
              </w:rPr>
              <w:t>–</w:t>
            </w:r>
            <w:r>
              <w:rPr>
                <w:rFonts w:hint="cs"/>
                <w:sz w:val="26"/>
                <w:rtl/>
              </w:rPr>
              <w:t>2004</w:t>
            </w:r>
            <w:r w:rsidRPr="00656E7E">
              <w:rPr>
                <w:rStyle w:val="a8"/>
                <w:rFonts w:ascii="David" w:hAnsi="David"/>
                <w:sz w:val="26"/>
                <w:rtl/>
              </w:rPr>
              <w:footnoteReference w:id="3"/>
            </w:r>
            <w:r>
              <w:rPr>
                <w:rFonts w:hint="cs"/>
                <w:sz w:val="26"/>
                <w:rtl/>
              </w:rPr>
              <w:t>, ו</w:t>
            </w:r>
            <w:r w:rsidRPr="0025406C">
              <w:rPr>
                <w:sz w:val="26"/>
                <w:rtl/>
              </w:rPr>
              <w:t>הוא אחד מהמפורטים להלן, אף אם לא התקיימו התנאים המנויים בפסקה (1)(א), (ב) או (ד), ולעניין פסקה (1)(ג), במקום "8 שנים" יקראו "1</w:t>
            </w:r>
            <w:r>
              <w:rPr>
                <w:rFonts w:hint="cs"/>
                <w:sz w:val="26"/>
                <w:rtl/>
              </w:rPr>
              <w:t>3</w:t>
            </w:r>
            <w:r w:rsidRPr="0025406C">
              <w:rPr>
                <w:sz w:val="26"/>
                <w:rtl/>
              </w:rPr>
              <w:t xml:space="preserve"> שנים":</w:t>
            </w:r>
          </w:p>
        </w:tc>
      </w:tr>
      <w:tr w:rsidR="00656E7E" w:rsidRPr="0025406C" w14:paraId="3A9BDD27"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35A2C7AE"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40D31C67"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7DF56C1D"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4B41866D" w14:textId="77777777" w:rsidR="00656E7E" w:rsidRPr="0025406C" w:rsidRDefault="00656E7E" w:rsidP="008A13C5">
            <w:pPr>
              <w:pStyle w:val="TableText"/>
              <w:rPr>
                <w:sz w:val="26"/>
                <w:rtl/>
              </w:rPr>
            </w:pPr>
          </w:p>
        </w:tc>
        <w:tc>
          <w:tcPr>
            <w:tcW w:w="5895" w:type="dxa"/>
            <w:shd w:val="clear" w:color="auto" w:fill="auto"/>
            <w:tcMar>
              <w:top w:w="91" w:type="dxa"/>
              <w:left w:w="0" w:type="dxa"/>
              <w:bottom w:w="91" w:type="dxa"/>
              <w:right w:w="0" w:type="dxa"/>
            </w:tcMar>
          </w:tcPr>
          <w:p w14:paraId="2BCEE109" w14:textId="77777777" w:rsidR="00656E7E" w:rsidRPr="0025406C" w:rsidRDefault="00656E7E" w:rsidP="00656E7E">
            <w:pPr>
              <w:pStyle w:val="TableBlock"/>
              <w:rPr>
                <w:sz w:val="26"/>
                <w:rtl/>
              </w:rPr>
            </w:pPr>
            <w:r w:rsidRPr="0025406C">
              <w:rPr>
                <w:sz w:val="26"/>
                <w:rtl/>
              </w:rPr>
              <w:t>(א)</w:t>
            </w:r>
            <w:r w:rsidRPr="0025406C">
              <w:rPr>
                <w:sz w:val="26"/>
                <w:rtl/>
              </w:rPr>
              <w:tab/>
              <w:t>מטופל סיעודי הזכאי לקצבת שירותים מיוחדים מהמוסד לביטוח לאומי בשיעור של 188% לפחות;</w:t>
            </w:r>
          </w:p>
        </w:tc>
      </w:tr>
      <w:tr w:rsidR="00656E7E" w:rsidRPr="0025406C" w14:paraId="032E53E8"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087FF491"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2FD61886"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437788D9"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5BC9C133" w14:textId="77777777" w:rsidR="00656E7E" w:rsidRPr="0025406C" w:rsidRDefault="00656E7E" w:rsidP="008A13C5">
            <w:pPr>
              <w:pStyle w:val="TableText"/>
              <w:rPr>
                <w:sz w:val="26"/>
                <w:rtl/>
              </w:rPr>
            </w:pPr>
          </w:p>
        </w:tc>
        <w:tc>
          <w:tcPr>
            <w:tcW w:w="5895" w:type="dxa"/>
            <w:shd w:val="clear" w:color="auto" w:fill="auto"/>
            <w:tcMar>
              <w:top w:w="91" w:type="dxa"/>
              <w:left w:w="0" w:type="dxa"/>
              <w:bottom w:w="91" w:type="dxa"/>
              <w:right w:w="0" w:type="dxa"/>
            </w:tcMar>
          </w:tcPr>
          <w:p w14:paraId="6605AF98" w14:textId="77777777" w:rsidR="00656E7E" w:rsidRPr="0025406C" w:rsidRDefault="00656E7E" w:rsidP="00656E7E">
            <w:pPr>
              <w:pStyle w:val="TableBlock"/>
              <w:rPr>
                <w:sz w:val="26"/>
                <w:rtl/>
              </w:rPr>
            </w:pPr>
            <w:r w:rsidRPr="0025406C">
              <w:rPr>
                <w:sz w:val="26"/>
                <w:rtl/>
              </w:rPr>
              <w:t>(ב)</w:t>
            </w:r>
            <w:r w:rsidRPr="0025406C">
              <w:rPr>
                <w:sz w:val="26"/>
                <w:rtl/>
              </w:rPr>
              <w:tab/>
              <w:t>נכה צה"ל או נפגע פעו</w:t>
            </w:r>
            <w:r>
              <w:rPr>
                <w:sz w:val="26"/>
                <w:rtl/>
              </w:rPr>
              <w:t>לת איבה שהוכר כנכה סיעודי בדרגת</w:t>
            </w:r>
            <w:r>
              <w:rPr>
                <w:rFonts w:hint="cs"/>
                <w:sz w:val="26"/>
                <w:rtl/>
              </w:rPr>
              <w:t xml:space="preserve"> </w:t>
            </w:r>
            <w:r w:rsidRPr="0025406C">
              <w:rPr>
                <w:sz w:val="26"/>
                <w:rtl/>
              </w:rPr>
              <w:t>נכות 100% מיוחדת;</w:t>
            </w:r>
          </w:p>
        </w:tc>
      </w:tr>
      <w:tr w:rsidR="00656E7E" w:rsidRPr="0025406C" w14:paraId="4F647D9A"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23559E29"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26A14B30"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14CE3513"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45D6DC10" w14:textId="77777777" w:rsidR="00656E7E" w:rsidRPr="0025406C" w:rsidRDefault="00656E7E" w:rsidP="008A13C5">
            <w:pPr>
              <w:pStyle w:val="TableText"/>
              <w:rPr>
                <w:sz w:val="26"/>
                <w:rtl/>
              </w:rPr>
            </w:pPr>
          </w:p>
        </w:tc>
        <w:tc>
          <w:tcPr>
            <w:tcW w:w="5895" w:type="dxa"/>
            <w:shd w:val="clear" w:color="auto" w:fill="auto"/>
            <w:tcMar>
              <w:top w:w="91" w:type="dxa"/>
              <w:left w:w="0" w:type="dxa"/>
              <w:bottom w:w="91" w:type="dxa"/>
              <w:right w:w="0" w:type="dxa"/>
            </w:tcMar>
          </w:tcPr>
          <w:p w14:paraId="5EC53A90" w14:textId="77777777" w:rsidR="00656E7E" w:rsidRPr="0025406C" w:rsidRDefault="00656E7E" w:rsidP="00656E7E">
            <w:pPr>
              <w:pStyle w:val="TableBlock"/>
              <w:rPr>
                <w:sz w:val="26"/>
                <w:rtl/>
              </w:rPr>
            </w:pPr>
            <w:r w:rsidRPr="0025406C">
              <w:rPr>
                <w:sz w:val="26"/>
                <w:rtl/>
              </w:rPr>
              <w:t>(ג)</w:t>
            </w:r>
            <w:r w:rsidRPr="0025406C">
              <w:rPr>
                <w:sz w:val="26"/>
                <w:rtl/>
              </w:rPr>
              <w:tab/>
              <w:t>ילד נכה הזכאי לקצבת ילד</w:t>
            </w:r>
            <w:r>
              <w:rPr>
                <w:sz w:val="26"/>
                <w:rtl/>
              </w:rPr>
              <w:t xml:space="preserve"> נכה מהמוסד לביטוח לאומי בשיעור</w:t>
            </w:r>
            <w:r>
              <w:rPr>
                <w:rFonts w:hint="cs"/>
                <w:sz w:val="26"/>
                <w:rtl/>
              </w:rPr>
              <w:t xml:space="preserve"> </w:t>
            </w:r>
            <w:r w:rsidRPr="0025406C">
              <w:rPr>
                <w:sz w:val="26"/>
                <w:rtl/>
              </w:rPr>
              <w:t>של 188% לפחות;</w:t>
            </w:r>
          </w:p>
        </w:tc>
      </w:tr>
      <w:tr w:rsidR="00656E7E" w:rsidRPr="0025406C" w14:paraId="644796AC"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5D336E3C" w14:textId="77777777" w:rsidR="00656E7E" w:rsidRPr="0025406C" w:rsidRDefault="00656E7E" w:rsidP="008A13C5">
            <w:pPr>
              <w:pStyle w:val="TableSideHeading"/>
              <w:rPr>
                <w:sz w:val="26"/>
                <w:rtl/>
              </w:rPr>
            </w:pPr>
          </w:p>
        </w:tc>
        <w:tc>
          <w:tcPr>
            <w:tcW w:w="624" w:type="dxa"/>
            <w:shd w:val="clear" w:color="auto" w:fill="auto"/>
            <w:tcMar>
              <w:top w:w="91" w:type="dxa"/>
              <w:left w:w="0" w:type="dxa"/>
              <w:bottom w:w="91" w:type="dxa"/>
              <w:right w:w="0" w:type="dxa"/>
            </w:tcMar>
          </w:tcPr>
          <w:p w14:paraId="1918E637"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6B448D77" w14:textId="77777777" w:rsidR="00656E7E" w:rsidRPr="0025406C" w:rsidRDefault="00656E7E" w:rsidP="008A13C5">
            <w:pPr>
              <w:pStyle w:val="TableText"/>
              <w:rPr>
                <w:sz w:val="26"/>
                <w:rtl/>
              </w:rPr>
            </w:pPr>
          </w:p>
        </w:tc>
        <w:tc>
          <w:tcPr>
            <w:tcW w:w="624" w:type="dxa"/>
            <w:shd w:val="clear" w:color="auto" w:fill="auto"/>
            <w:tcMar>
              <w:top w:w="91" w:type="dxa"/>
              <w:left w:w="0" w:type="dxa"/>
              <w:bottom w:w="91" w:type="dxa"/>
              <w:right w:w="0" w:type="dxa"/>
            </w:tcMar>
          </w:tcPr>
          <w:p w14:paraId="3FF404FE" w14:textId="77777777" w:rsidR="00656E7E" w:rsidRPr="0025406C" w:rsidRDefault="00656E7E" w:rsidP="008A13C5">
            <w:pPr>
              <w:pStyle w:val="TableText"/>
              <w:rPr>
                <w:sz w:val="26"/>
                <w:rtl/>
              </w:rPr>
            </w:pPr>
          </w:p>
        </w:tc>
        <w:tc>
          <w:tcPr>
            <w:tcW w:w="5895" w:type="dxa"/>
            <w:shd w:val="clear" w:color="auto" w:fill="auto"/>
            <w:tcMar>
              <w:top w:w="91" w:type="dxa"/>
              <w:left w:w="0" w:type="dxa"/>
              <w:bottom w:w="91" w:type="dxa"/>
              <w:right w:w="0" w:type="dxa"/>
            </w:tcMar>
          </w:tcPr>
          <w:p w14:paraId="0F705A5F" w14:textId="77777777" w:rsidR="00656E7E" w:rsidRPr="0025406C" w:rsidRDefault="00656E7E" w:rsidP="00656E7E">
            <w:pPr>
              <w:pStyle w:val="TableBlock"/>
              <w:rPr>
                <w:sz w:val="26"/>
                <w:rtl/>
              </w:rPr>
            </w:pPr>
            <w:r w:rsidRPr="0025406C">
              <w:rPr>
                <w:sz w:val="26"/>
                <w:rtl/>
              </w:rPr>
              <w:t>(ד)</w:t>
            </w:r>
            <w:r w:rsidRPr="0025406C">
              <w:rPr>
                <w:sz w:val="26"/>
                <w:rtl/>
              </w:rPr>
              <w:tab/>
              <w:t xml:space="preserve">מי שהמוסד לביטוח לאומי הכיר בו כמטופל סיעודי עקב פגיעה בעבודה, כהגדרתה בסעיף 79 לחוק הביטוח הלאומי [נוסח משולב], </w:t>
            </w:r>
            <w:proofErr w:type="spellStart"/>
            <w:r w:rsidRPr="0025406C">
              <w:rPr>
                <w:sz w:val="26"/>
                <w:rtl/>
              </w:rPr>
              <w:t>התשנ"ה</w:t>
            </w:r>
            <w:proofErr w:type="spellEnd"/>
            <w:r w:rsidRPr="0025406C">
              <w:rPr>
                <w:sz w:val="26"/>
                <w:rtl/>
              </w:rPr>
              <w:t>–1995‏</w:t>
            </w:r>
            <w:r w:rsidRPr="00656E7E">
              <w:rPr>
                <w:rStyle w:val="a8"/>
                <w:rFonts w:ascii="David" w:hAnsi="David"/>
                <w:sz w:val="26"/>
                <w:rtl/>
              </w:rPr>
              <w:footnoteReference w:id="4"/>
            </w:r>
            <w:r w:rsidRPr="0025406C">
              <w:rPr>
                <w:sz w:val="26"/>
                <w:rtl/>
              </w:rPr>
              <w:t>, והוא תלוי לחלוטין בעזרת הזולת בביצוע כל פעולות היום-יום."</w:t>
            </w:r>
            <w:r>
              <w:rPr>
                <w:rFonts w:hint="cs"/>
                <w:sz w:val="26"/>
                <w:rtl/>
              </w:rPr>
              <w:t>;</w:t>
            </w:r>
          </w:p>
        </w:tc>
      </w:tr>
      <w:tr w:rsidR="00656E7E" w14:paraId="5E3D5087" w14:textId="77777777" w:rsidTr="00656E7E">
        <w:trPr>
          <w:cantSplit/>
        </w:trPr>
        <w:tc>
          <w:tcPr>
            <w:tcW w:w="1871" w:type="dxa"/>
          </w:tcPr>
          <w:p w14:paraId="296C2C1D" w14:textId="77777777" w:rsidR="00656E7E" w:rsidRDefault="00656E7E" w:rsidP="008A13C5">
            <w:pPr>
              <w:pStyle w:val="TableSideHeading"/>
            </w:pPr>
          </w:p>
        </w:tc>
        <w:tc>
          <w:tcPr>
            <w:tcW w:w="624" w:type="dxa"/>
          </w:tcPr>
          <w:p w14:paraId="35E51007" w14:textId="77777777" w:rsidR="00656E7E" w:rsidRDefault="00656E7E" w:rsidP="008A13C5">
            <w:pPr>
              <w:pStyle w:val="TableText"/>
            </w:pPr>
          </w:p>
        </w:tc>
        <w:tc>
          <w:tcPr>
            <w:tcW w:w="7143" w:type="dxa"/>
            <w:gridSpan w:val="3"/>
          </w:tcPr>
          <w:p w14:paraId="2FA4BEED" w14:textId="77777777" w:rsidR="00656E7E" w:rsidRDefault="00656E7E" w:rsidP="00656E7E">
            <w:pPr>
              <w:pStyle w:val="TableBlock"/>
            </w:pPr>
            <w:r>
              <w:rPr>
                <w:rFonts w:hint="cs"/>
                <w:rtl/>
              </w:rPr>
              <w:t>(3)</w:t>
            </w:r>
            <w:r>
              <w:rPr>
                <w:rtl/>
              </w:rPr>
              <w:tab/>
            </w:r>
            <w:r w:rsidRPr="001D4422">
              <w:rPr>
                <w:rFonts w:hint="cs"/>
                <w:rtl/>
              </w:rPr>
              <w:t xml:space="preserve">בסעיף קטן (ג3), אחרי "שניתנו להם" יבוא "וכן סוגי מטופלים סיעודיים </w:t>
            </w:r>
            <w:r>
              <w:rPr>
                <w:rFonts w:hint="cs"/>
                <w:rtl/>
              </w:rPr>
              <w:t>ש</w:t>
            </w:r>
            <w:r w:rsidRPr="001D4422">
              <w:rPr>
                <w:rFonts w:hint="cs"/>
                <w:rtl/>
              </w:rPr>
              <w:t>רק בהם עובדים זרים כאמור בסעיף קטן (ג2) יהיו רשאים לטפל בתחום העיסוק הקבוע באשרה וברישיון הישיבה שניתנו להם".</w:t>
            </w:r>
          </w:p>
        </w:tc>
      </w:tr>
      <w:tr w:rsidR="00656E7E" w:rsidRPr="0025406C" w14:paraId="04F450D0" w14:textId="77777777" w:rsidTr="00656E7E">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14:paraId="7147415A" w14:textId="77777777" w:rsidR="00656E7E" w:rsidRPr="0025406C" w:rsidRDefault="00656E7E" w:rsidP="00656E7E">
            <w:pPr>
              <w:pStyle w:val="TableSideHeading"/>
              <w:rPr>
                <w:sz w:val="26"/>
                <w:rtl/>
              </w:rPr>
            </w:pPr>
            <w:r w:rsidRPr="0025406C">
              <w:rPr>
                <w:sz w:val="26"/>
                <w:rtl/>
              </w:rPr>
              <w:t>הוראת מעבר</w:t>
            </w:r>
            <w:r>
              <w:rPr>
                <w:sz w:val="26"/>
                <w:rtl/>
              </w:rPr>
              <w:t xml:space="preserve"> </w:t>
            </w:r>
          </w:p>
        </w:tc>
        <w:tc>
          <w:tcPr>
            <w:tcW w:w="624" w:type="dxa"/>
            <w:shd w:val="clear" w:color="auto" w:fill="auto"/>
            <w:tcMar>
              <w:top w:w="91" w:type="dxa"/>
              <w:left w:w="0" w:type="dxa"/>
              <w:bottom w:w="91" w:type="dxa"/>
              <w:right w:w="0" w:type="dxa"/>
            </w:tcMar>
          </w:tcPr>
          <w:p w14:paraId="55A312A1" w14:textId="77777777" w:rsidR="00656E7E" w:rsidRPr="0025406C" w:rsidRDefault="00656E7E" w:rsidP="008A13C5">
            <w:pPr>
              <w:pStyle w:val="TableText"/>
              <w:rPr>
                <w:sz w:val="26"/>
                <w:rtl/>
              </w:rPr>
            </w:pPr>
            <w:r w:rsidRPr="0025406C">
              <w:rPr>
                <w:sz w:val="26"/>
                <w:rtl/>
              </w:rPr>
              <w:t>2.</w:t>
            </w:r>
          </w:p>
        </w:tc>
        <w:tc>
          <w:tcPr>
            <w:tcW w:w="7143" w:type="dxa"/>
            <w:gridSpan w:val="3"/>
            <w:shd w:val="clear" w:color="auto" w:fill="auto"/>
            <w:tcMar>
              <w:top w:w="91" w:type="dxa"/>
              <w:left w:w="0" w:type="dxa"/>
              <w:bottom w:w="91" w:type="dxa"/>
              <w:right w:w="0" w:type="dxa"/>
            </w:tcMar>
          </w:tcPr>
          <w:p w14:paraId="6C0E8AEB" w14:textId="77777777" w:rsidR="00656E7E" w:rsidRPr="0025406C" w:rsidRDefault="00656E7E" w:rsidP="00656E7E">
            <w:pPr>
              <w:pStyle w:val="TableBlock"/>
              <w:rPr>
                <w:sz w:val="26"/>
                <w:rtl/>
              </w:rPr>
            </w:pPr>
            <w:r w:rsidRPr="001D4422">
              <w:rPr>
                <w:rFonts w:hint="cs"/>
                <w:sz w:val="26"/>
                <w:rtl/>
              </w:rPr>
              <w:t xml:space="preserve">על אף </w:t>
            </w:r>
            <w:r>
              <w:rPr>
                <w:rFonts w:hint="cs"/>
                <w:sz w:val="26"/>
                <w:rtl/>
              </w:rPr>
              <w:t>האמור</w:t>
            </w:r>
            <w:r w:rsidRPr="001D4422">
              <w:rPr>
                <w:rFonts w:hint="cs"/>
                <w:sz w:val="26"/>
                <w:rtl/>
              </w:rPr>
              <w:t xml:space="preserve"> </w:t>
            </w:r>
            <w:r>
              <w:rPr>
                <w:rFonts w:hint="cs"/>
                <w:sz w:val="26"/>
                <w:rtl/>
              </w:rPr>
              <w:t>ב</w:t>
            </w:r>
            <w:r w:rsidRPr="001D4422">
              <w:rPr>
                <w:rFonts w:hint="cs"/>
                <w:sz w:val="26"/>
                <w:rtl/>
              </w:rPr>
              <w:t>סעיף 3א(ב1) לחוק העיקרי, כנוסחו בחוק זה, שר הפנים  רשאי להאר</w:t>
            </w:r>
            <w:r>
              <w:rPr>
                <w:rFonts w:hint="cs"/>
                <w:sz w:val="26"/>
                <w:rtl/>
              </w:rPr>
              <w:t xml:space="preserve">יך את רישיונו של </w:t>
            </w:r>
            <w:r w:rsidRPr="001D4422">
              <w:rPr>
                <w:rFonts w:hint="cs"/>
                <w:sz w:val="26"/>
                <w:rtl/>
              </w:rPr>
              <w:t xml:space="preserve">עובד זר </w:t>
            </w:r>
            <w:r>
              <w:rPr>
                <w:rFonts w:hint="cs"/>
                <w:sz w:val="26"/>
                <w:rtl/>
              </w:rPr>
              <w:t>לשם</w:t>
            </w:r>
            <w:r w:rsidRPr="001D4422">
              <w:rPr>
                <w:rFonts w:hint="cs"/>
                <w:sz w:val="26"/>
                <w:rtl/>
              </w:rPr>
              <w:t xml:space="preserve"> טיפול במטופל כאמור בפסקה (1א)</w:t>
            </w:r>
            <w:r>
              <w:rPr>
                <w:rFonts w:hint="cs"/>
                <w:sz w:val="26"/>
                <w:rtl/>
              </w:rPr>
              <w:t xml:space="preserve"> של אותו סעיף, </w:t>
            </w:r>
            <w:r w:rsidRPr="001D4422">
              <w:rPr>
                <w:rFonts w:hint="cs"/>
                <w:sz w:val="26"/>
                <w:rtl/>
              </w:rPr>
              <w:t>גם אם ב</w:t>
            </w:r>
            <w:r>
              <w:rPr>
                <w:rFonts w:hint="cs"/>
                <w:sz w:val="26"/>
                <w:rtl/>
              </w:rPr>
              <w:t>מועד</w:t>
            </w:r>
            <w:r w:rsidRPr="001D4422">
              <w:rPr>
                <w:rFonts w:hint="cs"/>
                <w:sz w:val="26"/>
                <w:rtl/>
              </w:rPr>
              <w:t xml:space="preserve"> הגשת הבקשה </w:t>
            </w:r>
            <w:r>
              <w:rPr>
                <w:rFonts w:hint="cs"/>
                <w:sz w:val="26"/>
                <w:rtl/>
              </w:rPr>
              <w:t>חלפו למעלה מ-</w:t>
            </w:r>
            <w:r w:rsidRPr="001D4422">
              <w:rPr>
                <w:rFonts w:hint="cs"/>
                <w:sz w:val="26"/>
                <w:rtl/>
              </w:rPr>
              <w:t xml:space="preserve">90 ימים מיום </w:t>
            </w:r>
            <w:r>
              <w:rPr>
                <w:rFonts w:hint="cs"/>
                <w:sz w:val="26"/>
                <w:rtl/>
              </w:rPr>
              <w:t>סיום תקופת</w:t>
            </w:r>
            <w:r w:rsidRPr="001D4422">
              <w:rPr>
                <w:rFonts w:hint="cs"/>
                <w:sz w:val="26"/>
                <w:rtl/>
              </w:rPr>
              <w:t xml:space="preserve"> העסקתו החוקית האחרונה</w:t>
            </w:r>
            <w:r>
              <w:rPr>
                <w:rFonts w:hint="cs"/>
                <w:sz w:val="26"/>
                <w:rtl/>
              </w:rPr>
              <w:t xml:space="preserve"> בישראל</w:t>
            </w:r>
            <w:r w:rsidRPr="001D4422">
              <w:rPr>
                <w:rFonts w:hint="cs"/>
                <w:sz w:val="26"/>
                <w:rtl/>
              </w:rPr>
              <w:t>,</w:t>
            </w:r>
            <w:r>
              <w:rPr>
                <w:rFonts w:hint="cs"/>
                <w:sz w:val="26"/>
                <w:rtl/>
              </w:rPr>
              <w:t xml:space="preserve"> אם הוגשה בקשה כאמור </w:t>
            </w:r>
            <w:r w:rsidRPr="001D4422">
              <w:rPr>
                <w:rFonts w:hint="cs"/>
                <w:sz w:val="26"/>
                <w:rtl/>
              </w:rPr>
              <w:t>בתוך</w:t>
            </w:r>
            <w:r>
              <w:rPr>
                <w:rFonts w:hint="cs"/>
                <w:sz w:val="26"/>
                <w:rtl/>
              </w:rPr>
              <w:t xml:space="preserve"> 90 ימים מיום פרסומו של חוק זה,</w:t>
            </w:r>
            <w:r w:rsidRPr="001D4422">
              <w:rPr>
                <w:rFonts w:hint="cs"/>
                <w:sz w:val="26"/>
                <w:rtl/>
              </w:rPr>
              <w:t xml:space="preserve"> ובלבד שהתקיימו </w:t>
            </w:r>
            <w:r>
              <w:rPr>
                <w:rFonts w:hint="cs"/>
                <w:sz w:val="26"/>
                <w:rtl/>
              </w:rPr>
              <w:t>כל יתר התנאים המפורטים בסעיף 3א</w:t>
            </w:r>
            <w:r w:rsidRPr="001D4422">
              <w:rPr>
                <w:rFonts w:hint="cs"/>
                <w:sz w:val="26"/>
                <w:rtl/>
              </w:rPr>
              <w:t>(ב1)</w:t>
            </w:r>
            <w:r>
              <w:rPr>
                <w:rFonts w:hint="cs"/>
                <w:sz w:val="26"/>
                <w:rtl/>
              </w:rPr>
              <w:t>(1א)</w:t>
            </w:r>
            <w:r w:rsidRPr="001D4422">
              <w:rPr>
                <w:rFonts w:hint="cs"/>
                <w:sz w:val="26"/>
                <w:rtl/>
              </w:rPr>
              <w:t xml:space="preserve"> לחוק העיקרי, כנוסחו בחוק זה</w:t>
            </w:r>
            <w:r>
              <w:rPr>
                <w:rFonts w:hint="cs"/>
                <w:sz w:val="26"/>
                <w:rtl/>
              </w:rPr>
              <w:t>.</w:t>
            </w:r>
          </w:p>
        </w:tc>
      </w:tr>
      <w:tr w:rsidR="00656E7E" w:rsidRPr="0025406C" w14:paraId="3ED1C705" w14:textId="77777777" w:rsidTr="00656E7E">
        <w:trPr>
          <w:cantSplit/>
        </w:trPr>
        <w:tc>
          <w:tcPr>
            <w:tcW w:w="1871" w:type="dxa"/>
          </w:tcPr>
          <w:p w14:paraId="2BCCDD5B" w14:textId="77777777" w:rsidR="00656E7E" w:rsidRPr="0025406C" w:rsidRDefault="00656E7E" w:rsidP="008A13C5">
            <w:pPr>
              <w:pStyle w:val="TableSideHeading"/>
              <w:keepLines w:val="0"/>
              <w:ind w:right="-28"/>
              <w:rPr>
                <w:sz w:val="26"/>
              </w:rPr>
            </w:pPr>
            <w:r>
              <w:rPr>
                <w:rFonts w:hint="cs"/>
                <w:sz w:val="26"/>
                <w:rtl/>
              </w:rPr>
              <w:t>תקנות ראשונות</w:t>
            </w:r>
          </w:p>
        </w:tc>
        <w:tc>
          <w:tcPr>
            <w:tcW w:w="624" w:type="dxa"/>
          </w:tcPr>
          <w:p w14:paraId="6D54C2D3" w14:textId="77777777" w:rsidR="00656E7E" w:rsidRPr="0025406C" w:rsidRDefault="00656E7E" w:rsidP="008A13C5">
            <w:pPr>
              <w:pStyle w:val="TableText"/>
              <w:keepLines w:val="0"/>
              <w:ind w:right="-28"/>
              <w:rPr>
                <w:sz w:val="26"/>
              </w:rPr>
            </w:pPr>
            <w:r>
              <w:rPr>
                <w:rFonts w:hint="cs"/>
                <w:sz w:val="26"/>
                <w:rtl/>
              </w:rPr>
              <w:t>3.</w:t>
            </w:r>
          </w:p>
        </w:tc>
        <w:tc>
          <w:tcPr>
            <w:tcW w:w="7143" w:type="dxa"/>
            <w:gridSpan w:val="3"/>
          </w:tcPr>
          <w:p w14:paraId="67C2FF87" w14:textId="77777777" w:rsidR="00656E7E" w:rsidRPr="0025406C" w:rsidRDefault="00656E7E" w:rsidP="00656E7E">
            <w:pPr>
              <w:pStyle w:val="TableBlock"/>
              <w:rPr>
                <w:sz w:val="26"/>
              </w:rPr>
            </w:pPr>
            <w:r>
              <w:rPr>
                <w:rFonts w:hint="cs"/>
                <w:sz w:val="26"/>
                <w:rtl/>
              </w:rPr>
              <w:t>תקנות ראשונות לפי סעיף 3א(ג3) לחוק העיקרי, כנוסחו בחוק זה, יובאו לאישור ועדת הפנים והגנת הסביבה של הכנסת בתוך 90 ימים מיום פרסומו של חוק זה.</w:t>
            </w:r>
          </w:p>
        </w:tc>
      </w:tr>
    </w:tbl>
    <w:p w14:paraId="10CCD0A7" w14:textId="77777777" w:rsidR="008525E2" w:rsidRPr="00E125CC" w:rsidRDefault="008525E2" w:rsidP="00D114CA">
      <w:pPr>
        <w:pStyle w:val="Noparagraphstyle"/>
        <w:spacing w:after="1200"/>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67F56CDE" w14:textId="77777777" w:rsidTr="00D114CA">
        <w:tc>
          <w:tcPr>
            <w:tcW w:w="2409" w:type="dxa"/>
            <w:shd w:val="clear" w:color="auto" w:fill="auto"/>
          </w:tcPr>
          <w:p w14:paraId="1C6D553C" w14:textId="77777777" w:rsidR="008525E2" w:rsidRPr="00D466D4" w:rsidRDefault="008525E2" w:rsidP="006F3CC7">
            <w:pPr>
              <w:jc w:val="center"/>
              <w:rPr>
                <w:sz w:val="26"/>
                <w:szCs w:val="26"/>
                <w:rtl/>
              </w:rPr>
            </w:pPr>
          </w:p>
        </w:tc>
        <w:tc>
          <w:tcPr>
            <w:tcW w:w="2410" w:type="dxa"/>
            <w:shd w:val="clear" w:color="auto" w:fill="auto"/>
          </w:tcPr>
          <w:p w14:paraId="296BABFA" w14:textId="77777777" w:rsidR="008525E2" w:rsidRPr="00D466D4" w:rsidRDefault="00220CAF" w:rsidP="006F3CC7">
            <w:pPr>
              <w:jc w:val="center"/>
              <w:rPr>
                <w:sz w:val="26"/>
                <w:szCs w:val="26"/>
                <w:rtl/>
              </w:rPr>
            </w:pPr>
            <w:bookmarkStart w:id="7" w:name="PrimeMinistryName"/>
            <w:r>
              <w:rPr>
                <w:rFonts w:hint="cs"/>
                <w:sz w:val="26"/>
                <w:szCs w:val="26"/>
                <w:rtl/>
              </w:rPr>
              <w:t>בנימין נתניהו</w:t>
            </w:r>
            <w:bookmarkEnd w:id="7"/>
          </w:p>
          <w:p w14:paraId="22B14CBF" w14:textId="77777777" w:rsidR="008525E2" w:rsidRPr="00D466D4" w:rsidRDefault="008525E2" w:rsidP="006F3CC7">
            <w:pPr>
              <w:jc w:val="center"/>
              <w:rPr>
                <w:sz w:val="26"/>
                <w:szCs w:val="26"/>
                <w:rtl/>
              </w:rPr>
            </w:pPr>
            <w:r w:rsidRPr="00D466D4">
              <w:rPr>
                <w:rFonts w:hint="cs"/>
                <w:sz w:val="26"/>
                <w:szCs w:val="26"/>
                <w:rtl/>
              </w:rPr>
              <w:t>ראש הממשלה</w:t>
            </w:r>
          </w:p>
        </w:tc>
        <w:tc>
          <w:tcPr>
            <w:tcW w:w="2410" w:type="dxa"/>
            <w:shd w:val="clear" w:color="auto" w:fill="auto"/>
          </w:tcPr>
          <w:p w14:paraId="06D9F456" w14:textId="77777777" w:rsidR="008525E2" w:rsidRPr="00D466D4" w:rsidRDefault="008525E2" w:rsidP="006F3CC7">
            <w:pPr>
              <w:jc w:val="center"/>
              <w:rPr>
                <w:sz w:val="26"/>
                <w:szCs w:val="26"/>
                <w:rtl/>
              </w:rPr>
            </w:pPr>
          </w:p>
        </w:tc>
        <w:tc>
          <w:tcPr>
            <w:tcW w:w="2410" w:type="dxa"/>
            <w:shd w:val="clear" w:color="auto" w:fill="auto"/>
          </w:tcPr>
          <w:p w14:paraId="727F3C83" w14:textId="77777777" w:rsidR="008525E2" w:rsidRPr="00D466D4" w:rsidRDefault="00656E7E" w:rsidP="006F3CC7">
            <w:pPr>
              <w:jc w:val="center"/>
              <w:rPr>
                <w:sz w:val="26"/>
                <w:szCs w:val="26"/>
                <w:rtl/>
              </w:rPr>
            </w:pPr>
            <w:r>
              <w:rPr>
                <w:rFonts w:hint="cs"/>
                <w:sz w:val="26"/>
                <w:szCs w:val="26"/>
                <w:rtl/>
              </w:rPr>
              <w:t xml:space="preserve">אריה </w:t>
            </w:r>
            <w:proofErr w:type="spellStart"/>
            <w:r>
              <w:rPr>
                <w:rFonts w:hint="cs"/>
                <w:sz w:val="26"/>
                <w:szCs w:val="26"/>
                <w:rtl/>
              </w:rPr>
              <w:t>מכלוף</w:t>
            </w:r>
            <w:proofErr w:type="spellEnd"/>
            <w:r>
              <w:rPr>
                <w:rFonts w:hint="cs"/>
                <w:sz w:val="26"/>
                <w:szCs w:val="26"/>
                <w:rtl/>
              </w:rPr>
              <w:t xml:space="preserve"> דרעי</w:t>
            </w:r>
          </w:p>
          <w:p w14:paraId="1641736A" w14:textId="77777777" w:rsidR="008525E2" w:rsidRPr="00D466D4" w:rsidRDefault="008525E2" w:rsidP="006F3CC7">
            <w:pPr>
              <w:jc w:val="center"/>
              <w:rPr>
                <w:sz w:val="26"/>
                <w:szCs w:val="26"/>
                <w:rtl/>
              </w:rPr>
            </w:pPr>
            <w:r w:rsidRPr="00D466D4">
              <w:rPr>
                <w:rFonts w:hint="cs"/>
                <w:sz w:val="26"/>
                <w:szCs w:val="26"/>
                <w:rtl/>
              </w:rPr>
              <w:t>שר ה</w:t>
            </w:r>
            <w:r w:rsidR="00656E7E">
              <w:rPr>
                <w:rFonts w:hint="cs"/>
                <w:sz w:val="26"/>
                <w:szCs w:val="26"/>
                <w:rtl/>
              </w:rPr>
              <w:t>פנים</w:t>
            </w:r>
          </w:p>
        </w:tc>
      </w:tr>
      <w:tr w:rsidR="008525E2" w:rsidRPr="00D466D4" w14:paraId="1BC38598" w14:textId="77777777" w:rsidTr="00D114CA">
        <w:tc>
          <w:tcPr>
            <w:tcW w:w="2409" w:type="dxa"/>
            <w:shd w:val="clear" w:color="auto" w:fill="auto"/>
          </w:tcPr>
          <w:p w14:paraId="4D5E65CD" w14:textId="77777777" w:rsidR="008525E2" w:rsidRPr="00D466D4" w:rsidRDefault="008525E2" w:rsidP="006F3CC7">
            <w:pPr>
              <w:jc w:val="center"/>
              <w:rPr>
                <w:sz w:val="26"/>
                <w:szCs w:val="26"/>
                <w:rtl/>
              </w:rPr>
            </w:pPr>
          </w:p>
          <w:p w14:paraId="39744B8E" w14:textId="77777777" w:rsidR="008525E2" w:rsidRPr="00D466D4" w:rsidRDefault="008525E2" w:rsidP="006F3CC7">
            <w:pPr>
              <w:jc w:val="center"/>
              <w:rPr>
                <w:sz w:val="26"/>
                <w:szCs w:val="26"/>
                <w:rtl/>
              </w:rPr>
            </w:pPr>
          </w:p>
        </w:tc>
        <w:tc>
          <w:tcPr>
            <w:tcW w:w="2410" w:type="dxa"/>
            <w:shd w:val="clear" w:color="auto" w:fill="auto"/>
          </w:tcPr>
          <w:p w14:paraId="3D835782" w14:textId="77777777" w:rsidR="008525E2" w:rsidRPr="00D466D4" w:rsidRDefault="008525E2" w:rsidP="006F3CC7">
            <w:pPr>
              <w:jc w:val="center"/>
              <w:rPr>
                <w:sz w:val="26"/>
                <w:szCs w:val="26"/>
                <w:rtl/>
              </w:rPr>
            </w:pPr>
          </w:p>
        </w:tc>
        <w:tc>
          <w:tcPr>
            <w:tcW w:w="2410" w:type="dxa"/>
            <w:shd w:val="clear" w:color="auto" w:fill="auto"/>
          </w:tcPr>
          <w:p w14:paraId="72C0F6A8" w14:textId="77777777" w:rsidR="008525E2" w:rsidRPr="00D466D4" w:rsidRDefault="008525E2" w:rsidP="006F3CC7">
            <w:pPr>
              <w:jc w:val="center"/>
              <w:rPr>
                <w:sz w:val="26"/>
                <w:szCs w:val="26"/>
                <w:rtl/>
              </w:rPr>
            </w:pPr>
          </w:p>
        </w:tc>
        <w:tc>
          <w:tcPr>
            <w:tcW w:w="2410" w:type="dxa"/>
            <w:shd w:val="clear" w:color="auto" w:fill="auto"/>
          </w:tcPr>
          <w:p w14:paraId="6FC38277" w14:textId="77777777" w:rsidR="008525E2" w:rsidRPr="00D466D4" w:rsidRDefault="008525E2" w:rsidP="006F3CC7">
            <w:pPr>
              <w:jc w:val="center"/>
              <w:rPr>
                <w:sz w:val="26"/>
                <w:szCs w:val="26"/>
                <w:rtl/>
              </w:rPr>
            </w:pPr>
          </w:p>
          <w:p w14:paraId="3A70FDC0" w14:textId="77777777" w:rsidR="008525E2" w:rsidRPr="00D466D4" w:rsidRDefault="008525E2" w:rsidP="006F3CC7">
            <w:pPr>
              <w:jc w:val="center"/>
              <w:rPr>
                <w:sz w:val="26"/>
                <w:szCs w:val="26"/>
                <w:rtl/>
              </w:rPr>
            </w:pPr>
          </w:p>
        </w:tc>
      </w:tr>
      <w:tr w:rsidR="008525E2" w:rsidRPr="00D466D4" w14:paraId="3833B59C" w14:textId="77777777" w:rsidTr="00D114CA">
        <w:tc>
          <w:tcPr>
            <w:tcW w:w="2409" w:type="dxa"/>
            <w:shd w:val="clear" w:color="auto" w:fill="auto"/>
          </w:tcPr>
          <w:p w14:paraId="36E8DFB4" w14:textId="77777777" w:rsidR="008525E2" w:rsidRPr="00D466D4" w:rsidRDefault="008525E2" w:rsidP="006F3CC7">
            <w:pPr>
              <w:jc w:val="center"/>
              <w:rPr>
                <w:sz w:val="26"/>
                <w:szCs w:val="26"/>
                <w:rtl/>
              </w:rPr>
            </w:pPr>
            <w:r w:rsidRPr="003710E7">
              <w:rPr>
                <w:rFonts w:hint="cs"/>
                <w:sz w:val="26"/>
                <w:szCs w:val="26"/>
                <w:rtl/>
              </w:rPr>
              <w:t>ראובן ריבלין</w:t>
            </w:r>
          </w:p>
          <w:p w14:paraId="1EDABACF" w14:textId="77777777" w:rsidR="008525E2" w:rsidRPr="00D466D4" w:rsidRDefault="008525E2" w:rsidP="006F3CC7">
            <w:pPr>
              <w:jc w:val="center"/>
              <w:rPr>
                <w:sz w:val="26"/>
                <w:szCs w:val="26"/>
                <w:rtl/>
              </w:rPr>
            </w:pPr>
            <w:r w:rsidRPr="00D466D4">
              <w:rPr>
                <w:rFonts w:hint="cs"/>
                <w:sz w:val="26"/>
                <w:szCs w:val="26"/>
                <w:rtl/>
              </w:rPr>
              <w:t>נשיא המדינה</w:t>
            </w:r>
          </w:p>
        </w:tc>
        <w:tc>
          <w:tcPr>
            <w:tcW w:w="2410" w:type="dxa"/>
            <w:shd w:val="clear" w:color="auto" w:fill="auto"/>
          </w:tcPr>
          <w:p w14:paraId="483D5670" w14:textId="77777777" w:rsidR="008525E2" w:rsidRPr="00D466D4" w:rsidRDefault="008525E2" w:rsidP="006F3CC7">
            <w:pPr>
              <w:jc w:val="center"/>
              <w:rPr>
                <w:sz w:val="26"/>
                <w:szCs w:val="26"/>
                <w:rtl/>
              </w:rPr>
            </w:pPr>
          </w:p>
        </w:tc>
        <w:tc>
          <w:tcPr>
            <w:tcW w:w="2410" w:type="dxa"/>
            <w:shd w:val="clear" w:color="auto" w:fill="auto"/>
          </w:tcPr>
          <w:p w14:paraId="7429EC36" w14:textId="77777777" w:rsidR="008525E2" w:rsidRPr="00D466D4" w:rsidRDefault="00220CAF" w:rsidP="006F3CC7">
            <w:pPr>
              <w:jc w:val="center"/>
              <w:rPr>
                <w:sz w:val="26"/>
                <w:szCs w:val="26"/>
                <w:rtl/>
              </w:rPr>
            </w:pPr>
            <w:bookmarkStart w:id="8" w:name="HeadKnessetName"/>
            <w:r>
              <w:rPr>
                <w:rFonts w:hint="cs"/>
                <w:sz w:val="26"/>
                <w:szCs w:val="26"/>
                <w:rtl/>
              </w:rPr>
              <w:t>יולי יואל אדלשטיין</w:t>
            </w:r>
            <w:bookmarkEnd w:id="8"/>
          </w:p>
          <w:p w14:paraId="0757D88B" w14:textId="77777777" w:rsidR="008525E2" w:rsidRPr="00D466D4" w:rsidRDefault="008525E2" w:rsidP="006F3CC7">
            <w:pPr>
              <w:jc w:val="center"/>
              <w:rPr>
                <w:sz w:val="26"/>
                <w:szCs w:val="26"/>
                <w:rtl/>
              </w:rPr>
            </w:pPr>
            <w:r w:rsidRPr="00D466D4">
              <w:rPr>
                <w:rFonts w:hint="cs"/>
                <w:sz w:val="26"/>
                <w:szCs w:val="26"/>
                <w:rtl/>
              </w:rPr>
              <w:t>יושב ראש הכנסת</w:t>
            </w:r>
          </w:p>
        </w:tc>
        <w:tc>
          <w:tcPr>
            <w:tcW w:w="2410" w:type="dxa"/>
            <w:shd w:val="clear" w:color="auto" w:fill="auto"/>
          </w:tcPr>
          <w:p w14:paraId="501B08F6" w14:textId="77777777" w:rsidR="008525E2" w:rsidRPr="00D466D4" w:rsidRDefault="008525E2" w:rsidP="006F3CC7">
            <w:pPr>
              <w:jc w:val="center"/>
              <w:rPr>
                <w:sz w:val="26"/>
                <w:szCs w:val="26"/>
                <w:rtl/>
              </w:rPr>
            </w:pPr>
          </w:p>
        </w:tc>
      </w:tr>
    </w:tbl>
    <w:p w14:paraId="32CAFF42" w14:textId="77777777" w:rsidR="002137F8" w:rsidRPr="008525E2" w:rsidRDefault="002137F8" w:rsidP="00D114CA">
      <w:pPr>
        <w:rPr>
          <w:rtl/>
        </w:rPr>
      </w:pPr>
    </w:p>
    <w:sectPr w:rsidR="002137F8" w:rsidRPr="008525E2" w:rsidSect="00656E7E">
      <w:headerReference w:type="even" r:id="rId13"/>
      <w:headerReference w:type="default" r:id="rId14"/>
      <w:footerReference w:type="even" r:id="rId15"/>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104D7" w14:textId="77777777" w:rsidR="00AC209E" w:rsidRDefault="00AC209E" w:rsidP="00B416AF">
      <w:pPr>
        <w:pStyle w:val="HeadHatzaotHok"/>
      </w:pPr>
      <w:r>
        <w:separator/>
      </w:r>
    </w:p>
  </w:endnote>
  <w:endnote w:type="continuationSeparator" w:id="0">
    <w:p w14:paraId="78206687" w14:textId="77777777" w:rsidR="00AC209E" w:rsidRDefault="00AC209E"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BA2E0"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4D742A3D"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CDA0F" w14:textId="77777777" w:rsidR="00AC209E" w:rsidRDefault="00AC209E" w:rsidP="00656E7E">
      <w:pPr>
        <w:pStyle w:val="HeadHatzaotHok"/>
        <w:spacing w:before="0"/>
        <w:ind w:left="0"/>
        <w:jc w:val="left"/>
      </w:pPr>
      <w:r>
        <w:separator/>
      </w:r>
    </w:p>
  </w:footnote>
  <w:footnote w:type="continuationSeparator" w:id="0">
    <w:p w14:paraId="0FFB9142" w14:textId="77777777" w:rsidR="00AC209E" w:rsidRPr="00696C5E" w:rsidRDefault="00AC209E" w:rsidP="00696C5E">
      <w:pPr>
        <w:pStyle w:val="HeadHatzaotHok"/>
        <w:spacing w:before="0"/>
        <w:jc w:val="left"/>
      </w:pPr>
      <w:r>
        <w:separator/>
      </w:r>
    </w:p>
  </w:footnote>
  <w:footnote w:id="1">
    <w:p w14:paraId="2C89C4C1" w14:textId="77777777" w:rsidR="008525E2" w:rsidRDefault="008525E2" w:rsidP="0024044E">
      <w:pPr>
        <w:pStyle w:val="a9"/>
        <w:rPr>
          <w:rtl/>
        </w:rPr>
      </w:pPr>
      <w:r>
        <w:rPr>
          <w:rStyle w:val="a8"/>
        </w:rPr>
        <w:t>*</w:t>
      </w:r>
      <w:r>
        <w:rPr>
          <w:rFonts w:hint="cs"/>
          <w:rtl/>
        </w:rPr>
        <w:t xml:space="preserve"> התקבל בכנסת ביום </w:t>
      </w:r>
      <w:bookmarkStart w:id="2" w:name="LGSVote3Date"/>
      <w:r>
        <w:rPr>
          <w:rFonts w:hint="cs"/>
          <w:rtl/>
        </w:rPr>
        <w:t>י"ב בתמוז התשע"ח (25 ביוני 2018)</w:t>
      </w:r>
      <w:bookmarkEnd w:id="2"/>
      <w:r>
        <w:rPr>
          <w:rFonts w:hint="cs"/>
          <w:rtl/>
        </w:rPr>
        <w:t xml:space="preserve">; הצעת החוק ודברי הסבר פורסמו בהצעות חוק </w:t>
      </w:r>
      <w:bookmarkStart w:id="3" w:name="LGSType"/>
      <w:r>
        <w:rPr>
          <w:rFonts w:hint="cs"/>
          <w:rtl/>
        </w:rPr>
        <w:t>הכנסת</w:t>
      </w:r>
      <w:bookmarkEnd w:id="3"/>
      <w:r>
        <w:rPr>
          <w:rFonts w:hint="cs"/>
          <w:rtl/>
        </w:rPr>
        <w:t xml:space="preserve"> </w:t>
      </w:r>
      <w:r>
        <w:rPr>
          <w:rFonts w:hint="eastAsia"/>
          <w:rtl/>
        </w:rPr>
        <w:t>–</w:t>
      </w:r>
      <w:r>
        <w:rPr>
          <w:rFonts w:hint="cs"/>
          <w:rtl/>
        </w:rPr>
        <w:t xml:space="preserve"> </w:t>
      </w:r>
      <w:bookmarkStart w:id="4" w:name="LGSNum"/>
      <w:r>
        <w:rPr>
          <w:rFonts w:hint="cs"/>
          <w:rtl/>
        </w:rPr>
        <w:t>777</w:t>
      </w:r>
      <w:bookmarkEnd w:id="4"/>
      <w:r>
        <w:rPr>
          <w:rFonts w:hint="eastAsia"/>
          <w:rtl/>
        </w:rPr>
        <w:t xml:space="preserve">, מיום </w:t>
      </w:r>
      <w:bookmarkStart w:id="5" w:name="HebDate"/>
      <w:r>
        <w:rPr>
          <w:rFonts w:hint="cs"/>
          <w:rtl/>
        </w:rPr>
        <w:t>כ"ט באייר התשע"ח</w:t>
      </w:r>
      <w:bookmarkEnd w:id="5"/>
      <w:r w:rsidRPr="00827E61">
        <w:rPr>
          <w:rFonts w:hint="cs"/>
          <w:rtl/>
        </w:rPr>
        <w:t xml:space="preserve"> (</w:t>
      </w:r>
      <w:bookmarkStart w:id="6" w:name="EngDate"/>
      <w:r>
        <w:rPr>
          <w:rFonts w:hint="cs"/>
          <w:rtl/>
        </w:rPr>
        <w:t>14 במאי 2018</w:t>
      </w:r>
      <w:bookmarkEnd w:id="6"/>
      <w:r w:rsidRPr="00827E61">
        <w:rPr>
          <w:rFonts w:hint="cs"/>
          <w:rtl/>
        </w:rPr>
        <w:t>), עמ'</w:t>
      </w:r>
      <w:r w:rsidR="00656E7E">
        <w:rPr>
          <w:rFonts w:hint="cs"/>
          <w:rtl/>
        </w:rPr>
        <w:t xml:space="preserve"> 160</w:t>
      </w:r>
      <w:r>
        <w:rPr>
          <w:rFonts w:hint="cs"/>
          <w:rtl/>
        </w:rPr>
        <w:t>.</w:t>
      </w:r>
    </w:p>
  </w:footnote>
  <w:footnote w:id="2">
    <w:p w14:paraId="3C4DF4A2" w14:textId="77777777" w:rsidR="00656E7E" w:rsidRDefault="00656E7E" w:rsidP="00656E7E">
      <w:pPr>
        <w:pStyle w:val="a9"/>
        <w:rPr>
          <w:rtl/>
        </w:rPr>
      </w:pPr>
      <w:r>
        <w:rPr>
          <w:rStyle w:val="a8"/>
        </w:rPr>
        <w:footnoteRef/>
      </w:r>
      <w:r>
        <w:rPr>
          <w:rtl/>
        </w:rPr>
        <w:t xml:space="preserve"> </w:t>
      </w:r>
      <w:r>
        <w:rPr>
          <w:rFonts w:hint="eastAsia"/>
          <w:rtl/>
        </w:rPr>
        <w:t>ס</w:t>
      </w:r>
      <w:r>
        <w:rPr>
          <w:rtl/>
        </w:rPr>
        <w:t xml:space="preserve">"ח </w:t>
      </w:r>
      <w:proofErr w:type="spellStart"/>
      <w:r>
        <w:rPr>
          <w:rtl/>
        </w:rPr>
        <w:t>התשי"ב</w:t>
      </w:r>
      <w:proofErr w:type="spellEnd"/>
      <w:r>
        <w:rPr>
          <w:rtl/>
        </w:rPr>
        <w:t xml:space="preserve">, עמ' 354; </w:t>
      </w:r>
      <w:proofErr w:type="spellStart"/>
      <w:r>
        <w:rPr>
          <w:rtl/>
        </w:rPr>
        <w:t>התשע"ח</w:t>
      </w:r>
      <w:proofErr w:type="spellEnd"/>
      <w:r>
        <w:rPr>
          <w:rtl/>
        </w:rPr>
        <w:t xml:space="preserve">, עמ' </w:t>
      </w:r>
      <w:r>
        <w:rPr>
          <w:rFonts w:hint="cs"/>
          <w:rtl/>
        </w:rPr>
        <w:t>668</w:t>
      </w:r>
      <w:r>
        <w:rPr>
          <w:rtl/>
        </w:rPr>
        <w:t>.</w:t>
      </w:r>
    </w:p>
  </w:footnote>
  <w:footnote w:id="3">
    <w:p w14:paraId="15AEC07F" w14:textId="77777777" w:rsidR="00656E7E" w:rsidRDefault="00656E7E" w:rsidP="00656E7E">
      <w:pPr>
        <w:pStyle w:val="a9"/>
        <w:rPr>
          <w:rtl/>
        </w:rPr>
      </w:pPr>
      <w:r>
        <w:rPr>
          <w:rStyle w:val="a8"/>
        </w:rPr>
        <w:footnoteRef/>
      </w:r>
      <w:r>
        <w:rPr>
          <w:rtl/>
        </w:rPr>
        <w:t xml:space="preserve"> </w:t>
      </w:r>
      <w:r>
        <w:rPr>
          <w:rFonts w:hint="cs"/>
          <w:rtl/>
        </w:rPr>
        <w:t xml:space="preserve">ס"ח </w:t>
      </w:r>
      <w:proofErr w:type="spellStart"/>
      <w:r>
        <w:rPr>
          <w:rFonts w:hint="cs"/>
          <w:rtl/>
        </w:rPr>
        <w:t>התשס"ד</w:t>
      </w:r>
      <w:proofErr w:type="spellEnd"/>
      <w:r>
        <w:rPr>
          <w:rFonts w:hint="cs"/>
          <w:rtl/>
        </w:rPr>
        <w:t>, עמ' 46.</w:t>
      </w:r>
    </w:p>
  </w:footnote>
  <w:footnote w:id="4">
    <w:p w14:paraId="6C1B9336" w14:textId="77777777" w:rsidR="00656E7E" w:rsidRDefault="00656E7E" w:rsidP="00656E7E">
      <w:pPr>
        <w:pStyle w:val="a9"/>
        <w:rPr>
          <w:rtl/>
        </w:rPr>
      </w:pPr>
      <w:r>
        <w:rPr>
          <w:rStyle w:val="a8"/>
        </w:rPr>
        <w:footnoteRef/>
      </w:r>
      <w:r>
        <w:rPr>
          <w:rtl/>
        </w:rPr>
        <w:t xml:space="preserve"> </w:t>
      </w:r>
      <w:r>
        <w:rPr>
          <w:rFonts w:hint="eastAsia"/>
          <w:rtl/>
        </w:rPr>
        <w:t>ס</w:t>
      </w:r>
      <w:r>
        <w:rPr>
          <w:rtl/>
        </w:rPr>
        <w:t xml:space="preserve">"ח </w:t>
      </w:r>
      <w:proofErr w:type="spellStart"/>
      <w:r>
        <w:rPr>
          <w:rtl/>
        </w:rPr>
        <w:t>התשנ"ה</w:t>
      </w:r>
      <w:proofErr w:type="spellEnd"/>
      <w:r>
        <w:rPr>
          <w:rtl/>
        </w:rPr>
        <w:t>, עמ' 210.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88765"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4B9EFADE"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CF723" w14:textId="77777777" w:rsidR="002137F8" w:rsidRPr="00E125CC" w:rsidRDefault="002137F8">
    <w:pPr>
      <w:pStyle w:val="ab"/>
      <w:framePr w:wrap="around" w:vAnchor="text" w:hAnchor="margin" w:xAlign="center" w:y="1"/>
      <w:rPr>
        <w:rStyle w:val="ac"/>
        <w:rtl/>
      </w:rPr>
    </w:pPr>
    <w:r>
      <w:rPr>
        <w:rStyle w:val="ac"/>
        <w:rFonts w:hint="cs"/>
        <w:rtl/>
      </w:rPr>
      <w:t xml:space="preserve">- </w:t>
    </w:r>
    <w:r w:rsidRPr="00E125CC">
      <w:rPr>
        <w:rStyle w:val="ac"/>
        <w:rtl/>
      </w:rPr>
      <w:fldChar w:fldCharType="begin"/>
    </w:r>
    <w:r w:rsidRPr="00E125CC">
      <w:rPr>
        <w:rStyle w:val="ac"/>
      </w:rPr>
      <w:instrText xml:space="preserve">PAGE  </w:instrText>
    </w:r>
    <w:r w:rsidRPr="00E125CC">
      <w:rPr>
        <w:rStyle w:val="ac"/>
        <w:rtl/>
      </w:rPr>
      <w:fldChar w:fldCharType="separate"/>
    </w:r>
    <w:r w:rsidR="00656E7E">
      <w:rPr>
        <w:rStyle w:val="ac"/>
        <w:noProof/>
        <w:rtl/>
      </w:rPr>
      <w:t>3</w:t>
    </w:r>
    <w:r w:rsidRPr="00E125CC">
      <w:rPr>
        <w:rStyle w:val="ac"/>
        <w:rtl/>
      </w:rPr>
      <w:fldChar w:fldCharType="end"/>
    </w:r>
    <w:r>
      <w:rPr>
        <w:rStyle w:val="ac"/>
        <w:rFonts w:hint="cs"/>
        <w:rtl/>
      </w:rPr>
      <w:t xml:space="preserve"> -</w:t>
    </w:r>
  </w:p>
  <w:p w14:paraId="75E1AEFC"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12"/>
  </w:num>
  <w:num w:numId="5">
    <w:abstractNumId w:val="15"/>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3"/>
    <w:lvlOverride w:ilvl="0">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77AF1"/>
    <w:rsid w:val="00093C5B"/>
    <w:rsid w:val="00097925"/>
    <w:rsid w:val="000B3A00"/>
    <w:rsid w:val="000E3B18"/>
    <w:rsid w:val="000E4563"/>
    <w:rsid w:val="000E7E08"/>
    <w:rsid w:val="000F6D7C"/>
    <w:rsid w:val="001253F6"/>
    <w:rsid w:val="00135743"/>
    <w:rsid w:val="00151246"/>
    <w:rsid w:val="001C4A6C"/>
    <w:rsid w:val="002000B0"/>
    <w:rsid w:val="00205DFF"/>
    <w:rsid w:val="0020610D"/>
    <w:rsid w:val="0020793A"/>
    <w:rsid w:val="002137F8"/>
    <w:rsid w:val="00220CAF"/>
    <w:rsid w:val="00222DA1"/>
    <w:rsid w:val="0024044E"/>
    <w:rsid w:val="00280B87"/>
    <w:rsid w:val="002C4285"/>
    <w:rsid w:val="002C440E"/>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53EAC"/>
    <w:rsid w:val="005652C2"/>
    <w:rsid w:val="0057628C"/>
    <w:rsid w:val="005A2EB8"/>
    <w:rsid w:val="005B6107"/>
    <w:rsid w:val="005C5383"/>
    <w:rsid w:val="005D1A36"/>
    <w:rsid w:val="005F20ED"/>
    <w:rsid w:val="00606368"/>
    <w:rsid w:val="00656E7E"/>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9F1621"/>
    <w:rsid w:val="00A03A03"/>
    <w:rsid w:val="00A15945"/>
    <w:rsid w:val="00A54DE5"/>
    <w:rsid w:val="00A9474C"/>
    <w:rsid w:val="00AA5399"/>
    <w:rsid w:val="00AC209E"/>
    <w:rsid w:val="00AC4CCE"/>
    <w:rsid w:val="00B16515"/>
    <w:rsid w:val="00B416AF"/>
    <w:rsid w:val="00B4412A"/>
    <w:rsid w:val="00B6418A"/>
    <w:rsid w:val="00B90E4C"/>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114CA"/>
    <w:rsid w:val="00D24673"/>
    <w:rsid w:val="00D4588A"/>
    <w:rsid w:val="00D82284"/>
    <w:rsid w:val="00D92FDC"/>
    <w:rsid w:val="00D9552D"/>
    <w:rsid w:val="00DD65EA"/>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B827D"/>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E7E"/>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656E7E"/>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656E7E"/>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656E7E"/>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656E7E"/>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656E7E"/>
    <w:pPr>
      <w:spacing w:line="259" w:lineRule="auto"/>
      <w:outlineLvl w:val="4"/>
    </w:pPr>
    <w:rPr>
      <w:color w:val="000000" w:themeColor="text1"/>
    </w:rPr>
  </w:style>
  <w:style w:type="character" w:default="1" w:styleId="a0">
    <w:name w:val="Default Paragraph Font"/>
    <w:uiPriority w:val="1"/>
    <w:semiHidden/>
    <w:unhideWhenUsed/>
    <w:rsid w:val="00656E7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56E7E"/>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656E7E"/>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656E7E"/>
    <w:rPr>
      <w:sz w:val="36"/>
      <w:szCs w:val="52"/>
    </w:rPr>
  </w:style>
  <w:style w:type="paragraph" w:customStyle="1" w:styleId="Cover3-Haknesset">
    <w:name w:val="Cover 3-Haknesset"/>
    <w:basedOn w:val="Cover1-Reshumot"/>
    <w:rsid w:val="00656E7E"/>
    <w:rPr>
      <w:b/>
      <w:bCs/>
      <w:spacing w:val="60"/>
    </w:rPr>
  </w:style>
  <w:style w:type="paragraph" w:customStyle="1" w:styleId="Cover4-Date">
    <w:name w:val="Cover 4-Date"/>
    <w:basedOn w:val="a"/>
    <w:rsid w:val="00656E7E"/>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5">
    <w:name w:val="endnote reference"/>
    <w:basedOn w:val="a0"/>
    <w:semiHidden/>
    <w:rsid w:val="00656E7E"/>
    <w:rPr>
      <w:vertAlign w:val="superscript"/>
    </w:rPr>
  </w:style>
  <w:style w:type="paragraph" w:customStyle="1" w:styleId="Ragil">
    <w:name w:val="Ragil"/>
    <w:basedOn w:val="a"/>
    <w:rsid w:val="00656E7E"/>
    <w:pPr>
      <w:snapToGrid w:val="0"/>
      <w:jc w:val="left"/>
    </w:pPr>
    <w:rPr>
      <w:rFonts w:ascii="Arial" w:eastAsia="Arial Unicode MS" w:hAnsi="Arial"/>
      <w:snapToGrid w:val="0"/>
      <w:sz w:val="20"/>
      <w:szCs w:val="26"/>
    </w:rPr>
  </w:style>
  <w:style w:type="paragraph" w:styleId="a6">
    <w:name w:val="endnote text"/>
    <w:basedOn w:val="a"/>
    <w:semiHidden/>
    <w:rsid w:val="00656E7E"/>
    <w:pPr>
      <w:ind w:left="227" w:hanging="227"/>
    </w:pPr>
    <w:rPr>
      <w:sz w:val="14"/>
      <w:szCs w:val="22"/>
    </w:rPr>
  </w:style>
  <w:style w:type="paragraph" w:styleId="a7">
    <w:name w:val="footer"/>
    <w:basedOn w:val="a"/>
    <w:rsid w:val="00656E7E"/>
    <w:pPr>
      <w:tabs>
        <w:tab w:val="center" w:pos="4153"/>
        <w:tab w:val="right" w:pos="8306"/>
      </w:tabs>
    </w:pPr>
  </w:style>
  <w:style w:type="character" w:styleId="a8">
    <w:name w:val="footnote reference"/>
    <w:aliases w:val="Footnote Reference"/>
    <w:basedOn w:val="a0"/>
    <w:semiHidden/>
    <w:rsid w:val="00656E7E"/>
    <w:rPr>
      <w:vertAlign w:val="superscript"/>
    </w:rPr>
  </w:style>
  <w:style w:type="paragraph" w:styleId="a9">
    <w:name w:val="footnote text"/>
    <w:basedOn w:val="a"/>
    <w:link w:val="aa"/>
    <w:autoRedefine/>
    <w:semiHidden/>
    <w:rsid w:val="00656E7E"/>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656E7E"/>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656E7E"/>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656E7E"/>
    <w:pPr>
      <w:spacing w:before="120" w:after="120"/>
    </w:pPr>
    <w:rPr>
      <w:color w:val="FF0000"/>
      <w:w w:val="80"/>
    </w:rPr>
  </w:style>
  <w:style w:type="paragraph" w:customStyle="1" w:styleId="HeadMitparsemetBaze">
    <w:name w:val="Head MitparsemetBaze"/>
    <w:basedOn w:val="a"/>
    <w:rsid w:val="00656E7E"/>
    <w:pPr>
      <w:keepNext/>
      <w:keepLines/>
      <w:pageBreakBefore/>
      <w:snapToGrid w:val="0"/>
      <w:spacing w:before="480"/>
    </w:pPr>
    <w:rPr>
      <w:rFonts w:ascii="Arial" w:eastAsia="Arial Unicode MS" w:hAnsi="Arial"/>
      <w:b/>
      <w:bCs/>
      <w:snapToGrid w:val="0"/>
      <w:sz w:val="20"/>
      <w:szCs w:val="26"/>
    </w:rPr>
  </w:style>
  <w:style w:type="paragraph" w:styleId="ab">
    <w:name w:val="header"/>
    <w:basedOn w:val="a"/>
    <w:rsid w:val="00656E7E"/>
    <w:pPr>
      <w:tabs>
        <w:tab w:val="center" w:pos="4153"/>
        <w:tab w:val="right" w:pos="8306"/>
      </w:tabs>
    </w:pPr>
  </w:style>
  <w:style w:type="paragraph" w:customStyle="1" w:styleId="Hesber">
    <w:name w:val="Hesber"/>
    <w:basedOn w:val="a"/>
    <w:rsid w:val="00656E7E"/>
    <w:pPr>
      <w:snapToGrid w:val="0"/>
      <w:ind w:left="0" w:firstLine="340"/>
    </w:pPr>
    <w:rPr>
      <w:rFonts w:ascii="Arial" w:eastAsia="Arial Unicode MS" w:hAnsi="Arial"/>
      <w:snapToGrid w:val="0"/>
      <w:sz w:val="20"/>
      <w:szCs w:val="26"/>
    </w:rPr>
  </w:style>
  <w:style w:type="paragraph" w:customStyle="1" w:styleId="Hesber1st">
    <w:name w:val="Hesber 1st"/>
    <w:basedOn w:val="Hesber"/>
    <w:rsid w:val="00656E7E"/>
    <w:pPr>
      <w:tabs>
        <w:tab w:val="left" w:pos="680"/>
        <w:tab w:val="left" w:pos="1020"/>
      </w:tabs>
      <w:ind w:firstLine="0"/>
    </w:pPr>
  </w:style>
  <w:style w:type="paragraph" w:customStyle="1" w:styleId="HesberHeading">
    <w:name w:val="Hesber Heading"/>
    <w:basedOn w:val="Hesber"/>
    <w:rsid w:val="00656E7E"/>
    <w:pPr>
      <w:tabs>
        <w:tab w:val="left" w:pos="624"/>
        <w:tab w:val="left" w:pos="1247"/>
      </w:tabs>
    </w:pPr>
    <w:rPr>
      <w:b/>
      <w:bCs/>
    </w:rPr>
  </w:style>
  <w:style w:type="paragraph" w:customStyle="1" w:styleId="HesberWriters">
    <w:name w:val="Hesber Writers"/>
    <w:basedOn w:val="Hesber"/>
    <w:rsid w:val="00656E7E"/>
    <w:pPr>
      <w:spacing w:before="120" w:after="120"/>
      <w:ind w:left="1418"/>
      <w:jc w:val="right"/>
    </w:pPr>
    <w:rPr>
      <w:b/>
      <w:bCs/>
    </w:rPr>
  </w:style>
  <w:style w:type="character" w:styleId="Hyperlink">
    <w:name w:val="Hyperlink"/>
    <w:basedOn w:val="a0"/>
    <w:uiPriority w:val="99"/>
    <w:unhideWhenUsed/>
    <w:rsid w:val="00656E7E"/>
    <w:rPr>
      <w:color w:val="0563C1" w:themeColor="hyperlink"/>
      <w:u w:val="single"/>
    </w:rPr>
  </w:style>
  <w:style w:type="character" w:styleId="ac">
    <w:name w:val="page number"/>
    <w:basedOn w:val="a0"/>
    <w:rsid w:val="00656E7E"/>
  </w:style>
  <w:style w:type="paragraph" w:customStyle="1" w:styleId="TableText">
    <w:name w:val="Table Text"/>
    <w:basedOn w:val="a"/>
    <w:rsid w:val="00656E7E"/>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656E7E"/>
    <w:pPr>
      <w:jc w:val="both"/>
    </w:pPr>
  </w:style>
  <w:style w:type="paragraph" w:customStyle="1" w:styleId="TableBlockOutdent">
    <w:name w:val="Table BlockOutdent"/>
    <w:basedOn w:val="TableBlock"/>
    <w:rsid w:val="00656E7E"/>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656E7E"/>
    <w:pPr>
      <w:jc w:val="center"/>
      <w:outlineLvl w:val="1"/>
    </w:pPr>
    <w:rPr>
      <w:b/>
      <w:bCs/>
    </w:rPr>
  </w:style>
  <w:style w:type="paragraph" w:customStyle="1" w:styleId="TableSideHeading">
    <w:name w:val="Table SideHeading"/>
    <w:basedOn w:val="TableText"/>
    <w:rsid w:val="00656E7E"/>
    <w:pPr>
      <w:outlineLvl w:val="2"/>
    </w:pPr>
  </w:style>
  <w:style w:type="paragraph" w:customStyle="1" w:styleId="TableInnerSideHeading">
    <w:name w:val="Table InnerSideHeading"/>
    <w:basedOn w:val="TableSideHeading"/>
    <w:rsid w:val="00656E7E"/>
    <w:pPr>
      <w:outlineLvl w:val="9"/>
    </w:pPr>
  </w:style>
  <w:style w:type="paragraph" w:customStyle="1" w:styleId="TableText2">
    <w:name w:val="Table Text2"/>
    <w:basedOn w:val="TableText"/>
    <w:rsid w:val="009579F7"/>
  </w:style>
  <w:style w:type="paragraph" w:styleId="ad">
    <w:name w:val="Title"/>
    <w:basedOn w:val="a"/>
    <w:qFormat/>
    <w:rsid w:val="009579F7"/>
    <w:pPr>
      <w:jc w:val="center"/>
    </w:pPr>
    <w:rPr>
      <w:b/>
      <w:bCs/>
      <w:sz w:val="28"/>
      <w:szCs w:val="28"/>
      <w:u w:val="single"/>
    </w:rPr>
  </w:style>
  <w:style w:type="paragraph" w:customStyle="1" w:styleId="TOC">
    <w:name w:val="TOC"/>
    <w:basedOn w:val="a"/>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a">
    <w:name w:val="טקסט הערת שוליים תו"/>
    <w:link w:val="a9"/>
    <w:semiHidden/>
    <w:rsid w:val="008525E2"/>
    <w:rPr>
      <w:rFonts w:ascii="Arial" w:eastAsia="Arial Unicode MS" w:hAnsi="Arial" w:cs="David"/>
      <w:snapToGrid w:val="0"/>
      <w:sz w:val="14"/>
    </w:rPr>
  </w:style>
  <w:style w:type="paragraph" w:styleId="ae">
    <w:name w:val="Balloon Text"/>
    <w:basedOn w:val="a"/>
    <w:link w:val="af"/>
    <w:rsid w:val="0024044E"/>
    <w:pPr>
      <w:spacing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 w:type="character" w:customStyle="1" w:styleId="30">
    <w:name w:val="כותרת 3 תו"/>
    <w:basedOn w:val="a0"/>
    <w:link w:val="3"/>
    <w:rsid w:val="00656E7E"/>
    <w:rPr>
      <w:rFonts w:asciiTheme="majorHAnsi" w:eastAsiaTheme="majorEastAsia" w:hAnsiTheme="majorHAnsi" w:cs="David"/>
      <w:sz w:val="24"/>
      <w:szCs w:val="28"/>
      <w:u w:val="double"/>
    </w:rPr>
  </w:style>
  <w:style w:type="character" w:customStyle="1" w:styleId="40">
    <w:name w:val="כותרת 4 תו"/>
    <w:basedOn w:val="a0"/>
    <w:link w:val="4"/>
    <w:uiPriority w:val="9"/>
    <w:rsid w:val="00656E7E"/>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656E7E"/>
    <w:rPr>
      <w:rFonts w:ascii="David" w:eastAsiaTheme="minorHAnsi" w:hAnsi="David" w:cs="David"/>
      <w:color w:val="000000" w:themeColor="text1"/>
      <w:sz w:val="24"/>
      <w:szCs w:val="24"/>
    </w:rPr>
  </w:style>
  <w:style w:type="character" w:customStyle="1" w:styleId="10">
    <w:name w:val="כותרת 1 תו"/>
    <w:basedOn w:val="a0"/>
    <w:link w:val="1"/>
    <w:uiPriority w:val="9"/>
    <w:rsid w:val="00656E7E"/>
    <w:rPr>
      <w:rFonts w:asciiTheme="majorHAnsi" w:eastAsiaTheme="majorEastAsia" w:hAnsiTheme="majorHAnsi" w:cs="David"/>
      <w:bCs/>
      <w:sz w:val="32"/>
      <w:szCs w:val="36"/>
    </w:rPr>
  </w:style>
  <w:style w:type="paragraph" w:styleId="af0">
    <w:name w:val="TOC Heading"/>
    <w:basedOn w:val="1"/>
    <w:next w:val="a"/>
    <w:uiPriority w:val="39"/>
    <w:unhideWhenUsed/>
    <w:qFormat/>
    <w:rsid w:val="00656E7E"/>
    <w:pPr>
      <w:widowControl/>
      <w:spacing w:before="120" w:after="120"/>
      <w:outlineLvl w:val="9"/>
    </w:pPr>
    <w:rPr>
      <w:rtl/>
      <w:cs/>
    </w:rPr>
  </w:style>
  <w:style w:type="paragraph" w:styleId="TOC1">
    <w:name w:val="toc 1"/>
    <w:basedOn w:val="a"/>
    <w:next w:val="a"/>
    <w:autoRedefine/>
    <w:uiPriority w:val="39"/>
    <w:unhideWhenUsed/>
    <w:rsid w:val="00656E7E"/>
    <w:pPr>
      <w:tabs>
        <w:tab w:val="right" w:leader="dot" w:pos="9629"/>
      </w:tabs>
      <w:spacing w:after="100"/>
    </w:pPr>
    <w:rPr>
      <w:bCs/>
      <w:szCs w:val="22"/>
    </w:rPr>
  </w:style>
  <w:style w:type="paragraph" w:styleId="TOC2">
    <w:name w:val="toc 2"/>
    <w:basedOn w:val="a"/>
    <w:next w:val="a"/>
    <w:uiPriority w:val="39"/>
    <w:unhideWhenUsed/>
    <w:rsid w:val="00656E7E"/>
    <w:pPr>
      <w:tabs>
        <w:tab w:val="right" w:leader="dot" w:pos="9628"/>
      </w:tabs>
      <w:spacing w:after="100"/>
    </w:pPr>
    <w:rPr>
      <w:szCs w:val="22"/>
    </w:rPr>
  </w:style>
  <w:style w:type="paragraph" w:styleId="TOC3">
    <w:name w:val="toc 3"/>
    <w:basedOn w:val="a"/>
    <w:next w:val="a"/>
    <w:uiPriority w:val="39"/>
    <w:unhideWhenUsed/>
    <w:rsid w:val="00656E7E"/>
    <w:pPr>
      <w:tabs>
        <w:tab w:val="right" w:leader="dot" w:pos="9629"/>
      </w:tabs>
      <w:spacing w:after="100"/>
      <w:ind w:left="567"/>
    </w:pPr>
    <w:rPr>
      <w:szCs w:val="22"/>
    </w:rPr>
  </w:style>
  <w:style w:type="paragraph" w:styleId="TOC4">
    <w:name w:val="toc 4"/>
    <w:basedOn w:val="a"/>
    <w:next w:val="a"/>
    <w:autoRedefine/>
    <w:unhideWhenUsed/>
    <w:qFormat/>
    <w:rsid w:val="00656E7E"/>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656E7E"/>
    <w:pPr>
      <w:tabs>
        <w:tab w:val="right" w:leader="dot" w:pos="9628"/>
      </w:tabs>
      <w:spacing w:after="100"/>
      <w:ind w:left="567"/>
    </w:pPr>
    <w:rPr>
      <w:szCs w:val="22"/>
    </w:rPr>
  </w:style>
  <w:style w:type="paragraph" w:styleId="TOC6">
    <w:name w:val="toc 6"/>
    <w:basedOn w:val="a"/>
    <w:next w:val="a"/>
    <w:autoRedefine/>
    <w:semiHidden/>
    <w:unhideWhenUsed/>
    <w:rsid w:val="00656E7E"/>
    <w:pPr>
      <w:spacing w:after="100"/>
      <w:ind w:left="850"/>
    </w:pPr>
  </w:style>
  <w:style w:type="paragraph" w:styleId="TOC7">
    <w:name w:val="toc 7"/>
    <w:basedOn w:val="a"/>
    <w:next w:val="a"/>
    <w:autoRedefine/>
    <w:semiHidden/>
    <w:unhideWhenUsed/>
    <w:rsid w:val="00656E7E"/>
    <w:pPr>
      <w:spacing w:after="100"/>
      <w:ind w:left="1020"/>
    </w:pPr>
  </w:style>
  <w:style w:type="paragraph" w:styleId="TOC8">
    <w:name w:val="toc 8"/>
    <w:basedOn w:val="a"/>
    <w:next w:val="a"/>
    <w:autoRedefine/>
    <w:semiHidden/>
    <w:unhideWhenUsed/>
    <w:rsid w:val="00656E7E"/>
    <w:pPr>
      <w:spacing w:after="100"/>
      <w:ind w:left="1190"/>
    </w:pPr>
  </w:style>
  <w:style w:type="paragraph" w:styleId="TOC9">
    <w:name w:val="toc 9"/>
    <w:basedOn w:val="a"/>
    <w:next w:val="a"/>
    <w:autoRedefine/>
    <w:semiHidden/>
    <w:unhideWhenUsed/>
    <w:rsid w:val="00656E7E"/>
    <w:pPr>
      <w:spacing w:after="100"/>
      <w:ind w:left="1360"/>
    </w:pPr>
  </w:style>
  <w:style w:type="character" w:customStyle="1" w:styleId="20">
    <w:name w:val="כותרת 2 תו"/>
    <w:basedOn w:val="a0"/>
    <w:link w:val="2"/>
    <w:rsid w:val="00656E7E"/>
    <w:rPr>
      <w:rFonts w:asciiTheme="majorHAnsi" w:eastAsiaTheme="majorEastAsia" w:hAnsiTheme="majorHAnsi" w:cs="David"/>
      <w:bCs/>
      <w:sz w:val="26"/>
      <w:szCs w:val="36"/>
      <w:u w:val="single"/>
    </w:rPr>
  </w:style>
  <w:style w:type="paragraph" w:customStyle="1" w:styleId="TableHead2">
    <w:name w:val="Table Head2"/>
    <w:basedOn w:val="TableHead"/>
    <w:qFormat/>
    <w:rsid w:val="00656E7E"/>
    <w:pPr>
      <w:outlineLvl w:val="9"/>
    </w:pPr>
  </w:style>
  <w:style w:type="paragraph" w:customStyle="1" w:styleId="TableSideHeading2">
    <w:name w:val="Table SideHeading2"/>
    <w:basedOn w:val="TableSideHeading"/>
    <w:autoRedefine/>
    <w:qFormat/>
    <w:rsid w:val="00656E7E"/>
    <w:pPr>
      <w:keepLines w:val="0"/>
      <w:outlineLvl w:val="9"/>
    </w:pPr>
  </w:style>
  <w:style w:type="paragraph" w:customStyle="1" w:styleId="0">
    <w:name w:val="סגנון שורה ראשונה:  0  ס''מ"/>
    <w:basedOn w:val="2"/>
    <w:rsid w:val="00656E7E"/>
    <w:rPr>
      <w:rFonts w:eastAsia="Times New Roman"/>
    </w:rPr>
  </w:style>
  <w:style w:type="paragraph" w:styleId="af1">
    <w:name w:val="List Paragraph"/>
    <w:basedOn w:val="a"/>
    <w:uiPriority w:val="34"/>
    <w:qFormat/>
    <w:rsid w:val="00656E7E"/>
    <w:pPr>
      <w:widowControl/>
      <w:spacing w:line="259" w:lineRule="auto"/>
    </w:pPr>
    <w:rPr>
      <w:rFonts w:asciiTheme="minorHAnsi" w:hAnsiTheme="minorHAnsi"/>
      <w:sz w:val="22"/>
    </w:rPr>
  </w:style>
  <w:style w:type="table" w:styleId="af2">
    <w:name w:val="Table Grid"/>
    <w:basedOn w:val="a1"/>
    <w:rsid w:val="00656E7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656E7E"/>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656E7E"/>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3">
    <w:name w:val="טבלת חקיקה"/>
    <w:basedOn w:val="a1"/>
    <w:uiPriority w:val="99"/>
    <w:rsid w:val="00656E7E"/>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4">
    <w:name w:val="סגנון1"/>
    <w:basedOn w:val="a1"/>
    <w:uiPriority w:val="99"/>
    <w:rsid w:val="00656E7E"/>
    <w:rPr>
      <w:rFonts w:eastAsia="MS Mincho"/>
    </w:rPr>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95333-2F73-4BE2-A8CE-6B26AB75AC4E}"/>
</file>

<file path=customXml/itemProps2.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3.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4.xml><?xml version="1.0" encoding="utf-8"?>
<ds:datastoreItem xmlns:ds="http://schemas.openxmlformats.org/officeDocument/2006/customXml" ds:itemID="{2D8EBCEC-4AA2-41E4-B2F7-D70081E1EE29}">
  <ds:schemaRefs>
    <ds:schemaRef ds:uri="http://schemas.microsoft.com/sharepoint/events"/>
  </ds:schemaRefs>
</ds:datastoreItem>
</file>

<file path=customXml/itemProps5.xml><?xml version="1.0" encoding="utf-8"?>
<ds:datastoreItem xmlns:ds="http://schemas.openxmlformats.org/officeDocument/2006/customXml" ds:itemID="{9AAD3E59-1685-4866-88AE-10917921A27A}">
  <ds:schemaRefs>
    <ds:schemaRef ds:uri="http://schemas.microsoft.com/office/2006/metadata/properties"/>
    <ds:schemaRef ds:uri="e860c347-3c75-42f3-9b43-fe3c3ef9805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8ce1d4b-e1f6-446e-84c0-71ee544e8fe0"/>
    <ds:schemaRef ds:uri="f380af25-22dd-4a89-bd18-c5bf793c56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638</Words>
  <Characters>3052</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4</cp:revision>
  <cp:lastPrinted>2018-06-26T08:50:00Z</cp:lastPrinted>
  <dcterms:created xsi:type="dcterms:W3CDTF">2018-06-18T13:53:00Z</dcterms:created>
  <dcterms:modified xsi:type="dcterms:W3CDTF">2018-06-26T08:50:00Z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308a2f97-2372-4f0e-90fb-c836e28ffc56</vt:lpwstr>
  </property>
  <property fmtid="{D5CDD505-2E9C-101B-9397-08002B2CF9AE}" pid="20" name="SanhedrinItemID">
    <vt:r8>2064473</vt:r8>
  </property>
  <property fmtid="{D5CDD505-2E9C-101B-9397-08002B2CF9AE}" pid="21" name="SanhedrinDocumentType">
    <vt:r8>42</vt:r8>
  </property>
</Properties>
</file>