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1CEA6" w14:textId="77777777" w:rsidR="008525E2" w:rsidRDefault="00C7276B" w:rsidP="008525E2">
      <w:pPr>
        <w:spacing w:before="0"/>
        <w:jc w:val="center"/>
        <w:rPr>
          <w:b/>
          <w:bCs/>
          <w:sz w:val="28"/>
          <w:szCs w:val="28"/>
          <w:rtl/>
        </w:rPr>
      </w:pPr>
      <w:r>
        <w:rPr>
          <w:noProof/>
          <w:lang w:eastAsia="en-US"/>
        </w:rPr>
        <w:drawing>
          <wp:inline distT="0" distB="0" distL="0" distR="0" wp14:anchorId="11F1CECB" wp14:editId="11F1CECC">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11F1CEA7" w14:textId="77777777" w:rsidR="008525E2" w:rsidRDefault="008525E2" w:rsidP="008525E2">
      <w:pPr>
        <w:spacing w:before="0"/>
        <w:jc w:val="center"/>
        <w:rPr>
          <w:b/>
          <w:bCs/>
          <w:sz w:val="28"/>
          <w:szCs w:val="28"/>
          <w:rtl/>
        </w:rPr>
      </w:pPr>
    </w:p>
    <w:p w14:paraId="11F1CEA8" w14:textId="7A54DCFC" w:rsidR="008525E2" w:rsidRDefault="00220CAF" w:rsidP="00AC5110">
      <w:pPr>
        <w:spacing w:before="0"/>
        <w:jc w:val="center"/>
        <w:rPr>
          <w:b/>
          <w:bCs/>
          <w:sz w:val="28"/>
          <w:szCs w:val="28"/>
          <w:rtl/>
        </w:rPr>
      </w:pPr>
      <w:bookmarkStart w:id="0" w:name="LGSName"/>
      <w:r>
        <w:rPr>
          <w:rStyle w:val="HeadHatzaotHok0"/>
          <w:rFonts w:hint="cs"/>
          <w:rtl/>
        </w:rPr>
        <w:t xml:space="preserve">חוק לתיקון דיני הראיות (הגנת ילדים) (תיקון מס' 17), </w:t>
      </w:r>
      <w:proofErr w:type="spellStart"/>
      <w:r>
        <w:rPr>
          <w:rStyle w:val="HeadHatzaotHok0"/>
          <w:rFonts w:hint="cs"/>
          <w:rtl/>
        </w:rPr>
        <w:t>התשע"ז</w:t>
      </w:r>
      <w:proofErr w:type="spellEnd"/>
      <w:r w:rsidR="00AC5110">
        <w:rPr>
          <w:rStyle w:val="HeadHatzaotHok0"/>
          <w:rFonts w:hint="eastAsia"/>
          <w:rtl/>
        </w:rPr>
        <w:t>–</w:t>
      </w:r>
      <w:r>
        <w:rPr>
          <w:rStyle w:val="HeadHatzaotHok0"/>
          <w:rFonts w:hint="cs"/>
          <w:rtl/>
        </w:rPr>
        <w:t>2017</w:t>
      </w:r>
      <w:bookmarkEnd w:id="0"/>
      <w:r w:rsidR="008525E2">
        <w:rPr>
          <w:rStyle w:val="a8"/>
          <w:b/>
          <w:bCs/>
          <w:sz w:val="28"/>
          <w:szCs w:val="28"/>
          <w:rtl/>
        </w:rPr>
        <w:footnoteReference w:customMarkFollows="1" w:id="1"/>
        <w:t>*</w:t>
      </w:r>
    </w:p>
    <w:p w14:paraId="11F1CEA9" w14:textId="77777777" w:rsidR="008525E2" w:rsidRDefault="008525E2" w:rsidP="008525E2">
      <w:pPr>
        <w:spacing w:before="0"/>
        <w:rPr>
          <w:sz w:val="26"/>
          <w:szCs w:val="26"/>
          <w:rtl/>
        </w:rPr>
      </w:pPr>
    </w:p>
    <w:tbl>
      <w:tblPr>
        <w:bidiVisual/>
        <w:tblW w:w="9636" w:type="dxa"/>
        <w:tblLayout w:type="fixed"/>
        <w:tblCellMar>
          <w:top w:w="57" w:type="dxa"/>
          <w:left w:w="0" w:type="dxa"/>
          <w:bottom w:w="57" w:type="dxa"/>
          <w:right w:w="0" w:type="dxa"/>
        </w:tblCellMar>
        <w:tblLook w:val="0000" w:firstRow="0" w:lastRow="0" w:firstColumn="0" w:lastColumn="0" w:noHBand="0" w:noVBand="0"/>
      </w:tblPr>
      <w:tblGrid>
        <w:gridCol w:w="1869"/>
        <w:gridCol w:w="624"/>
        <w:gridCol w:w="624"/>
        <w:gridCol w:w="624"/>
        <w:gridCol w:w="624"/>
        <w:gridCol w:w="624"/>
        <w:gridCol w:w="624"/>
        <w:gridCol w:w="4023"/>
      </w:tblGrid>
      <w:tr w:rsidR="00D10064" w:rsidRPr="00D10064" w14:paraId="744C3763" w14:textId="77777777" w:rsidTr="00D10064">
        <w:trPr>
          <w:cantSplit/>
        </w:trPr>
        <w:tc>
          <w:tcPr>
            <w:tcW w:w="1869" w:type="dxa"/>
            <w:shd w:val="clear" w:color="auto" w:fill="auto"/>
            <w:tcMar>
              <w:top w:w="91" w:type="dxa"/>
              <w:left w:w="0" w:type="dxa"/>
              <w:bottom w:w="91" w:type="dxa"/>
              <w:right w:w="0" w:type="dxa"/>
            </w:tcMar>
          </w:tcPr>
          <w:p w14:paraId="758B5842" w14:textId="77777777" w:rsidR="00D10064" w:rsidRPr="00120D64" w:rsidRDefault="00D10064" w:rsidP="00120D64">
            <w:pPr>
              <w:pStyle w:val="TableSideHeading"/>
              <w:ind w:right="0"/>
              <w:rPr>
                <w:rtl/>
              </w:rPr>
            </w:pPr>
            <w:r w:rsidRPr="00120D64">
              <w:rPr>
                <w:rtl/>
              </w:rPr>
              <w:t>תיקון סעיף 2</w:t>
            </w:r>
          </w:p>
        </w:tc>
        <w:tc>
          <w:tcPr>
            <w:tcW w:w="624" w:type="dxa"/>
            <w:shd w:val="clear" w:color="auto" w:fill="auto"/>
            <w:tcMar>
              <w:top w:w="91" w:type="dxa"/>
              <w:left w:w="0" w:type="dxa"/>
              <w:bottom w:w="91" w:type="dxa"/>
              <w:right w:w="0" w:type="dxa"/>
            </w:tcMar>
          </w:tcPr>
          <w:p w14:paraId="7DC5C074" w14:textId="77777777" w:rsidR="00D10064" w:rsidRPr="00120D64" w:rsidRDefault="00D10064" w:rsidP="00120D64">
            <w:pPr>
              <w:pStyle w:val="TableText"/>
              <w:ind w:right="0"/>
              <w:jc w:val="both"/>
              <w:rPr>
                <w:rtl/>
              </w:rPr>
            </w:pPr>
            <w:r w:rsidRPr="00120D64">
              <w:rPr>
                <w:rtl/>
              </w:rPr>
              <w:t xml:space="preserve">1. </w:t>
            </w:r>
          </w:p>
        </w:tc>
        <w:tc>
          <w:tcPr>
            <w:tcW w:w="7143" w:type="dxa"/>
            <w:gridSpan w:val="6"/>
            <w:shd w:val="clear" w:color="auto" w:fill="auto"/>
            <w:tcMar>
              <w:top w:w="91" w:type="dxa"/>
              <w:left w:w="0" w:type="dxa"/>
              <w:bottom w:w="91" w:type="dxa"/>
              <w:right w:w="0" w:type="dxa"/>
            </w:tcMar>
          </w:tcPr>
          <w:p w14:paraId="2675124F" w14:textId="77777777" w:rsidR="00D10064" w:rsidRPr="00120D64" w:rsidRDefault="00D10064" w:rsidP="00120D64">
            <w:pPr>
              <w:pStyle w:val="TableBlock"/>
              <w:rPr>
                <w:rtl/>
              </w:rPr>
            </w:pPr>
            <w:r w:rsidRPr="00120D64">
              <w:rPr>
                <w:rtl/>
              </w:rPr>
              <w:t xml:space="preserve">בחוק לתיקון דיני הראיות (הגנת ילדים), </w:t>
            </w:r>
            <w:proofErr w:type="spellStart"/>
            <w:r w:rsidRPr="00120D64">
              <w:rPr>
                <w:rtl/>
              </w:rPr>
              <w:t>התשט"ו</w:t>
            </w:r>
            <w:proofErr w:type="spellEnd"/>
            <w:r w:rsidRPr="00120D64">
              <w:rPr>
                <w:rtl/>
              </w:rPr>
              <w:t>–1955‏‏</w:t>
            </w:r>
            <w:r w:rsidRPr="00804988">
              <w:rPr>
                <w:vertAlign w:val="superscript"/>
                <w:rtl/>
              </w:rPr>
              <w:footnoteReference w:id="2"/>
            </w:r>
            <w:r w:rsidRPr="00120D64">
              <w:rPr>
                <w:rtl/>
              </w:rPr>
              <w:t xml:space="preserve"> (להלן – החוק העיקרי), בסעיף 2 –</w:t>
            </w:r>
          </w:p>
        </w:tc>
      </w:tr>
      <w:tr w:rsidR="00D10064" w:rsidRPr="00D10064" w14:paraId="2DFA49DE" w14:textId="77777777" w:rsidTr="00D10064">
        <w:trPr>
          <w:cantSplit/>
        </w:trPr>
        <w:tc>
          <w:tcPr>
            <w:tcW w:w="1869" w:type="dxa"/>
            <w:shd w:val="clear" w:color="auto" w:fill="auto"/>
            <w:tcMar>
              <w:top w:w="91" w:type="dxa"/>
              <w:left w:w="0" w:type="dxa"/>
              <w:bottom w:w="91" w:type="dxa"/>
              <w:right w:w="0" w:type="dxa"/>
            </w:tcMar>
          </w:tcPr>
          <w:p w14:paraId="2AF5D73D"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344F05D2" w14:textId="77777777" w:rsidR="00D10064" w:rsidRPr="00120D64" w:rsidRDefault="00D10064" w:rsidP="00120D64">
            <w:pPr>
              <w:pStyle w:val="TableText"/>
              <w:ind w:right="0"/>
              <w:jc w:val="both"/>
              <w:rPr>
                <w:rtl/>
              </w:rPr>
            </w:pPr>
          </w:p>
        </w:tc>
        <w:tc>
          <w:tcPr>
            <w:tcW w:w="7143" w:type="dxa"/>
            <w:gridSpan w:val="6"/>
            <w:shd w:val="clear" w:color="auto" w:fill="auto"/>
            <w:tcMar>
              <w:top w:w="91" w:type="dxa"/>
              <w:left w:w="0" w:type="dxa"/>
              <w:bottom w:w="91" w:type="dxa"/>
              <w:right w:w="0" w:type="dxa"/>
            </w:tcMar>
          </w:tcPr>
          <w:p w14:paraId="569F07C7" w14:textId="77777777" w:rsidR="00D10064" w:rsidRPr="00D10064" w:rsidRDefault="00D10064" w:rsidP="00120D64">
            <w:pPr>
              <w:pStyle w:val="TableBlock"/>
              <w:rPr>
                <w:rtl/>
              </w:rPr>
            </w:pPr>
            <w:r w:rsidRPr="00D10064">
              <w:rPr>
                <w:rtl/>
              </w:rPr>
              <w:t>(1)</w:t>
            </w:r>
            <w:r w:rsidRPr="00D10064">
              <w:rPr>
                <w:rtl/>
              </w:rPr>
              <w:tab/>
              <w:t>בסעיף קטן (א), אחרי "ברשות חוקר ילדים" יבוא "ובנוכחותו";</w:t>
            </w:r>
          </w:p>
        </w:tc>
      </w:tr>
      <w:tr w:rsidR="00D10064" w:rsidRPr="00D10064" w14:paraId="741F3193" w14:textId="77777777" w:rsidTr="00D10064">
        <w:trPr>
          <w:cantSplit/>
        </w:trPr>
        <w:tc>
          <w:tcPr>
            <w:tcW w:w="1869" w:type="dxa"/>
            <w:shd w:val="clear" w:color="auto" w:fill="auto"/>
            <w:tcMar>
              <w:top w:w="91" w:type="dxa"/>
              <w:left w:w="0" w:type="dxa"/>
              <w:bottom w:w="91" w:type="dxa"/>
              <w:right w:w="0" w:type="dxa"/>
            </w:tcMar>
          </w:tcPr>
          <w:p w14:paraId="75F084B0"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271F593D" w14:textId="77777777" w:rsidR="00D10064" w:rsidRPr="00120D64" w:rsidRDefault="00D10064" w:rsidP="00120D64">
            <w:pPr>
              <w:pStyle w:val="TableText"/>
              <w:ind w:right="0"/>
              <w:jc w:val="both"/>
              <w:rPr>
                <w:rtl/>
              </w:rPr>
            </w:pPr>
          </w:p>
        </w:tc>
        <w:tc>
          <w:tcPr>
            <w:tcW w:w="7143" w:type="dxa"/>
            <w:gridSpan w:val="6"/>
            <w:shd w:val="clear" w:color="auto" w:fill="auto"/>
            <w:tcMar>
              <w:top w:w="91" w:type="dxa"/>
              <w:left w:w="0" w:type="dxa"/>
              <w:bottom w:w="91" w:type="dxa"/>
              <w:right w:w="0" w:type="dxa"/>
            </w:tcMar>
          </w:tcPr>
          <w:p w14:paraId="78AF3207" w14:textId="77777777" w:rsidR="00D10064" w:rsidRPr="00D10064" w:rsidRDefault="00D10064" w:rsidP="00120D64">
            <w:pPr>
              <w:pStyle w:val="TableBlock"/>
              <w:rPr>
                <w:rtl/>
              </w:rPr>
            </w:pPr>
            <w:r w:rsidRPr="00D10064">
              <w:rPr>
                <w:rtl/>
              </w:rPr>
              <w:t>(2)</w:t>
            </w:r>
            <w:r w:rsidRPr="00D10064">
              <w:rPr>
                <w:rtl/>
              </w:rPr>
              <w:tab/>
              <w:t xml:space="preserve">בסעיף קטן (ב), בסופו יבוא "אין בהוראות סעיף קטן זה כדי לגרוע מהוראות סעיף 2ב, או מהוראות סעיף 15 לחוק זכויות נפגעי עבירה, </w:t>
            </w:r>
            <w:proofErr w:type="spellStart"/>
            <w:r w:rsidRPr="00D10064">
              <w:rPr>
                <w:rtl/>
              </w:rPr>
              <w:t>התשס"א</w:t>
            </w:r>
            <w:proofErr w:type="spellEnd"/>
            <w:r w:rsidRPr="00D10064">
              <w:rPr>
                <w:rtl/>
              </w:rPr>
              <w:t>–2001‏‏</w:t>
            </w:r>
            <w:r w:rsidRPr="00D10064">
              <w:rPr>
                <w:vertAlign w:val="superscript"/>
                <w:rtl/>
              </w:rPr>
              <w:footnoteReference w:id="3"/>
            </w:r>
            <w:r w:rsidRPr="00D10064">
              <w:rPr>
                <w:rtl/>
              </w:rPr>
              <w:t>";</w:t>
            </w:r>
          </w:p>
        </w:tc>
      </w:tr>
      <w:tr w:rsidR="00D10064" w:rsidRPr="00D10064" w14:paraId="47BEB756" w14:textId="77777777" w:rsidTr="00D10064">
        <w:trPr>
          <w:cantSplit/>
        </w:trPr>
        <w:tc>
          <w:tcPr>
            <w:tcW w:w="1869" w:type="dxa"/>
            <w:shd w:val="clear" w:color="auto" w:fill="auto"/>
            <w:tcMar>
              <w:top w:w="91" w:type="dxa"/>
              <w:left w:w="0" w:type="dxa"/>
              <w:bottom w:w="91" w:type="dxa"/>
              <w:right w:w="0" w:type="dxa"/>
            </w:tcMar>
          </w:tcPr>
          <w:p w14:paraId="6BBDB821"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684DC132" w14:textId="77777777" w:rsidR="00D10064" w:rsidRPr="00120D64" w:rsidRDefault="00D10064" w:rsidP="00120D64">
            <w:pPr>
              <w:pStyle w:val="TableText"/>
              <w:ind w:right="0"/>
              <w:jc w:val="both"/>
              <w:rPr>
                <w:rtl/>
              </w:rPr>
            </w:pPr>
          </w:p>
        </w:tc>
        <w:tc>
          <w:tcPr>
            <w:tcW w:w="7143" w:type="dxa"/>
            <w:gridSpan w:val="6"/>
            <w:shd w:val="clear" w:color="auto" w:fill="auto"/>
            <w:tcMar>
              <w:top w:w="91" w:type="dxa"/>
              <w:left w:w="0" w:type="dxa"/>
              <w:bottom w:w="91" w:type="dxa"/>
              <w:right w:w="0" w:type="dxa"/>
            </w:tcMar>
          </w:tcPr>
          <w:p w14:paraId="09F99B12" w14:textId="77777777" w:rsidR="00D10064" w:rsidRPr="00120D64" w:rsidRDefault="00D10064" w:rsidP="00120D64">
            <w:pPr>
              <w:pStyle w:val="TableBlock"/>
              <w:rPr>
                <w:rtl/>
              </w:rPr>
            </w:pPr>
            <w:r w:rsidRPr="00120D64">
              <w:rPr>
                <w:rtl/>
              </w:rPr>
              <w:t>(3)</w:t>
            </w:r>
            <w:r w:rsidRPr="00120D64">
              <w:rPr>
                <w:rtl/>
              </w:rPr>
              <w:tab/>
              <w:t>בסעיף קטן (ג), במקום "רשאי בית המשפט" יבוא "בית המשפט רשאי, ביוזמתו או לבקשת חוקר הילדים,";</w:t>
            </w:r>
          </w:p>
        </w:tc>
      </w:tr>
      <w:tr w:rsidR="00D10064" w:rsidRPr="00D10064" w14:paraId="3DD4C77A" w14:textId="77777777" w:rsidTr="00D10064">
        <w:trPr>
          <w:cantSplit/>
        </w:trPr>
        <w:tc>
          <w:tcPr>
            <w:tcW w:w="1869" w:type="dxa"/>
            <w:shd w:val="clear" w:color="auto" w:fill="auto"/>
            <w:tcMar>
              <w:top w:w="91" w:type="dxa"/>
              <w:left w:w="0" w:type="dxa"/>
              <w:bottom w:w="91" w:type="dxa"/>
              <w:right w:w="0" w:type="dxa"/>
            </w:tcMar>
          </w:tcPr>
          <w:p w14:paraId="7A8C481D"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72B7739F" w14:textId="77777777" w:rsidR="00D10064" w:rsidRPr="00120D64" w:rsidRDefault="00D10064" w:rsidP="00120D64">
            <w:pPr>
              <w:pStyle w:val="TableText"/>
              <w:ind w:right="0"/>
              <w:jc w:val="both"/>
              <w:rPr>
                <w:rtl/>
              </w:rPr>
            </w:pPr>
          </w:p>
        </w:tc>
        <w:tc>
          <w:tcPr>
            <w:tcW w:w="7143" w:type="dxa"/>
            <w:gridSpan w:val="6"/>
            <w:shd w:val="clear" w:color="auto" w:fill="auto"/>
            <w:tcMar>
              <w:top w:w="91" w:type="dxa"/>
              <w:left w:w="0" w:type="dxa"/>
              <w:bottom w:w="91" w:type="dxa"/>
              <w:right w:w="0" w:type="dxa"/>
            </w:tcMar>
          </w:tcPr>
          <w:p w14:paraId="02DB9AF8" w14:textId="77777777" w:rsidR="00D10064" w:rsidRPr="00120D64" w:rsidRDefault="00D10064" w:rsidP="00120D64">
            <w:pPr>
              <w:pStyle w:val="TableBlock"/>
              <w:rPr>
                <w:rtl/>
              </w:rPr>
            </w:pPr>
            <w:r w:rsidRPr="00D10064">
              <w:rPr>
                <w:rtl/>
              </w:rPr>
              <w:t>(4)</w:t>
            </w:r>
            <w:r w:rsidRPr="00D10064">
              <w:rPr>
                <w:rtl/>
              </w:rPr>
              <w:tab/>
              <w:t xml:space="preserve">בסעיף קטן (ד) – </w:t>
            </w:r>
          </w:p>
        </w:tc>
      </w:tr>
      <w:tr w:rsidR="00D10064" w:rsidRPr="00D10064" w14:paraId="746B4B85" w14:textId="77777777" w:rsidTr="00D10064">
        <w:trPr>
          <w:cantSplit/>
        </w:trPr>
        <w:tc>
          <w:tcPr>
            <w:tcW w:w="1869" w:type="dxa"/>
            <w:shd w:val="clear" w:color="auto" w:fill="auto"/>
            <w:tcMar>
              <w:top w:w="91" w:type="dxa"/>
              <w:left w:w="0" w:type="dxa"/>
              <w:bottom w:w="91" w:type="dxa"/>
              <w:right w:w="0" w:type="dxa"/>
            </w:tcMar>
          </w:tcPr>
          <w:p w14:paraId="26F573AF"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3163BB52"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5A15FBD9" w14:textId="77777777" w:rsidR="00D10064" w:rsidRPr="00120D64" w:rsidRDefault="00D10064" w:rsidP="00120D64">
            <w:pPr>
              <w:pStyle w:val="TableText"/>
              <w:ind w:right="0"/>
              <w:jc w:val="both"/>
              <w:rPr>
                <w:rtl/>
              </w:rPr>
            </w:pPr>
          </w:p>
        </w:tc>
        <w:tc>
          <w:tcPr>
            <w:tcW w:w="6519" w:type="dxa"/>
            <w:gridSpan w:val="5"/>
            <w:shd w:val="clear" w:color="auto" w:fill="auto"/>
            <w:tcMar>
              <w:top w:w="91" w:type="dxa"/>
              <w:left w:w="0" w:type="dxa"/>
              <w:bottom w:w="91" w:type="dxa"/>
              <w:right w:w="0" w:type="dxa"/>
            </w:tcMar>
          </w:tcPr>
          <w:p w14:paraId="186BA37A" w14:textId="77777777" w:rsidR="00D10064" w:rsidRPr="00D10064" w:rsidRDefault="00D10064" w:rsidP="00120D64">
            <w:pPr>
              <w:pStyle w:val="TableBlock"/>
              <w:rPr>
                <w:rtl/>
              </w:rPr>
            </w:pPr>
            <w:r w:rsidRPr="00D10064">
              <w:rPr>
                <w:rtl/>
              </w:rPr>
              <w:t>(א)</w:t>
            </w:r>
            <w:r w:rsidRPr="00D10064">
              <w:rPr>
                <w:rtl/>
              </w:rPr>
              <w:tab/>
              <w:t>בפסקה (1), במקום "</w:t>
            </w:r>
            <w:proofErr w:type="spellStart"/>
            <w:r w:rsidRPr="00120D64">
              <w:rPr>
                <w:rtl/>
              </w:rPr>
              <w:t>סניגורו</w:t>
            </w:r>
            <w:proofErr w:type="spellEnd"/>
            <w:r w:rsidRPr="00D10064">
              <w:rPr>
                <w:rtl/>
              </w:rPr>
              <w:t>" יבוא "</w:t>
            </w:r>
            <w:proofErr w:type="spellStart"/>
            <w:r w:rsidRPr="00D10064">
              <w:rPr>
                <w:rtl/>
              </w:rPr>
              <w:t>סניגורו</w:t>
            </w:r>
            <w:proofErr w:type="spellEnd"/>
            <w:r w:rsidRPr="00D10064">
              <w:rPr>
                <w:rtl/>
              </w:rPr>
              <w:t>, באמצעות מערכת טלוויזיה במעגל סגור או בדרך אחרת";</w:t>
            </w:r>
          </w:p>
        </w:tc>
      </w:tr>
      <w:tr w:rsidR="00D10064" w:rsidRPr="00D10064" w14:paraId="0467CABC" w14:textId="77777777" w:rsidTr="00D10064">
        <w:trPr>
          <w:cantSplit/>
        </w:trPr>
        <w:tc>
          <w:tcPr>
            <w:tcW w:w="1869" w:type="dxa"/>
            <w:shd w:val="clear" w:color="auto" w:fill="auto"/>
            <w:tcMar>
              <w:top w:w="91" w:type="dxa"/>
              <w:left w:w="0" w:type="dxa"/>
              <w:bottom w:w="91" w:type="dxa"/>
              <w:right w:w="0" w:type="dxa"/>
            </w:tcMar>
          </w:tcPr>
          <w:p w14:paraId="533D231A"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6B788AF6"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0A77FC80" w14:textId="77777777" w:rsidR="00D10064" w:rsidRPr="00120D64" w:rsidRDefault="00D10064" w:rsidP="00120D64">
            <w:pPr>
              <w:pStyle w:val="TableText"/>
              <w:ind w:right="0"/>
              <w:jc w:val="both"/>
              <w:rPr>
                <w:rtl/>
              </w:rPr>
            </w:pPr>
          </w:p>
        </w:tc>
        <w:tc>
          <w:tcPr>
            <w:tcW w:w="6519" w:type="dxa"/>
            <w:gridSpan w:val="5"/>
            <w:shd w:val="clear" w:color="auto" w:fill="auto"/>
            <w:tcMar>
              <w:top w:w="91" w:type="dxa"/>
              <w:left w:w="0" w:type="dxa"/>
              <w:bottom w:w="91" w:type="dxa"/>
              <w:right w:w="0" w:type="dxa"/>
            </w:tcMar>
          </w:tcPr>
          <w:p w14:paraId="381E7B2A" w14:textId="77777777" w:rsidR="00D10064" w:rsidRPr="00D10064" w:rsidRDefault="00D10064" w:rsidP="00120D64">
            <w:pPr>
              <w:pStyle w:val="TableBlock"/>
              <w:rPr>
                <w:rtl/>
              </w:rPr>
            </w:pPr>
            <w:r w:rsidRPr="00D10064">
              <w:rPr>
                <w:rtl/>
              </w:rPr>
              <w:t>(ב)</w:t>
            </w:r>
            <w:r w:rsidRPr="00D10064">
              <w:rPr>
                <w:rtl/>
              </w:rPr>
              <w:tab/>
              <w:t xml:space="preserve">בפסקה (7), במקום "לפי סעיף 68 לחוק בתי המשפט [נוסח משולב], </w:t>
            </w:r>
            <w:proofErr w:type="spellStart"/>
            <w:r w:rsidRPr="00D10064">
              <w:rPr>
                <w:rtl/>
              </w:rPr>
              <w:t>התשמ"ד</w:t>
            </w:r>
            <w:proofErr w:type="spellEnd"/>
            <w:r w:rsidRPr="00D10064">
              <w:rPr>
                <w:rtl/>
              </w:rPr>
              <w:t>–1984" יבוא "לפי כל דין";</w:t>
            </w:r>
          </w:p>
        </w:tc>
      </w:tr>
      <w:tr w:rsidR="00D10064" w:rsidRPr="00D10064" w14:paraId="2A855CFC" w14:textId="77777777" w:rsidTr="00D10064">
        <w:trPr>
          <w:cantSplit/>
        </w:trPr>
        <w:tc>
          <w:tcPr>
            <w:tcW w:w="1869" w:type="dxa"/>
            <w:shd w:val="clear" w:color="auto" w:fill="auto"/>
            <w:tcMar>
              <w:top w:w="91" w:type="dxa"/>
              <w:left w:w="0" w:type="dxa"/>
              <w:bottom w:w="91" w:type="dxa"/>
              <w:right w:w="0" w:type="dxa"/>
            </w:tcMar>
          </w:tcPr>
          <w:p w14:paraId="1CD944EC"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5635D52B" w14:textId="77777777" w:rsidR="00D10064" w:rsidRPr="00120D64" w:rsidRDefault="00D10064" w:rsidP="00120D64">
            <w:pPr>
              <w:pStyle w:val="TableText"/>
              <w:ind w:right="0"/>
              <w:jc w:val="both"/>
              <w:rPr>
                <w:rtl/>
              </w:rPr>
            </w:pPr>
          </w:p>
        </w:tc>
        <w:tc>
          <w:tcPr>
            <w:tcW w:w="7143" w:type="dxa"/>
            <w:gridSpan w:val="6"/>
            <w:shd w:val="clear" w:color="auto" w:fill="auto"/>
            <w:tcMar>
              <w:top w:w="91" w:type="dxa"/>
              <w:left w:w="0" w:type="dxa"/>
              <w:bottom w:w="91" w:type="dxa"/>
              <w:right w:w="0" w:type="dxa"/>
            </w:tcMar>
          </w:tcPr>
          <w:p w14:paraId="6A3FBEBE" w14:textId="77777777" w:rsidR="00D10064" w:rsidRPr="00D10064" w:rsidRDefault="00D10064" w:rsidP="00120D64">
            <w:pPr>
              <w:pStyle w:val="TableBlock"/>
              <w:rPr>
                <w:rtl/>
              </w:rPr>
            </w:pPr>
            <w:r w:rsidRPr="00D10064">
              <w:rPr>
                <w:rtl/>
              </w:rPr>
              <w:t>(5)</w:t>
            </w:r>
            <w:r w:rsidRPr="00D10064">
              <w:rPr>
                <w:rtl/>
              </w:rPr>
              <w:tab/>
              <w:t xml:space="preserve">בסעיף קטן (ה), אחרי "לפי אותו סעיף קטן" </w:t>
            </w:r>
            <w:r w:rsidRPr="00120D64">
              <w:rPr>
                <w:rtl/>
              </w:rPr>
              <w:t>יבוא</w:t>
            </w:r>
            <w:r w:rsidRPr="00D10064">
              <w:rPr>
                <w:rtl/>
              </w:rPr>
              <w:t xml:space="preserve"> "וכן להורות על התאמת השאלות ליכולותיו של הילד, ולתת הוראות לעניין משך החקירה הנגדית", ובמקום "בלא תנאים או בתנאים שנקבעו" יבוא "ללא תנאים, בתנאים שנקבעו או ללא הוראות כאמור".</w:t>
            </w:r>
          </w:p>
        </w:tc>
      </w:tr>
      <w:tr w:rsidR="00D10064" w:rsidRPr="00D10064" w14:paraId="2CA10B7F" w14:textId="77777777" w:rsidTr="00D10064">
        <w:trPr>
          <w:cantSplit/>
        </w:trPr>
        <w:tc>
          <w:tcPr>
            <w:tcW w:w="1869" w:type="dxa"/>
            <w:shd w:val="clear" w:color="auto" w:fill="auto"/>
            <w:tcMar>
              <w:top w:w="91" w:type="dxa"/>
              <w:left w:w="0" w:type="dxa"/>
              <w:bottom w:w="91" w:type="dxa"/>
              <w:right w:w="0" w:type="dxa"/>
            </w:tcMar>
          </w:tcPr>
          <w:p w14:paraId="594D00D8" w14:textId="77777777" w:rsidR="00D10064" w:rsidRPr="00D10064" w:rsidRDefault="00D10064" w:rsidP="00120D64">
            <w:pPr>
              <w:pStyle w:val="TableSideHeading"/>
              <w:ind w:right="0"/>
              <w:rPr>
                <w:rtl/>
              </w:rPr>
            </w:pPr>
            <w:r w:rsidRPr="00D10064">
              <w:rPr>
                <w:rtl/>
              </w:rPr>
              <w:t xml:space="preserve">הוספת </w:t>
            </w:r>
            <w:r w:rsidRPr="00120D64">
              <w:rPr>
                <w:rtl/>
              </w:rPr>
              <w:t>סעיפים</w:t>
            </w:r>
            <w:r w:rsidRPr="00D10064">
              <w:rPr>
                <w:rtl/>
              </w:rPr>
              <w:br/>
              <w:t>2ב ו־2ג</w:t>
            </w:r>
          </w:p>
        </w:tc>
        <w:tc>
          <w:tcPr>
            <w:tcW w:w="624" w:type="dxa"/>
            <w:shd w:val="clear" w:color="auto" w:fill="auto"/>
            <w:tcMar>
              <w:top w:w="91" w:type="dxa"/>
              <w:left w:w="0" w:type="dxa"/>
              <w:bottom w:w="91" w:type="dxa"/>
              <w:right w:w="0" w:type="dxa"/>
            </w:tcMar>
          </w:tcPr>
          <w:p w14:paraId="7A263B60" w14:textId="77777777" w:rsidR="00D10064" w:rsidRPr="00D10064" w:rsidRDefault="00D10064" w:rsidP="00120D64">
            <w:pPr>
              <w:pStyle w:val="TableText"/>
              <w:ind w:right="0"/>
              <w:jc w:val="both"/>
              <w:rPr>
                <w:rtl/>
              </w:rPr>
            </w:pPr>
            <w:r w:rsidRPr="00D10064">
              <w:rPr>
                <w:rtl/>
              </w:rPr>
              <w:t xml:space="preserve">2. </w:t>
            </w:r>
          </w:p>
        </w:tc>
        <w:tc>
          <w:tcPr>
            <w:tcW w:w="7143" w:type="dxa"/>
            <w:gridSpan w:val="6"/>
            <w:shd w:val="clear" w:color="auto" w:fill="auto"/>
            <w:tcMar>
              <w:top w:w="91" w:type="dxa"/>
              <w:left w:w="0" w:type="dxa"/>
              <w:bottom w:w="91" w:type="dxa"/>
              <w:right w:w="0" w:type="dxa"/>
            </w:tcMar>
          </w:tcPr>
          <w:p w14:paraId="27C0DB12" w14:textId="77777777" w:rsidR="00D10064" w:rsidRPr="00D10064" w:rsidRDefault="00D10064" w:rsidP="00120D64">
            <w:pPr>
              <w:pStyle w:val="TableBlock"/>
              <w:rPr>
                <w:rtl/>
              </w:rPr>
            </w:pPr>
            <w:r w:rsidRPr="00D10064">
              <w:rPr>
                <w:rtl/>
              </w:rPr>
              <w:t xml:space="preserve">לפני סעיף 3 </w:t>
            </w:r>
            <w:r w:rsidRPr="00120D64">
              <w:rPr>
                <w:rtl/>
              </w:rPr>
              <w:t>לחוק</w:t>
            </w:r>
            <w:r w:rsidRPr="00D10064">
              <w:rPr>
                <w:rtl/>
              </w:rPr>
              <w:t xml:space="preserve"> העיקרי יבוא:</w:t>
            </w:r>
          </w:p>
        </w:tc>
      </w:tr>
      <w:tr w:rsidR="00D10064" w:rsidRPr="00D10064" w14:paraId="060643D9" w14:textId="77777777" w:rsidTr="00D10064">
        <w:trPr>
          <w:cantSplit/>
        </w:trPr>
        <w:tc>
          <w:tcPr>
            <w:tcW w:w="1869" w:type="dxa"/>
            <w:shd w:val="clear" w:color="auto" w:fill="auto"/>
          </w:tcPr>
          <w:p w14:paraId="3942C554"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5198F836" w14:textId="77777777" w:rsidR="00D10064" w:rsidRPr="00120D64" w:rsidRDefault="00D10064" w:rsidP="00120D64">
            <w:pPr>
              <w:pStyle w:val="TableText"/>
              <w:ind w:right="0"/>
              <w:jc w:val="both"/>
              <w:rPr>
                <w:rtl/>
              </w:rPr>
            </w:pPr>
          </w:p>
        </w:tc>
        <w:tc>
          <w:tcPr>
            <w:tcW w:w="1872" w:type="dxa"/>
            <w:gridSpan w:val="3"/>
            <w:shd w:val="clear" w:color="auto" w:fill="auto"/>
            <w:tcMar>
              <w:top w:w="91" w:type="dxa"/>
              <w:left w:w="0" w:type="dxa"/>
              <w:bottom w:w="91" w:type="dxa"/>
              <w:right w:w="0" w:type="dxa"/>
            </w:tcMar>
          </w:tcPr>
          <w:p w14:paraId="74772181" w14:textId="77777777" w:rsidR="00D10064" w:rsidRPr="00D10064" w:rsidRDefault="00D10064" w:rsidP="00D10064">
            <w:pPr>
              <w:pStyle w:val="TableInnerSideHeading"/>
              <w:ind w:right="0"/>
              <w:rPr>
                <w:rtl/>
              </w:rPr>
            </w:pPr>
            <w:r w:rsidRPr="00D10064">
              <w:rPr>
                <w:rtl/>
              </w:rPr>
              <w:t>"נוכחות מלווה וחוקר ילדים בעת מתן עדות של ילד</w:t>
            </w:r>
          </w:p>
        </w:tc>
        <w:tc>
          <w:tcPr>
            <w:tcW w:w="624" w:type="dxa"/>
            <w:shd w:val="clear" w:color="auto" w:fill="auto"/>
            <w:tcMar>
              <w:top w:w="91" w:type="dxa"/>
              <w:left w:w="0" w:type="dxa"/>
              <w:bottom w:w="91" w:type="dxa"/>
              <w:right w:w="0" w:type="dxa"/>
            </w:tcMar>
          </w:tcPr>
          <w:p w14:paraId="194D55AA" w14:textId="77777777" w:rsidR="00D10064" w:rsidRPr="00D10064" w:rsidRDefault="00D10064" w:rsidP="00D10064">
            <w:pPr>
              <w:pStyle w:val="TableText"/>
              <w:ind w:right="0"/>
              <w:jc w:val="both"/>
              <w:rPr>
                <w:rtl/>
              </w:rPr>
            </w:pPr>
            <w:r w:rsidRPr="00D10064">
              <w:rPr>
                <w:rtl/>
              </w:rPr>
              <w:t>2ב.</w:t>
            </w:r>
          </w:p>
        </w:tc>
        <w:tc>
          <w:tcPr>
            <w:tcW w:w="4647" w:type="dxa"/>
            <w:gridSpan w:val="2"/>
            <w:shd w:val="clear" w:color="auto" w:fill="auto"/>
            <w:tcMar>
              <w:top w:w="91" w:type="dxa"/>
              <w:left w:w="0" w:type="dxa"/>
              <w:bottom w:w="91" w:type="dxa"/>
              <w:right w:w="0" w:type="dxa"/>
            </w:tcMar>
          </w:tcPr>
          <w:p w14:paraId="46DC21B7" w14:textId="77777777" w:rsidR="00D10064" w:rsidRPr="00D10064" w:rsidRDefault="00D10064" w:rsidP="00D10064">
            <w:pPr>
              <w:pStyle w:val="TableBlock"/>
              <w:rPr>
                <w:rtl/>
              </w:rPr>
            </w:pPr>
            <w:r w:rsidRPr="00D10064">
              <w:rPr>
                <w:rtl/>
              </w:rPr>
              <w:t>(א)</w:t>
            </w:r>
            <w:r w:rsidRPr="00D10064">
              <w:rPr>
                <w:rtl/>
              </w:rPr>
              <w:tab/>
              <w:t xml:space="preserve">בכפוף להוראות סעיף 172 לחוק סדר הדין הפלילי [נוסח משולב], </w:t>
            </w:r>
            <w:proofErr w:type="spellStart"/>
            <w:r w:rsidRPr="00D10064">
              <w:rPr>
                <w:rtl/>
              </w:rPr>
              <w:t>התשמ</w:t>
            </w:r>
            <w:r w:rsidRPr="00D10064">
              <w:rPr>
                <w:rtl/>
              </w:rPr>
              <w:t>"ב</w:t>
            </w:r>
            <w:proofErr w:type="spellEnd"/>
            <w:r w:rsidRPr="00D10064">
              <w:rPr>
                <w:rtl/>
              </w:rPr>
              <w:t>–1982‏</w:t>
            </w:r>
            <w:r w:rsidRPr="00D10064">
              <w:rPr>
                <w:vertAlign w:val="superscript"/>
                <w:rtl/>
              </w:rPr>
              <w:footnoteReference w:id="4"/>
            </w:r>
            <w:r w:rsidRPr="00D10064">
              <w:rPr>
                <w:rtl/>
              </w:rPr>
              <w:t xml:space="preserve"> (להלן – חוק סדר הדין הפלילי), ילד זכאי לכך שאדם המלווה אותו, לפי בחירתו, יהיה נוכח עמו במהלך עדותו בדיון בבית המשפט אף אם הדיון נערך בדלתיים סגורות לפי כל דין, אלא אם כן החליט בית המשפט אחרת</w:t>
            </w:r>
            <w:r w:rsidRPr="00D10064">
              <w:rPr>
                <w:rFonts w:hint="cs"/>
                <w:rtl/>
              </w:rPr>
              <w:t xml:space="preserve"> מטעמים של טובת הילד</w:t>
            </w:r>
            <w:r w:rsidRPr="00D10064">
              <w:rPr>
                <w:rtl/>
              </w:rPr>
              <w:t xml:space="preserve"> </w:t>
            </w:r>
            <w:r w:rsidRPr="00D10064">
              <w:rPr>
                <w:rFonts w:hint="cs"/>
                <w:rtl/>
              </w:rPr>
              <w:t xml:space="preserve"> </w:t>
            </w:r>
            <w:r w:rsidRPr="00D10064">
              <w:rPr>
                <w:rtl/>
              </w:rPr>
              <w:t>שיירשמו.</w:t>
            </w:r>
          </w:p>
        </w:tc>
      </w:tr>
      <w:tr w:rsidR="00D10064" w:rsidRPr="00D10064" w14:paraId="04470BE1" w14:textId="77777777" w:rsidTr="00D10064">
        <w:trPr>
          <w:cantSplit/>
        </w:trPr>
        <w:tc>
          <w:tcPr>
            <w:tcW w:w="1869" w:type="dxa"/>
            <w:shd w:val="clear" w:color="auto" w:fill="auto"/>
            <w:tcMar>
              <w:top w:w="91" w:type="dxa"/>
              <w:left w:w="0" w:type="dxa"/>
              <w:bottom w:w="91" w:type="dxa"/>
              <w:right w:w="0" w:type="dxa"/>
            </w:tcMar>
          </w:tcPr>
          <w:p w14:paraId="3965918E"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088DD77F"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4490CD9F"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022D263B"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19205444"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084D7C57" w14:textId="77777777" w:rsidR="00D10064" w:rsidRPr="00120D64" w:rsidRDefault="00D10064" w:rsidP="00120D64">
            <w:pPr>
              <w:pStyle w:val="TableText"/>
              <w:ind w:right="0"/>
              <w:jc w:val="both"/>
              <w:rPr>
                <w:rtl/>
              </w:rPr>
            </w:pPr>
          </w:p>
        </w:tc>
        <w:tc>
          <w:tcPr>
            <w:tcW w:w="4647" w:type="dxa"/>
            <w:gridSpan w:val="2"/>
            <w:shd w:val="clear" w:color="auto" w:fill="auto"/>
            <w:tcMar>
              <w:top w:w="91" w:type="dxa"/>
              <w:left w:w="0" w:type="dxa"/>
              <w:bottom w:w="91" w:type="dxa"/>
              <w:right w:w="0" w:type="dxa"/>
            </w:tcMar>
          </w:tcPr>
          <w:p w14:paraId="1FA7D299" w14:textId="77777777" w:rsidR="00D10064" w:rsidRPr="00D10064" w:rsidRDefault="00D10064" w:rsidP="00120D64">
            <w:pPr>
              <w:pStyle w:val="TableBlock"/>
              <w:rPr>
                <w:rtl/>
              </w:rPr>
            </w:pPr>
            <w:r w:rsidRPr="00D10064">
              <w:rPr>
                <w:rtl/>
              </w:rPr>
              <w:t>(ב)</w:t>
            </w:r>
            <w:r w:rsidRPr="00D10064">
              <w:rPr>
                <w:rtl/>
              </w:rPr>
              <w:tab/>
              <w:t xml:space="preserve">על אף האמור בסעיף 172 לחוק סדר הדין הפלילי, חוקר הילדים שחקר ילד בעבירה המנויה בתוספת יהיה נוכח במהלך עדותו של הילד בבית המשפט, אלא אם כן הודיע חוקר הילדים כי קיימת מניעה לכך או אם החליט בית המשפט אחרת, מטעמים מיוחדים שיירשמו. </w:t>
            </w:r>
          </w:p>
        </w:tc>
      </w:tr>
      <w:tr w:rsidR="00D10064" w:rsidRPr="00D10064" w14:paraId="5E07F05C" w14:textId="77777777" w:rsidTr="00D10064">
        <w:trPr>
          <w:cantSplit/>
        </w:trPr>
        <w:tc>
          <w:tcPr>
            <w:tcW w:w="1869" w:type="dxa"/>
            <w:shd w:val="clear" w:color="auto" w:fill="auto"/>
            <w:tcMar>
              <w:top w:w="91" w:type="dxa"/>
              <w:left w:w="0" w:type="dxa"/>
              <w:bottom w:w="91" w:type="dxa"/>
              <w:right w:w="0" w:type="dxa"/>
            </w:tcMar>
          </w:tcPr>
          <w:p w14:paraId="349F777A"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64B75AC2" w14:textId="77777777" w:rsidR="00D10064" w:rsidRPr="00120D64" w:rsidRDefault="00D10064" w:rsidP="00120D64">
            <w:pPr>
              <w:pStyle w:val="TableText"/>
              <w:ind w:right="0"/>
              <w:jc w:val="both"/>
              <w:rPr>
                <w:rtl/>
              </w:rPr>
            </w:pPr>
          </w:p>
        </w:tc>
        <w:tc>
          <w:tcPr>
            <w:tcW w:w="1872" w:type="dxa"/>
            <w:gridSpan w:val="3"/>
            <w:shd w:val="clear" w:color="auto" w:fill="auto"/>
            <w:tcMar>
              <w:top w:w="91" w:type="dxa"/>
              <w:left w:w="0" w:type="dxa"/>
              <w:bottom w:w="91" w:type="dxa"/>
              <w:right w:w="0" w:type="dxa"/>
            </w:tcMar>
          </w:tcPr>
          <w:p w14:paraId="6921C3B4" w14:textId="77777777" w:rsidR="00D10064" w:rsidRPr="00D10064" w:rsidRDefault="00D10064" w:rsidP="00D10064">
            <w:pPr>
              <w:pStyle w:val="TableInnerSideHeading"/>
              <w:ind w:right="0"/>
              <w:rPr>
                <w:rtl/>
              </w:rPr>
            </w:pPr>
            <w:r w:rsidRPr="00D10064">
              <w:rPr>
                <w:rtl/>
              </w:rPr>
              <w:t xml:space="preserve">איסור חקירה נגדית בידי </w:t>
            </w:r>
            <w:r w:rsidRPr="00D10064">
              <w:rPr>
                <w:rtl/>
              </w:rPr>
              <w:t>נאשם</w:t>
            </w:r>
            <w:r w:rsidRPr="00D10064">
              <w:rPr>
                <w:rtl/>
              </w:rPr>
              <w:t xml:space="preserve"> </w:t>
            </w:r>
          </w:p>
        </w:tc>
        <w:tc>
          <w:tcPr>
            <w:tcW w:w="624" w:type="dxa"/>
            <w:shd w:val="clear" w:color="auto" w:fill="auto"/>
            <w:tcMar>
              <w:top w:w="91" w:type="dxa"/>
              <w:left w:w="0" w:type="dxa"/>
              <w:bottom w:w="91" w:type="dxa"/>
              <w:right w:w="0" w:type="dxa"/>
            </w:tcMar>
          </w:tcPr>
          <w:p w14:paraId="4F5DBA90" w14:textId="77777777" w:rsidR="00D10064" w:rsidRPr="00D10064" w:rsidRDefault="00D10064" w:rsidP="00D10064">
            <w:pPr>
              <w:pStyle w:val="TableText"/>
              <w:ind w:right="0"/>
              <w:jc w:val="both"/>
              <w:rPr>
                <w:rtl/>
              </w:rPr>
            </w:pPr>
            <w:r w:rsidRPr="00D10064">
              <w:rPr>
                <w:rtl/>
              </w:rPr>
              <w:t>2ג.</w:t>
            </w:r>
          </w:p>
        </w:tc>
        <w:tc>
          <w:tcPr>
            <w:tcW w:w="4647" w:type="dxa"/>
            <w:gridSpan w:val="2"/>
            <w:shd w:val="clear" w:color="auto" w:fill="auto"/>
            <w:tcMar>
              <w:top w:w="91" w:type="dxa"/>
              <w:left w:w="0" w:type="dxa"/>
              <w:bottom w:w="91" w:type="dxa"/>
              <w:right w:w="0" w:type="dxa"/>
            </w:tcMar>
          </w:tcPr>
          <w:p w14:paraId="59CB0EE9" w14:textId="77777777" w:rsidR="00D10064" w:rsidRPr="00D10064" w:rsidRDefault="00D10064" w:rsidP="00D10064">
            <w:pPr>
              <w:pStyle w:val="TableBlock"/>
              <w:rPr>
                <w:rtl/>
              </w:rPr>
            </w:pPr>
            <w:r w:rsidRPr="00D10064">
              <w:rPr>
                <w:rtl/>
              </w:rPr>
              <w:t>(א)</w:t>
            </w:r>
            <w:r w:rsidRPr="00D10064">
              <w:rPr>
                <w:rtl/>
              </w:rPr>
              <w:tab/>
              <w:t xml:space="preserve">הרשה חוקר ילדים, לפי הוראות סעיף 2, את עדותו </w:t>
            </w:r>
            <w:r w:rsidRPr="00D10064">
              <w:rPr>
                <w:rtl/>
              </w:rPr>
              <w:t>של</w:t>
            </w:r>
            <w:r w:rsidRPr="00D10064">
              <w:rPr>
                <w:rtl/>
              </w:rPr>
              <w:t xml:space="preserve"> ילד שהוא נפגע בעבירה המנויה בתוספת</w:t>
            </w:r>
            <w:r w:rsidRPr="00D10064">
              <w:rPr>
                <w:rFonts w:hint="cs"/>
                <w:rtl/>
              </w:rPr>
              <w:t xml:space="preserve"> או שעבירה המנויה בתוספת נעשתה בנוכחותו</w:t>
            </w:r>
            <w:r w:rsidRPr="00D10064">
              <w:rPr>
                <w:rtl/>
              </w:rPr>
              <w:t xml:space="preserve">, לא יחקור הנאשם בעצמו את הילד, אלא </w:t>
            </w:r>
            <w:proofErr w:type="spellStart"/>
            <w:r w:rsidRPr="00D10064">
              <w:rPr>
                <w:rtl/>
              </w:rPr>
              <w:t>סניגורו</w:t>
            </w:r>
            <w:proofErr w:type="spellEnd"/>
            <w:r w:rsidRPr="00D10064">
              <w:rPr>
                <w:rtl/>
              </w:rPr>
              <w:t>.</w:t>
            </w:r>
          </w:p>
        </w:tc>
      </w:tr>
      <w:tr w:rsidR="00D10064" w:rsidRPr="00D10064" w14:paraId="3CCC2C5B" w14:textId="77777777" w:rsidTr="00D10064">
        <w:trPr>
          <w:cantSplit/>
        </w:trPr>
        <w:tc>
          <w:tcPr>
            <w:tcW w:w="1869" w:type="dxa"/>
            <w:shd w:val="clear" w:color="auto" w:fill="auto"/>
            <w:tcMar>
              <w:top w:w="91" w:type="dxa"/>
              <w:left w:w="0" w:type="dxa"/>
              <w:bottom w:w="91" w:type="dxa"/>
              <w:right w:w="0" w:type="dxa"/>
            </w:tcMar>
          </w:tcPr>
          <w:p w14:paraId="719CF2F4"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2D216C4F"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7644DB4D"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4A9E198D"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2E470460"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757F9BA8" w14:textId="77777777" w:rsidR="00D10064" w:rsidRPr="00120D64" w:rsidRDefault="00D10064" w:rsidP="00120D64">
            <w:pPr>
              <w:pStyle w:val="TableText"/>
              <w:ind w:right="0"/>
              <w:jc w:val="both"/>
              <w:rPr>
                <w:rtl/>
              </w:rPr>
            </w:pPr>
          </w:p>
        </w:tc>
        <w:tc>
          <w:tcPr>
            <w:tcW w:w="4647" w:type="dxa"/>
            <w:gridSpan w:val="2"/>
            <w:shd w:val="clear" w:color="auto" w:fill="auto"/>
            <w:tcMar>
              <w:top w:w="91" w:type="dxa"/>
              <w:left w:w="0" w:type="dxa"/>
              <w:bottom w:w="91" w:type="dxa"/>
              <w:right w:w="0" w:type="dxa"/>
            </w:tcMar>
          </w:tcPr>
          <w:p w14:paraId="3B83727E" w14:textId="77777777" w:rsidR="00D10064" w:rsidRPr="00D10064" w:rsidRDefault="00D10064" w:rsidP="00120D64">
            <w:pPr>
              <w:pStyle w:val="TableBlock"/>
              <w:rPr>
                <w:rtl/>
              </w:rPr>
            </w:pPr>
            <w:r w:rsidRPr="00D10064">
              <w:rPr>
                <w:rtl/>
              </w:rPr>
              <w:t>(ב)</w:t>
            </w:r>
            <w:r w:rsidRPr="00D10064">
              <w:rPr>
                <w:rtl/>
              </w:rPr>
              <w:tab/>
              <w:t>לא היה הנאשם מיוצג בהליך שאמור להעיד בו ילד כאמור בסעיף קטן (א), ימנה לו בית המשפט סניגור לייצגו בעת חקירת הילד; סירב הנאשם למינוי סניגור, יודיע לו בית המשפט כי בהתאם להוראות סעיף זה אין הוא רשאי לחקור בעצמו את הילד."</w:t>
            </w:r>
          </w:p>
        </w:tc>
      </w:tr>
      <w:tr w:rsidR="00D10064" w:rsidRPr="00D10064" w14:paraId="74CFC5F3" w14:textId="77777777" w:rsidTr="00D10064">
        <w:trPr>
          <w:cantSplit/>
        </w:trPr>
        <w:tc>
          <w:tcPr>
            <w:tcW w:w="1869" w:type="dxa"/>
            <w:shd w:val="clear" w:color="auto" w:fill="auto"/>
            <w:tcMar>
              <w:top w:w="91" w:type="dxa"/>
              <w:left w:w="0" w:type="dxa"/>
              <w:bottom w:w="91" w:type="dxa"/>
              <w:right w:w="0" w:type="dxa"/>
            </w:tcMar>
          </w:tcPr>
          <w:p w14:paraId="7FCE7E10" w14:textId="77777777" w:rsidR="00D10064" w:rsidRPr="00D10064" w:rsidRDefault="00D10064" w:rsidP="00120D64">
            <w:pPr>
              <w:pStyle w:val="TableSideHeading"/>
              <w:ind w:right="0"/>
              <w:rPr>
                <w:rtl/>
              </w:rPr>
            </w:pPr>
            <w:r w:rsidRPr="00120D64">
              <w:rPr>
                <w:rtl/>
              </w:rPr>
              <w:t>החלפת</w:t>
            </w:r>
            <w:r w:rsidRPr="00D10064">
              <w:rPr>
                <w:rtl/>
              </w:rPr>
              <w:t xml:space="preserve"> סעיף 3</w:t>
            </w:r>
          </w:p>
        </w:tc>
        <w:tc>
          <w:tcPr>
            <w:tcW w:w="624" w:type="dxa"/>
            <w:shd w:val="clear" w:color="auto" w:fill="auto"/>
            <w:tcMar>
              <w:top w:w="91" w:type="dxa"/>
              <w:left w:w="0" w:type="dxa"/>
              <w:bottom w:w="91" w:type="dxa"/>
              <w:right w:w="0" w:type="dxa"/>
            </w:tcMar>
          </w:tcPr>
          <w:p w14:paraId="2FC7384E" w14:textId="77777777" w:rsidR="00D10064" w:rsidRPr="00D10064" w:rsidRDefault="00D10064" w:rsidP="00120D64">
            <w:pPr>
              <w:pStyle w:val="TableText"/>
              <w:ind w:right="0"/>
              <w:jc w:val="both"/>
              <w:rPr>
                <w:rtl/>
              </w:rPr>
            </w:pPr>
            <w:r w:rsidRPr="00D10064">
              <w:rPr>
                <w:rtl/>
              </w:rPr>
              <w:t>3.</w:t>
            </w:r>
          </w:p>
        </w:tc>
        <w:tc>
          <w:tcPr>
            <w:tcW w:w="7143" w:type="dxa"/>
            <w:gridSpan w:val="6"/>
            <w:shd w:val="clear" w:color="auto" w:fill="auto"/>
            <w:tcMar>
              <w:top w:w="91" w:type="dxa"/>
              <w:left w:w="0" w:type="dxa"/>
              <w:bottom w:w="91" w:type="dxa"/>
              <w:right w:w="0" w:type="dxa"/>
            </w:tcMar>
          </w:tcPr>
          <w:p w14:paraId="08C7D1FF" w14:textId="77777777" w:rsidR="00D10064" w:rsidRPr="00D10064" w:rsidRDefault="00D10064" w:rsidP="00120D64">
            <w:pPr>
              <w:pStyle w:val="TableBlock"/>
              <w:rPr>
                <w:rtl/>
              </w:rPr>
            </w:pPr>
            <w:r w:rsidRPr="00D10064">
              <w:rPr>
                <w:rtl/>
              </w:rPr>
              <w:t>במקום סעיף 3 לחוק העיקרי יבוא:</w:t>
            </w:r>
          </w:p>
        </w:tc>
      </w:tr>
      <w:tr w:rsidR="00D10064" w:rsidRPr="00D10064" w14:paraId="3E088E14" w14:textId="77777777" w:rsidTr="00D10064">
        <w:trPr>
          <w:cantSplit/>
        </w:trPr>
        <w:tc>
          <w:tcPr>
            <w:tcW w:w="1869" w:type="dxa"/>
            <w:shd w:val="clear" w:color="auto" w:fill="auto"/>
            <w:tcMar>
              <w:top w:w="91" w:type="dxa"/>
              <w:left w:w="0" w:type="dxa"/>
              <w:bottom w:w="91" w:type="dxa"/>
              <w:right w:w="0" w:type="dxa"/>
            </w:tcMar>
          </w:tcPr>
          <w:p w14:paraId="61EA02D2"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697B22C1" w14:textId="77777777" w:rsidR="00D10064" w:rsidRPr="00120D64" w:rsidRDefault="00D10064" w:rsidP="00120D64">
            <w:pPr>
              <w:pStyle w:val="TableText"/>
              <w:ind w:right="0"/>
              <w:jc w:val="both"/>
              <w:rPr>
                <w:rtl/>
              </w:rPr>
            </w:pPr>
          </w:p>
        </w:tc>
        <w:tc>
          <w:tcPr>
            <w:tcW w:w="1872" w:type="dxa"/>
            <w:gridSpan w:val="3"/>
            <w:shd w:val="clear" w:color="auto" w:fill="auto"/>
            <w:tcMar>
              <w:top w:w="91" w:type="dxa"/>
              <w:left w:w="0" w:type="dxa"/>
              <w:bottom w:w="91" w:type="dxa"/>
              <w:right w:w="0" w:type="dxa"/>
            </w:tcMar>
          </w:tcPr>
          <w:p w14:paraId="33F1389B" w14:textId="77777777" w:rsidR="00D10064" w:rsidRPr="00D10064" w:rsidRDefault="00D10064" w:rsidP="00D10064">
            <w:pPr>
              <w:pStyle w:val="TableInnerSideHeading"/>
              <w:ind w:right="0"/>
              <w:rPr>
                <w:rtl/>
              </w:rPr>
            </w:pPr>
            <w:r w:rsidRPr="00D10064">
              <w:rPr>
                <w:rtl/>
              </w:rPr>
              <w:t xml:space="preserve">"מינוי </w:t>
            </w:r>
            <w:r w:rsidRPr="00D10064">
              <w:rPr>
                <w:rtl/>
              </w:rPr>
              <w:t>חוקרי</w:t>
            </w:r>
            <w:r w:rsidRPr="00D10064">
              <w:rPr>
                <w:rtl/>
              </w:rPr>
              <w:t xml:space="preserve"> ילדים</w:t>
            </w:r>
          </w:p>
        </w:tc>
        <w:tc>
          <w:tcPr>
            <w:tcW w:w="624" w:type="dxa"/>
            <w:shd w:val="clear" w:color="auto" w:fill="auto"/>
            <w:tcMar>
              <w:top w:w="91" w:type="dxa"/>
              <w:left w:w="0" w:type="dxa"/>
              <w:bottom w:w="91" w:type="dxa"/>
              <w:right w:w="0" w:type="dxa"/>
            </w:tcMar>
          </w:tcPr>
          <w:p w14:paraId="48155AC4" w14:textId="77777777" w:rsidR="00D10064" w:rsidRPr="00D10064" w:rsidRDefault="00D10064" w:rsidP="00D10064">
            <w:pPr>
              <w:pStyle w:val="TableText"/>
              <w:ind w:right="0"/>
              <w:jc w:val="both"/>
              <w:rPr>
                <w:rtl/>
              </w:rPr>
            </w:pPr>
            <w:r w:rsidRPr="00D10064">
              <w:rPr>
                <w:rtl/>
              </w:rPr>
              <w:t>3.</w:t>
            </w:r>
          </w:p>
        </w:tc>
        <w:tc>
          <w:tcPr>
            <w:tcW w:w="4647" w:type="dxa"/>
            <w:gridSpan w:val="2"/>
            <w:shd w:val="clear" w:color="auto" w:fill="auto"/>
            <w:tcMar>
              <w:top w:w="91" w:type="dxa"/>
              <w:left w:w="0" w:type="dxa"/>
              <w:bottom w:w="91" w:type="dxa"/>
              <w:right w:w="0" w:type="dxa"/>
            </w:tcMar>
          </w:tcPr>
          <w:p w14:paraId="7647DD7A" w14:textId="77777777" w:rsidR="00D10064" w:rsidRPr="00D10064" w:rsidRDefault="00D10064" w:rsidP="00D10064">
            <w:pPr>
              <w:pStyle w:val="TableBlock"/>
              <w:rPr>
                <w:rtl/>
              </w:rPr>
            </w:pPr>
            <w:r w:rsidRPr="00D10064">
              <w:rPr>
                <w:rtl/>
              </w:rPr>
              <w:t>(א)</w:t>
            </w:r>
            <w:r w:rsidRPr="00D10064">
              <w:rPr>
                <w:rtl/>
              </w:rPr>
              <w:tab/>
              <w:t xml:space="preserve">שר </w:t>
            </w:r>
            <w:r w:rsidRPr="00D10064">
              <w:rPr>
                <w:rtl/>
              </w:rPr>
              <w:t>המשפטים</w:t>
            </w:r>
            <w:r w:rsidRPr="00D10064">
              <w:rPr>
                <w:rtl/>
              </w:rPr>
              <w:t xml:space="preserve"> ימנה חוקרי ילדים לצורך חוק זה, בהמלצת ועדה (בסעיף זה – הוועדה), שחבריה הם:</w:t>
            </w:r>
          </w:p>
        </w:tc>
      </w:tr>
      <w:tr w:rsidR="00D10064" w:rsidRPr="00D10064" w14:paraId="70D51B08" w14:textId="77777777" w:rsidTr="00D10064">
        <w:trPr>
          <w:cantSplit/>
        </w:trPr>
        <w:tc>
          <w:tcPr>
            <w:tcW w:w="1869" w:type="dxa"/>
            <w:shd w:val="clear" w:color="auto" w:fill="auto"/>
            <w:tcMar>
              <w:top w:w="91" w:type="dxa"/>
              <w:left w:w="0" w:type="dxa"/>
              <w:bottom w:w="91" w:type="dxa"/>
              <w:right w:w="0" w:type="dxa"/>
            </w:tcMar>
          </w:tcPr>
          <w:p w14:paraId="693F5960"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3E5495FC"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4E0AC3C8"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0E05A454"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097DE7BC"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3E2FDA22"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4CD02517" w14:textId="77777777" w:rsidR="00D10064" w:rsidRPr="00120D64" w:rsidRDefault="00D10064" w:rsidP="00120D64">
            <w:pPr>
              <w:pStyle w:val="TableText"/>
              <w:ind w:right="0"/>
              <w:jc w:val="both"/>
              <w:rPr>
                <w:rtl/>
              </w:rPr>
            </w:pPr>
          </w:p>
        </w:tc>
        <w:tc>
          <w:tcPr>
            <w:tcW w:w="4023" w:type="dxa"/>
            <w:shd w:val="clear" w:color="auto" w:fill="auto"/>
            <w:tcMar>
              <w:top w:w="91" w:type="dxa"/>
              <w:left w:w="0" w:type="dxa"/>
              <w:bottom w:w="91" w:type="dxa"/>
              <w:right w:w="0" w:type="dxa"/>
            </w:tcMar>
          </w:tcPr>
          <w:p w14:paraId="682BBBEB" w14:textId="77777777" w:rsidR="00D10064" w:rsidRPr="00D10064" w:rsidRDefault="00D10064" w:rsidP="00120D64">
            <w:pPr>
              <w:pStyle w:val="TableBlock"/>
              <w:rPr>
                <w:rtl/>
              </w:rPr>
            </w:pPr>
            <w:r w:rsidRPr="00D10064">
              <w:rPr>
                <w:rtl/>
              </w:rPr>
              <w:t>(1)</w:t>
            </w:r>
            <w:r w:rsidRPr="00D10064">
              <w:rPr>
                <w:rtl/>
              </w:rPr>
              <w:tab/>
              <w:t xml:space="preserve">נשיא בתי המשפט </w:t>
            </w:r>
            <w:r w:rsidRPr="00120D64">
              <w:rPr>
                <w:rtl/>
              </w:rPr>
              <w:t>לנוער</w:t>
            </w:r>
            <w:r w:rsidRPr="00D10064">
              <w:rPr>
                <w:rtl/>
              </w:rPr>
              <w:t xml:space="preserve"> או שופט נוער </w:t>
            </w:r>
            <w:r w:rsidRPr="00D10064">
              <w:rPr>
                <w:rFonts w:hint="cs"/>
                <w:rtl/>
              </w:rPr>
              <w:t xml:space="preserve">שימנה </w:t>
            </w:r>
            <w:r w:rsidRPr="00D10064">
              <w:rPr>
                <w:rtl/>
              </w:rPr>
              <w:t xml:space="preserve">נשיא בתי המשפט לנוער, והוא יהיה יושב ראש הוועדה; </w:t>
            </w:r>
          </w:p>
        </w:tc>
      </w:tr>
      <w:tr w:rsidR="00D10064" w:rsidRPr="00D10064" w14:paraId="1471713E" w14:textId="77777777" w:rsidTr="00D10064">
        <w:trPr>
          <w:cantSplit/>
        </w:trPr>
        <w:tc>
          <w:tcPr>
            <w:tcW w:w="1869" w:type="dxa"/>
            <w:shd w:val="clear" w:color="auto" w:fill="auto"/>
            <w:tcMar>
              <w:top w:w="91" w:type="dxa"/>
              <w:left w:w="0" w:type="dxa"/>
              <w:bottom w:w="91" w:type="dxa"/>
              <w:right w:w="0" w:type="dxa"/>
            </w:tcMar>
          </w:tcPr>
          <w:p w14:paraId="3A7AFAFE"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1AFBAA22"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43BA953F"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67FC62E2"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586A5F80"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03DEA4D2"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0F65AE4F" w14:textId="77777777" w:rsidR="00D10064" w:rsidRPr="00120D64" w:rsidRDefault="00D10064" w:rsidP="00120D64">
            <w:pPr>
              <w:pStyle w:val="TableText"/>
              <w:ind w:right="0"/>
              <w:jc w:val="both"/>
              <w:rPr>
                <w:rtl/>
              </w:rPr>
            </w:pPr>
          </w:p>
        </w:tc>
        <w:tc>
          <w:tcPr>
            <w:tcW w:w="4023" w:type="dxa"/>
            <w:shd w:val="clear" w:color="auto" w:fill="auto"/>
            <w:tcMar>
              <w:top w:w="91" w:type="dxa"/>
              <w:left w:w="0" w:type="dxa"/>
              <w:bottom w:w="91" w:type="dxa"/>
              <w:right w:w="0" w:type="dxa"/>
            </w:tcMar>
          </w:tcPr>
          <w:p w14:paraId="4ADCD202" w14:textId="77777777" w:rsidR="00D10064" w:rsidRPr="00D10064" w:rsidRDefault="00D10064" w:rsidP="00120D64">
            <w:pPr>
              <w:pStyle w:val="TableBlock"/>
              <w:rPr>
                <w:rtl/>
              </w:rPr>
            </w:pPr>
            <w:r w:rsidRPr="00D10064">
              <w:rPr>
                <w:rtl/>
              </w:rPr>
              <w:t>(2)</w:t>
            </w:r>
            <w:r w:rsidRPr="00D10064">
              <w:rPr>
                <w:rtl/>
              </w:rPr>
              <w:tab/>
              <w:t xml:space="preserve">מנהל השירות לחקירות ילדים וחקירות מיוחדות במשרד העבודה, הרווחה והשירותים </w:t>
            </w:r>
            <w:r w:rsidRPr="00120D64">
              <w:rPr>
                <w:rtl/>
              </w:rPr>
              <w:t>החברתיים</w:t>
            </w:r>
            <w:r w:rsidRPr="00D10064">
              <w:rPr>
                <w:rtl/>
              </w:rPr>
              <w:t xml:space="preserve"> או חוקר ילדים בכיר מטעמו;</w:t>
            </w:r>
          </w:p>
        </w:tc>
      </w:tr>
      <w:tr w:rsidR="00D10064" w:rsidRPr="00D10064" w14:paraId="2F9A678A" w14:textId="77777777" w:rsidTr="00D10064">
        <w:trPr>
          <w:cantSplit/>
        </w:trPr>
        <w:tc>
          <w:tcPr>
            <w:tcW w:w="1869" w:type="dxa"/>
            <w:shd w:val="clear" w:color="auto" w:fill="auto"/>
            <w:tcMar>
              <w:top w:w="91" w:type="dxa"/>
              <w:left w:w="0" w:type="dxa"/>
              <w:bottom w:w="91" w:type="dxa"/>
              <w:right w:w="0" w:type="dxa"/>
            </w:tcMar>
          </w:tcPr>
          <w:p w14:paraId="5F121B2F"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54A9B4BD"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0D878843"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23831E66"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78320166"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316C97CC"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2E083CC2" w14:textId="77777777" w:rsidR="00D10064" w:rsidRPr="00120D64" w:rsidRDefault="00D10064" w:rsidP="00120D64">
            <w:pPr>
              <w:pStyle w:val="TableText"/>
              <w:ind w:right="0"/>
              <w:jc w:val="both"/>
              <w:rPr>
                <w:rtl/>
              </w:rPr>
            </w:pPr>
          </w:p>
        </w:tc>
        <w:tc>
          <w:tcPr>
            <w:tcW w:w="4023" w:type="dxa"/>
            <w:shd w:val="clear" w:color="auto" w:fill="auto"/>
            <w:tcMar>
              <w:top w:w="91" w:type="dxa"/>
              <w:left w:w="0" w:type="dxa"/>
              <w:bottom w:w="91" w:type="dxa"/>
              <w:right w:w="0" w:type="dxa"/>
            </w:tcMar>
          </w:tcPr>
          <w:p w14:paraId="0D0FBB8A" w14:textId="77777777" w:rsidR="00D10064" w:rsidRPr="00D10064" w:rsidRDefault="00D10064" w:rsidP="00120D64">
            <w:pPr>
              <w:pStyle w:val="TableBlock"/>
              <w:rPr>
                <w:rtl/>
              </w:rPr>
            </w:pPr>
            <w:r w:rsidRPr="00D10064">
              <w:rPr>
                <w:rtl/>
              </w:rPr>
              <w:t>(3)</w:t>
            </w:r>
            <w:r w:rsidRPr="00D10064">
              <w:rPr>
                <w:rtl/>
              </w:rPr>
              <w:tab/>
              <w:t>קצין מש</w:t>
            </w:r>
            <w:r w:rsidRPr="00120D64">
              <w:rPr>
                <w:rtl/>
              </w:rPr>
              <w:t>ט</w:t>
            </w:r>
            <w:r w:rsidRPr="00D10064">
              <w:rPr>
                <w:rtl/>
              </w:rPr>
              <w:t xml:space="preserve">רה בכיר, </w:t>
            </w:r>
            <w:r w:rsidRPr="00D10064">
              <w:rPr>
                <w:rFonts w:hint="cs"/>
                <w:rtl/>
              </w:rPr>
              <w:t xml:space="preserve">שימנה </w:t>
            </w:r>
            <w:r w:rsidRPr="00D10064">
              <w:rPr>
                <w:rtl/>
              </w:rPr>
              <w:t>השר לביטחון הפנים;</w:t>
            </w:r>
          </w:p>
        </w:tc>
      </w:tr>
      <w:tr w:rsidR="00D10064" w:rsidRPr="00D10064" w14:paraId="2FFB4F82" w14:textId="77777777" w:rsidTr="00D10064">
        <w:trPr>
          <w:cantSplit/>
        </w:trPr>
        <w:tc>
          <w:tcPr>
            <w:tcW w:w="1869" w:type="dxa"/>
            <w:shd w:val="clear" w:color="auto" w:fill="auto"/>
            <w:tcMar>
              <w:top w:w="91" w:type="dxa"/>
              <w:left w:w="0" w:type="dxa"/>
              <w:bottom w:w="91" w:type="dxa"/>
              <w:right w:w="0" w:type="dxa"/>
            </w:tcMar>
          </w:tcPr>
          <w:p w14:paraId="5182DAC5"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240F95E7"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04F68CB3"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018050F9"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32AF1ECC"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033D56C0"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6335AC2C" w14:textId="77777777" w:rsidR="00D10064" w:rsidRPr="00120D64" w:rsidRDefault="00D10064" w:rsidP="00120D64">
            <w:pPr>
              <w:pStyle w:val="TableText"/>
              <w:ind w:right="0"/>
              <w:jc w:val="both"/>
              <w:rPr>
                <w:rtl/>
              </w:rPr>
            </w:pPr>
          </w:p>
        </w:tc>
        <w:tc>
          <w:tcPr>
            <w:tcW w:w="4023" w:type="dxa"/>
            <w:shd w:val="clear" w:color="auto" w:fill="auto"/>
            <w:tcMar>
              <w:top w:w="91" w:type="dxa"/>
              <w:left w:w="0" w:type="dxa"/>
              <w:bottom w:w="91" w:type="dxa"/>
              <w:right w:w="0" w:type="dxa"/>
            </w:tcMar>
          </w:tcPr>
          <w:p w14:paraId="1D1B00D3" w14:textId="77777777" w:rsidR="00D10064" w:rsidRPr="00D10064" w:rsidRDefault="00D10064" w:rsidP="00120D64">
            <w:pPr>
              <w:pStyle w:val="TableBlock"/>
              <w:rPr>
                <w:rtl/>
              </w:rPr>
            </w:pPr>
            <w:r w:rsidRPr="00D10064">
              <w:rPr>
                <w:rtl/>
              </w:rPr>
              <w:t>(4)</w:t>
            </w:r>
            <w:r w:rsidRPr="00D10064">
              <w:rPr>
                <w:rtl/>
              </w:rPr>
              <w:tab/>
            </w:r>
            <w:r w:rsidRPr="00D10064">
              <w:rPr>
                <w:rFonts w:hint="cs"/>
                <w:rtl/>
              </w:rPr>
              <w:t xml:space="preserve">עובד </w:t>
            </w:r>
            <w:r w:rsidRPr="00120D64">
              <w:rPr>
                <w:rFonts w:hint="cs"/>
                <w:rtl/>
              </w:rPr>
              <w:t>משרד</w:t>
            </w:r>
            <w:r w:rsidRPr="00D10064">
              <w:rPr>
                <w:rFonts w:hint="cs"/>
                <w:rtl/>
              </w:rPr>
              <w:t xml:space="preserve"> החינוך שהוא </w:t>
            </w:r>
            <w:r w:rsidRPr="00D10064">
              <w:rPr>
                <w:rtl/>
              </w:rPr>
              <w:t>איש חינוך,</w:t>
            </w:r>
            <w:r w:rsidRPr="00D10064">
              <w:rPr>
                <w:rFonts w:hint="cs"/>
                <w:rtl/>
              </w:rPr>
              <w:t xml:space="preserve"> שימנה שר החינוך</w:t>
            </w:r>
            <w:r w:rsidRPr="00D10064">
              <w:rPr>
                <w:rtl/>
              </w:rPr>
              <w:t>;</w:t>
            </w:r>
          </w:p>
        </w:tc>
      </w:tr>
      <w:tr w:rsidR="00D10064" w:rsidRPr="00D10064" w14:paraId="6A03626D" w14:textId="77777777" w:rsidTr="00D10064">
        <w:trPr>
          <w:cantSplit/>
        </w:trPr>
        <w:tc>
          <w:tcPr>
            <w:tcW w:w="1869" w:type="dxa"/>
            <w:shd w:val="clear" w:color="auto" w:fill="auto"/>
            <w:tcMar>
              <w:top w:w="91" w:type="dxa"/>
              <w:left w:w="0" w:type="dxa"/>
              <w:bottom w:w="91" w:type="dxa"/>
              <w:right w:w="0" w:type="dxa"/>
            </w:tcMar>
          </w:tcPr>
          <w:p w14:paraId="5725F22F"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65C8EB9C"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6803A725"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6F3030B9"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26CA13D5"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31679823"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6E4454AC" w14:textId="77777777" w:rsidR="00D10064" w:rsidRPr="00120D64" w:rsidRDefault="00D10064" w:rsidP="00120D64">
            <w:pPr>
              <w:pStyle w:val="TableText"/>
              <w:ind w:right="0"/>
              <w:jc w:val="both"/>
              <w:rPr>
                <w:rtl/>
              </w:rPr>
            </w:pPr>
          </w:p>
        </w:tc>
        <w:tc>
          <w:tcPr>
            <w:tcW w:w="4023" w:type="dxa"/>
            <w:shd w:val="clear" w:color="auto" w:fill="auto"/>
            <w:tcMar>
              <w:top w:w="91" w:type="dxa"/>
              <w:left w:w="0" w:type="dxa"/>
              <w:bottom w:w="91" w:type="dxa"/>
              <w:right w:w="0" w:type="dxa"/>
            </w:tcMar>
          </w:tcPr>
          <w:p w14:paraId="4E714225" w14:textId="77777777" w:rsidR="00D10064" w:rsidRPr="00D10064" w:rsidRDefault="00D10064" w:rsidP="00120D64">
            <w:pPr>
              <w:pStyle w:val="TableBlock"/>
              <w:rPr>
                <w:rtl/>
              </w:rPr>
            </w:pPr>
            <w:r w:rsidRPr="00D10064">
              <w:rPr>
                <w:rtl/>
              </w:rPr>
              <w:t>(5)</w:t>
            </w:r>
            <w:r w:rsidRPr="00D10064">
              <w:rPr>
                <w:rtl/>
              </w:rPr>
              <w:tab/>
              <w:t xml:space="preserve"> </w:t>
            </w:r>
            <w:r w:rsidRPr="00D10064">
              <w:rPr>
                <w:rFonts w:hint="cs"/>
                <w:rtl/>
              </w:rPr>
              <w:t xml:space="preserve">עובד משרד הבריאות שהוא </w:t>
            </w:r>
            <w:r w:rsidRPr="00D10064">
              <w:rPr>
                <w:rtl/>
              </w:rPr>
              <w:t>פסיכיאטר או פסיכולוג, המומחה לילדים ולנוער</w:t>
            </w:r>
            <w:r w:rsidRPr="00D10064">
              <w:rPr>
                <w:rFonts w:hint="cs"/>
                <w:rtl/>
              </w:rPr>
              <w:t xml:space="preserve">, </w:t>
            </w:r>
            <w:r w:rsidRPr="00120D64">
              <w:rPr>
                <w:rFonts w:hint="cs"/>
                <w:rtl/>
              </w:rPr>
              <w:t>שימנה</w:t>
            </w:r>
            <w:r w:rsidRPr="00D10064">
              <w:rPr>
                <w:rFonts w:hint="cs"/>
                <w:rtl/>
              </w:rPr>
              <w:t xml:space="preserve"> שר הבריאות</w:t>
            </w:r>
            <w:r w:rsidRPr="00D10064">
              <w:rPr>
                <w:rtl/>
              </w:rPr>
              <w:t>.</w:t>
            </w:r>
          </w:p>
        </w:tc>
      </w:tr>
      <w:tr w:rsidR="00D10064" w:rsidRPr="00D10064" w14:paraId="3B66DE4F" w14:textId="77777777" w:rsidTr="00D10064">
        <w:trPr>
          <w:cantSplit/>
        </w:trPr>
        <w:tc>
          <w:tcPr>
            <w:tcW w:w="1869" w:type="dxa"/>
            <w:shd w:val="clear" w:color="auto" w:fill="auto"/>
            <w:tcMar>
              <w:top w:w="91" w:type="dxa"/>
              <w:left w:w="0" w:type="dxa"/>
              <w:bottom w:w="91" w:type="dxa"/>
              <w:right w:w="0" w:type="dxa"/>
            </w:tcMar>
          </w:tcPr>
          <w:p w14:paraId="1EE3D966"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2617E3D1"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7D8B8085"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6BCE65F9"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682B04CE"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55643CB5" w14:textId="77777777" w:rsidR="00D10064" w:rsidRPr="00120D64" w:rsidRDefault="00D10064" w:rsidP="00120D64">
            <w:pPr>
              <w:pStyle w:val="TableText"/>
              <w:ind w:right="0"/>
              <w:jc w:val="both"/>
              <w:rPr>
                <w:rtl/>
              </w:rPr>
            </w:pPr>
          </w:p>
        </w:tc>
        <w:tc>
          <w:tcPr>
            <w:tcW w:w="4647" w:type="dxa"/>
            <w:gridSpan w:val="2"/>
            <w:shd w:val="clear" w:color="auto" w:fill="auto"/>
            <w:tcMar>
              <w:top w:w="91" w:type="dxa"/>
              <w:left w:w="0" w:type="dxa"/>
              <w:bottom w:w="91" w:type="dxa"/>
              <w:right w:w="0" w:type="dxa"/>
            </w:tcMar>
          </w:tcPr>
          <w:p w14:paraId="0179DED9" w14:textId="77777777" w:rsidR="00D10064" w:rsidRPr="00D10064" w:rsidRDefault="00D10064" w:rsidP="00120D64">
            <w:pPr>
              <w:pStyle w:val="TableBlock"/>
              <w:rPr>
                <w:rtl/>
              </w:rPr>
            </w:pPr>
            <w:r w:rsidRPr="00D10064">
              <w:rPr>
                <w:rtl/>
              </w:rPr>
              <w:t>(ב)</w:t>
            </w:r>
            <w:r w:rsidRPr="00D10064">
              <w:rPr>
                <w:rtl/>
              </w:rPr>
              <w:tab/>
              <w:t>החלטות הוועדה יתקבלו ברוב דעות; היו הדעות שקולות, תכריע דעתו של יושב ראש הוועדה.</w:t>
            </w:r>
          </w:p>
        </w:tc>
      </w:tr>
      <w:tr w:rsidR="00D10064" w:rsidRPr="00D10064" w14:paraId="0FF999A2" w14:textId="77777777" w:rsidTr="00D10064">
        <w:trPr>
          <w:cantSplit/>
        </w:trPr>
        <w:tc>
          <w:tcPr>
            <w:tcW w:w="1869" w:type="dxa"/>
            <w:shd w:val="clear" w:color="auto" w:fill="auto"/>
            <w:tcMar>
              <w:top w:w="91" w:type="dxa"/>
              <w:left w:w="0" w:type="dxa"/>
              <w:bottom w:w="91" w:type="dxa"/>
              <w:right w:w="0" w:type="dxa"/>
            </w:tcMar>
          </w:tcPr>
          <w:p w14:paraId="746B4E5F"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53AA775D"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4DB21781"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443C9F35"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64B48AF2"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7D4345D2" w14:textId="77777777" w:rsidR="00D10064" w:rsidRPr="00120D64" w:rsidRDefault="00D10064" w:rsidP="00120D64">
            <w:pPr>
              <w:pStyle w:val="TableText"/>
              <w:ind w:right="0"/>
              <w:jc w:val="both"/>
              <w:rPr>
                <w:rtl/>
              </w:rPr>
            </w:pPr>
          </w:p>
        </w:tc>
        <w:tc>
          <w:tcPr>
            <w:tcW w:w="4647" w:type="dxa"/>
            <w:gridSpan w:val="2"/>
            <w:shd w:val="clear" w:color="auto" w:fill="auto"/>
            <w:tcMar>
              <w:top w:w="91" w:type="dxa"/>
              <w:left w:w="0" w:type="dxa"/>
              <w:bottom w:w="91" w:type="dxa"/>
              <w:right w:w="0" w:type="dxa"/>
            </w:tcMar>
          </w:tcPr>
          <w:p w14:paraId="18DA7650" w14:textId="77777777" w:rsidR="00D10064" w:rsidRPr="00D10064" w:rsidRDefault="00D10064" w:rsidP="00120D64">
            <w:pPr>
              <w:pStyle w:val="TableBlock"/>
              <w:rPr>
                <w:rtl/>
              </w:rPr>
            </w:pPr>
            <w:r w:rsidRPr="00D10064">
              <w:rPr>
                <w:rtl/>
              </w:rPr>
              <w:t>(ג)</w:t>
            </w:r>
            <w:r w:rsidRPr="00D10064">
              <w:rPr>
                <w:rtl/>
              </w:rPr>
              <w:tab/>
              <w:t>הוועדה רשאית לקבוע את סדרי דיוניה ועבודתה ככל שלא נקבעו בידי שר המשפטים."</w:t>
            </w:r>
          </w:p>
        </w:tc>
      </w:tr>
      <w:tr w:rsidR="00D10064" w:rsidRPr="00D10064" w14:paraId="6EAA95D7" w14:textId="77777777" w:rsidTr="00D10064">
        <w:trPr>
          <w:cantSplit/>
        </w:trPr>
        <w:tc>
          <w:tcPr>
            <w:tcW w:w="1869" w:type="dxa"/>
            <w:shd w:val="clear" w:color="auto" w:fill="auto"/>
            <w:tcMar>
              <w:top w:w="91" w:type="dxa"/>
              <w:left w:w="0" w:type="dxa"/>
              <w:bottom w:w="91" w:type="dxa"/>
              <w:right w:w="0" w:type="dxa"/>
            </w:tcMar>
          </w:tcPr>
          <w:p w14:paraId="758782A9" w14:textId="77777777" w:rsidR="00D10064" w:rsidRPr="00D10064" w:rsidRDefault="00D10064" w:rsidP="00120D64">
            <w:pPr>
              <w:pStyle w:val="TableSideHeading"/>
              <w:ind w:right="0"/>
              <w:rPr>
                <w:rtl/>
              </w:rPr>
            </w:pPr>
            <w:r w:rsidRPr="00D10064">
              <w:rPr>
                <w:rtl/>
              </w:rPr>
              <w:t xml:space="preserve">תיקון </w:t>
            </w:r>
            <w:r w:rsidRPr="00120D64">
              <w:rPr>
                <w:rtl/>
              </w:rPr>
              <w:t>סעיף</w:t>
            </w:r>
            <w:r w:rsidRPr="00D10064">
              <w:rPr>
                <w:rtl/>
              </w:rPr>
              <w:t xml:space="preserve"> 5ב</w:t>
            </w:r>
          </w:p>
        </w:tc>
        <w:tc>
          <w:tcPr>
            <w:tcW w:w="624" w:type="dxa"/>
            <w:shd w:val="clear" w:color="auto" w:fill="auto"/>
            <w:tcMar>
              <w:top w:w="91" w:type="dxa"/>
              <w:left w:w="0" w:type="dxa"/>
              <w:bottom w:w="91" w:type="dxa"/>
              <w:right w:w="0" w:type="dxa"/>
            </w:tcMar>
          </w:tcPr>
          <w:p w14:paraId="6AAC910B" w14:textId="77777777" w:rsidR="00D10064" w:rsidRPr="00D10064" w:rsidRDefault="00D10064" w:rsidP="00120D64">
            <w:pPr>
              <w:pStyle w:val="TableText"/>
              <w:ind w:right="0"/>
              <w:jc w:val="both"/>
              <w:rPr>
                <w:rtl/>
              </w:rPr>
            </w:pPr>
            <w:r w:rsidRPr="00D10064">
              <w:rPr>
                <w:rtl/>
              </w:rPr>
              <w:t>4.</w:t>
            </w:r>
          </w:p>
        </w:tc>
        <w:tc>
          <w:tcPr>
            <w:tcW w:w="7143" w:type="dxa"/>
            <w:gridSpan w:val="6"/>
            <w:shd w:val="clear" w:color="auto" w:fill="auto"/>
            <w:tcMar>
              <w:top w:w="91" w:type="dxa"/>
              <w:left w:w="0" w:type="dxa"/>
              <w:bottom w:w="91" w:type="dxa"/>
              <w:right w:w="0" w:type="dxa"/>
            </w:tcMar>
          </w:tcPr>
          <w:p w14:paraId="79453260" w14:textId="77777777" w:rsidR="00D10064" w:rsidRPr="00D10064" w:rsidRDefault="00D10064" w:rsidP="00120D64">
            <w:pPr>
              <w:pStyle w:val="TableBlock"/>
              <w:rPr>
                <w:rtl/>
              </w:rPr>
            </w:pPr>
            <w:r w:rsidRPr="00D10064">
              <w:rPr>
                <w:rtl/>
              </w:rPr>
              <w:t xml:space="preserve">בסעיף 5ב(א) לחוק העיקרי, </w:t>
            </w:r>
            <w:r w:rsidRPr="00120D64">
              <w:rPr>
                <w:rtl/>
              </w:rPr>
              <w:t>ברישה</w:t>
            </w:r>
            <w:r w:rsidRPr="00D10064">
              <w:rPr>
                <w:rtl/>
              </w:rPr>
              <w:t xml:space="preserve">, המילים "[נוסח משולב], תשמ"ב–1982 (להלן – חוק סדר הדין הפלילי)," – יימחקו. </w:t>
            </w:r>
          </w:p>
        </w:tc>
      </w:tr>
      <w:tr w:rsidR="00D10064" w:rsidRPr="00D10064" w14:paraId="1A9D6017" w14:textId="77777777" w:rsidTr="00D10064">
        <w:trPr>
          <w:cantSplit/>
        </w:trPr>
        <w:tc>
          <w:tcPr>
            <w:tcW w:w="1869" w:type="dxa"/>
            <w:shd w:val="clear" w:color="auto" w:fill="auto"/>
            <w:tcMar>
              <w:top w:w="91" w:type="dxa"/>
              <w:left w:w="0" w:type="dxa"/>
              <w:bottom w:w="91" w:type="dxa"/>
              <w:right w:w="0" w:type="dxa"/>
            </w:tcMar>
          </w:tcPr>
          <w:p w14:paraId="21435ACF" w14:textId="77777777" w:rsidR="00D10064" w:rsidRPr="00D10064" w:rsidRDefault="00D10064" w:rsidP="00120D64">
            <w:pPr>
              <w:pStyle w:val="TableSideHeading"/>
              <w:ind w:right="0"/>
              <w:rPr>
                <w:rtl/>
              </w:rPr>
            </w:pPr>
            <w:r w:rsidRPr="00D10064">
              <w:rPr>
                <w:rtl/>
              </w:rPr>
              <w:t xml:space="preserve">תיקון סעיף 6 </w:t>
            </w:r>
          </w:p>
        </w:tc>
        <w:tc>
          <w:tcPr>
            <w:tcW w:w="624" w:type="dxa"/>
            <w:shd w:val="clear" w:color="auto" w:fill="auto"/>
            <w:tcMar>
              <w:top w:w="91" w:type="dxa"/>
              <w:left w:w="0" w:type="dxa"/>
              <w:bottom w:w="91" w:type="dxa"/>
              <w:right w:w="0" w:type="dxa"/>
            </w:tcMar>
          </w:tcPr>
          <w:p w14:paraId="2FFF7ADC" w14:textId="77777777" w:rsidR="00D10064" w:rsidRPr="00D10064" w:rsidRDefault="00D10064" w:rsidP="00120D64">
            <w:pPr>
              <w:pStyle w:val="TableText"/>
              <w:ind w:right="0"/>
              <w:jc w:val="both"/>
              <w:rPr>
                <w:rtl/>
              </w:rPr>
            </w:pPr>
            <w:r w:rsidRPr="00D10064">
              <w:rPr>
                <w:rtl/>
              </w:rPr>
              <w:t>5.</w:t>
            </w:r>
          </w:p>
        </w:tc>
        <w:tc>
          <w:tcPr>
            <w:tcW w:w="7143" w:type="dxa"/>
            <w:gridSpan w:val="6"/>
            <w:shd w:val="clear" w:color="auto" w:fill="auto"/>
            <w:tcMar>
              <w:top w:w="91" w:type="dxa"/>
              <w:left w:w="0" w:type="dxa"/>
              <w:bottom w:w="91" w:type="dxa"/>
              <w:right w:w="0" w:type="dxa"/>
            </w:tcMar>
          </w:tcPr>
          <w:p w14:paraId="77192495" w14:textId="77777777" w:rsidR="00D10064" w:rsidRPr="00D10064" w:rsidRDefault="00D10064" w:rsidP="00120D64">
            <w:pPr>
              <w:pStyle w:val="TableBlock"/>
              <w:rPr>
                <w:rtl/>
              </w:rPr>
            </w:pPr>
            <w:r w:rsidRPr="00D10064">
              <w:rPr>
                <w:rtl/>
              </w:rPr>
              <w:t xml:space="preserve">בסעיף 6(א2) לחוק </w:t>
            </w:r>
            <w:r w:rsidRPr="00120D64">
              <w:rPr>
                <w:rtl/>
              </w:rPr>
              <w:t>העיקרי</w:t>
            </w:r>
            <w:r w:rsidRPr="00D10064">
              <w:rPr>
                <w:rtl/>
              </w:rPr>
              <w:t>, אחרי פסקה (5) יבוא:</w:t>
            </w:r>
          </w:p>
        </w:tc>
      </w:tr>
      <w:tr w:rsidR="00D10064" w:rsidRPr="00D10064" w14:paraId="072074B6" w14:textId="77777777" w:rsidTr="00D10064">
        <w:trPr>
          <w:cantSplit/>
        </w:trPr>
        <w:tc>
          <w:tcPr>
            <w:tcW w:w="1869" w:type="dxa"/>
            <w:shd w:val="clear" w:color="auto" w:fill="auto"/>
            <w:tcMar>
              <w:top w:w="91" w:type="dxa"/>
              <w:left w:w="0" w:type="dxa"/>
              <w:bottom w:w="91" w:type="dxa"/>
              <w:right w:w="0" w:type="dxa"/>
            </w:tcMar>
          </w:tcPr>
          <w:p w14:paraId="227C24DB"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0F9E9883" w14:textId="77777777" w:rsidR="00D10064" w:rsidRPr="00120D64" w:rsidRDefault="00D10064" w:rsidP="00120D64">
            <w:pPr>
              <w:pStyle w:val="TableText"/>
              <w:ind w:right="0"/>
              <w:jc w:val="both"/>
              <w:rPr>
                <w:rtl/>
              </w:rPr>
            </w:pPr>
          </w:p>
        </w:tc>
        <w:tc>
          <w:tcPr>
            <w:tcW w:w="7143" w:type="dxa"/>
            <w:gridSpan w:val="6"/>
            <w:shd w:val="clear" w:color="auto" w:fill="auto"/>
            <w:tcMar>
              <w:top w:w="91" w:type="dxa"/>
              <w:left w:w="0" w:type="dxa"/>
              <w:bottom w:w="91" w:type="dxa"/>
              <w:right w:w="0" w:type="dxa"/>
            </w:tcMar>
          </w:tcPr>
          <w:p w14:paraId="524DA0D9" w14:textId="77777777" w:rsidR="00D10064" w:rsidRPr="00D10064" w:rsidRDefault="00D10064" w:rsidP="00120D64">
            <w:pPr>
              <w:pStyle w:val="TableBlock"/>
              <w:rPr>
                <w:rtl/>
              </w:rPr>
            </w:pPr>
            <w:r w:rsidRPr="00D10064">
              <w:rPr>
                <w:rtl/>
              </w:rPr>
              <w:t>"(6)</w:t>
            </w:r>
            <w:r w:rsidRPr="00D10064">
              <w:rPr>
                <w:rtl/>
              </w:rPr>
              <w:tab/>
              <w:t xml:space="preserve">מי שחוקר ילדים העביר אליו את קלטת החקירה, ובכלל זה את העתקה, לשם תמלול, או מי שחוקר ילדים, באישור מנהל השירות לחקירות ילדים וחקירות מיוחדות במשרד העבודה, הרווחה והשירותים החברתיים, העביר אליו את קלטת החקירה כאמור, או את התמליל, </w:t>
            </w:r>
            <w:r w:rsidRPr="00D10064">
              <w:rPr>
                <w:rFonts w:hint="cs"/>
                <w:rtl/>
              </w:rPr>
              <w:t xml:space="preserve">לשם </w:t>
            </w:r>
            <w:r w:rsidRPr="00D10064">
              <w:rPr>
                <w:rtl/>
              </w:rPr>
              <w:t xml:space="preserve">מחקר שמטרתו הכשרת חוקרי ילדים או פיתוח </w:t>
            </w:r>
            <w:r w:rsidRPr="00D10064">
              <w:rPr>
                <w:rFonts w:hint="cs"/>
                <w:rtl/>
              </w:rPr>
              <w:t xml:space="preserve">מקצועי לסיוע  בעבודת </w:t>
            </w:r>
            <w:r w:rsidRPr="00D10064">
              <w:rPr>
                <w:rtl/>
              </w:rPr>
              <w:t>חוקרי ילדים</w:t>
            </w:r>
            <w:r w:rsidRPr="00D10064">
              <w:rPr>
                <w:rFonts w:hint="cs"/>
                <w:rtl/>
              </w:rPr>
              <w:t xml:space="preserve"> והכשרתם</w:t>
            </w:r>
            <w:r w:rsidRPr="00D10064">
              <w:rPr>
                <w:rtl/>
              </w:rPr>
              <w:t xml:space="preserve">, והכול ובלבד שלא יועברו פרטים מעבר לאלו </w:t>
            </w:r>
            <w:r w:rsidRPr="00D10064">
              <w:rPr>
                <w:rFonts w:hint="cs"/>
                <w:rtl/>
              </w:rPr>
              <w:t>הנכללים</w:t>
            </w:r>
            <w:r w:rsidRPr="00D10064">
              <w:rPr>
                <w:rtl/>
              </w:rPr>
              <w:t xml:space="preserve"> בקלטת או בתמליל." </w:t>
            </w:r>
          </w:p>
        </w:tc>
      </w:tr>
      <w:tr w:rsidR="00D10064" w:rsidRPr="00D10064" w14:paraId="5EC3200B" w14:textId="77777777" w:rsidTr="00D10064">
        <w:trPr>
          <w:cantSplit/>
        </w:trPr>
        <w:tc>
          <w:tcPr>
            <w:tcW w:w="1869" w:type="dxa"/>
            <w:shd w:val="clear" w:color="auto" w:fill="auto"/>
            <w:tcMar>
              <w:top w:w="91" w:type="dxa"/>
              <w:left w:w="0" w:type="dxa"/>
              <w:bottom w:w="91" w:type="dxa"/>
              <w:right w:w="0" w:type="dxa"/>
            </w:tcMar>
          </w:tcPr>
          <w:p w14:paraId="032A0F5C" w14:textId="77777777" w:rsidR="00D10064" w:rsidRPr="00D10064" w:rsidRDefault="00D10064" w:rsidP="00120D64">
            <w:pPr>
              <w:pStyle w:val="TableSideHeading"/>
              <w:ind w:right="0"/>
              <w:rPr>
                <w:rtl/>
              </w:rPr>
            </w:pPr>
            <w:r w:rsidRPr="00D10064">
              <w:rPr>
                <w:rtl/>
              </w:rPr>
              <w:t xml:space="preserve">הוספת סעיף 10א </w:t>
            </w:r>
          </w:p>
        </w:tc>
        <w:tc>
          <w:tcPr>
            <w:tcW w:w="624" w:type="dxa"/>
            <w:shd w:val="clear" w:color="auto" w:fill="auto"/>
            <w:tcMar>
              <w:top w:w="91" w:type="dxa"/>
              <w:left w:w="0" w:type="dxa"/>
              <w:bottom w:w="91" w:type="dxa"/>
              <w:right w:w="0" w:type="dxa"/>
            </w:tcMar>
          </w:tcPr>
          <w:p w14:paraId="7F9BFA75" w14:textId="77777777" w:rsidR="00D10064" w:rsidRPr="00D10064" w:rsidRDefault="00D10064" w:rsidP="00120D64">
            <w:pPr>
              <w:pStyle w:val="TableText"/>
              <w:ind w:right="0"/>
              <w:jc w:val="both"/>
              <w:rPr>
                <w:rtl/>
              </w:rPr>
            </w:pPr>
            <w:r w:rsidRPr="00D10064">
              <w:rPr>
                <w:rtl/>
              </w:rPr>
              <w:t>6.</w:t>
            </w:r>
          </w:p>
        </w:tc>
        <w:tc>
          <w:tcPr>
            <w:tcW w:w="7143" w:type="dxa"/>
            <w:gridSpan w:val="6"/>
            <w:shd w:val="clear" w:color="auto" w:fill="auto"/>
            <w:tcMar>
              <w:top w:w="91" w:type="dxa"/>
              <w:left w:w="0" w:type="dxa"/>
              <w:bottom w:w="91" w:type="dxa"/>
              <w:right w:w="0" w:type="dxa"/>
            </w:tcMar>
          </w:tcPr>
          <w:p w14:paraId="1DE469FF" w14:textId="77777777" w:rsidR="00D10064" w:rsidRPr="00D10064" w:rsidRDefault="00D10064" w:rsidP="00120D64">
            <w:pPr>
              <w:pStyle w:val="TableBlock"/>
              <w:rPr>
                <w:rtl/>
              </w:rPr>
            </w:pPr>
            <w:r w:rsidRPr="00D10064">
              <w:rPr>
                <w:rtl/>
              </w:rPr>
              <w:t xml:space="preserve">אחרי סעיף 10 לחוק </w:t>
            </w:r>
            <w:r w:rsidRPr="00120D64">
              <w:rPr>
                <w:rtl/>
              </w:rPr>
              <w:t>העיקרי</w:t>
            </w:r>
            <w:r w:rsidRPr="00D10064">
              <w:rPr>
                <w:rtl/>
              </w:rPr>
              <w:t xml:space="preserve"> יבוא:</w:t>
            </w:r>
          </w:p>
        </w:tc>
      </w:tr>
      <w:tr w:rsidR="00D10064" w:rsidRPr="00D10064" w14:paraId="52E3EDB8" w14:textId="77777777" w:rsidTr="00D10064">
        <w:trPr>
          <w:cantSplit/>
        </w:trPr>
        <w:tc>
          <w:tcPr>
            <w:tcW w:w="1869" w:type="dxa"/>
            <w:shd w:val="clear" w:color="auto" w:fill="auto"/>
            <w:tcMar>
              <w:top w:w="91" w:type="dxa"/>
              <w:left w:w="0" w:type="dxa"/>
              <w:bottom w:w="91" w:type="dxa"/>
              <w:right w:w="0" w:type="dxa"/>
            </w:tcMar>
          </w:tcPr>
          <w:p w14:paraId="7EB13FFA" w14:textId="77777777" w:rsidR="00D10064" w:rsidRPr="00120D64" w:rsidRDefault="00D10064" w:rsidP="00120D64">
            <w:pPr>
              <w:pStyle w:val="TableSideHeading"/>
              <w:ind w:right="0"/>
              <w:rPr>
                <w:rtl/>
              </w:rPr>
            </w:pPr>
          </w:p>
          <w:p w14:paraId="70F04EEE" w14:textId="77777777" w:rsidR="00D10064" w:rsidRPr="00120D64" w:rsidRDefault="00D10064" w:rsidP="00120D64">
            <w:pPr>
              <w:pStyle w:val="TableSideHeading"/>
              <w:rPr>
                <w:rtl/>
              </w:rPr>
            </w:pPr>
          </w:p>
        </w:tc>
        <w:tc>
          <w:tcPr>
            <w:tcW w:w="624" w:type="dxa"/>
            <w:shd w:val="clear" w:color="auto" w:fill="auto"/>
            <w:tcMar>
              <w:top w:w="91" w:type="dxa"/>
              <w:left w:w="0" w:type="dxa"/>
              <w:bottom w:w="91" w:type="dxa"/>
              <w:right w:w="0" w:type="dxa"/>
            </w:tcMar>
          </w:tcPr>
          <w:p w14:paraId="4E10FD11" w14:textId="77777777" w:rsidR="00D10064" w:rsidRPr="00120D64" w:rsidRDefault="00D10064" w:rsidP="00120D64">
            <w:pPr>
              <w:pStyle w:val="TableText"/>
              <w:ind w:right="0"/>
              <w:jc w:val="both"/>
              <w:rPr>
                <w:rtl/>
              </w:rPr>
            </w:pPr>
          </w:p>
        </w:tc>
        <w:tc>
          <w:tcPr>
            <w:tcW w:w="1872" w:type="dxa"/>
            <w:gridSpan w:val="3"/>
            <w:shd w:val="clear" w:color="auto" w:fill="auto"/>
            <w:tcMar>
              <w:top w:w="91" w:type="dxa"/>
              <w:left w:w="0" w:type="dxa"/>
              <w:bottom w:w="91" w:type="dxa"/>
              <w:right w:w="0" w:type="dxa"/>
            </w:tcMar>
          </w:tcPr>
          <w:p w14:paraId="7CC951B5" w14:textId="77777777" w:rsidR="00D10064" w:rsidRPr="00D10064" w:rsidRDefault="00D10064" w:rsidP="00D10064">
            <w:pPr>
              <w:pStyle w:val="TableInnerSideHeading"/>
              <w:ind w:right="0"/>
              <w:rPr>
                <w:rtl/>
              </w:rPr>
            </w:pPr>
            <w:r w:rsidRPr="00D10064">
              <w:rPr>
                <w:rtl/>
              </w:rPr>
              <w:t>"רציפות הדיון</w:t>
            </w:r>
          </w:p>
        </w:tc>
        <w:tc>
          <w:tcPr>
            <w:tcW w:w="624" w:type="dxa"/>
            <w:shd w:val="clear" w:color="auto" w:fill="auto"/>
            <w:tcMar>
              <w:top w:w="91" w:type="dxa"/>
              <w:left w:w="0" w:type="dxa"/>
              <w:bottom w:w="91" w:type="dxa"/>
              <w:right w:w="0" w:type="dxa"/>
            </w:tcMar>
          </w:tcPr>
          <w:p w14:paraId="52509978" w14:textId="77777777" w:rsidR="00D10064" w:rsidRPr="00D10064" w:rsidRDefault="00D10064" w:rsidP="00D10064">
            <w:pPr>
              <w:pStyle w:val="TableText"/>
              <w:ind w:right="0"/>
              <w:jc w:val="both"/>
              <w:rPr>
                <w:rtl/>
              </w:rPr>
            </w:pPr>
            <w:r w:rsidRPr="00D10064">
              <w:rPr>
                <w:rtl/>
              </w:rPr>
              <w:t>10א.</w:t>
            </w:r>
          </w:p>
        </w:tc>
        <w:tc>
          <w:tcPr>
            <w:tcW w:w="4647" w:type="dxa"/>
            <w:gridSpan w:val="2"/>
            <w:shd w:val="clear" w:color="auto" w:fill="auto"/>
            <w:tcMar>
              <w:top w:w="91" w:type="dxa"/>
              <w:left w:w="0" w:type="dxa"/>
              <w:bottom w:w="91" w:type="dxa"/>
              <w:right w:w="0" w:type="dxa"/>
            </w:tcMar>
          </w:tcPr>
          <w:p w14:paraId="791C6F3A" w14:textId="77777777" w:rsidR="00D10064" w:rsidRPr="00D10064" w:rsidRDefault="00D10064" w:rsidP="00D10064">
            <w:pPr>
              <w:pStyle w:val="TableBlock"/>
              <w:rPr>
                <w:rtl/>
              </w:rPr>
            </w:pPr>
            <w:r w:rsidRPr="00D10064">
              <w:rPr>
                <w:rFonts w:hint="cs"/>
                <w:rtl/>
              </w:rPr>
              <w:t>(א)</w:t>
            </w:r>
            <w:r w:rsidRPr="00D10064">
              <w:rPr>
                <w:rtl/>
              </w:rPr>
              <w:tab/>
              <w:t xml:space="preserve">החל בית המשפט בשמיעת עדותו של ילד נפגע עבירה </w:t>
            </w:r>
            <w:r w:rsidRPr="00D10064">
              <w:rPr>
                <w:rFonts w:hint="cs"/>
                <w:rtl/>
              </w:rPr>
              <w:t xml:space="preserve">או שעבירה </w:t>
            </w:r>
            <w:r w:rsidRPr="00D10064">
              <w:rPr>
                <w:rFonts w:hint="cs"/>
                <w:rtl/>
              </w:rPr>
              <w:t>נעשתה</w:t>
            </w:r>
            <w:r w:rsidRPr="00D10064">
              <w:rPr>
                <w:rFonts w:hint="cs"/>
                <w:rtl/>
              </w:rPr>
              <w:t xml:space="preserve"> בנוכחותו ו</w:t>
            </w:r>
            <w:r w:rsidRPr="00D10064">
              <w:rPr>
                <w:rtl/>
              </w:rPr>
              <w:t xml:space="preserve">חוקר ילדים הרשה את עדותו לפי הוראות סעיף 2, יסיים בית המשפט, ככל האפשר, את שמיעת עדותו ביום שבו החלה; לא הסתיימה שמיעת עדותו של הילד באותו יום, ישמע בית המשפט, ככל האפשר, את עדותו ברציפות, יום אחר יום, ככל שהדבר עולה בקנה אחד עם טובת הילד; </w:t>
            </w:r>
            <w:r w:rsidRPr="00D10064">
              <w:rPr>
                <w:rFonts w:hint="cs"/>
                <w:rtl/>
              </w:rPr>
              <w:t xml:space="preserve">לא עשה כן בית המשפט, ינמק את החלטתו לשמיעה לא רצופה של העדות. </w:t>
            </w:r>
          </w:p>
        </w:tc>
      </w:tr>
      <w:tr w:rsidR="00D10064" w:rsidRPr="00D10064" w14:paraId="5C00E955" w14:textId="77777777" w:rsidTr="00D10064">
        <w:tblPrEx>
          <w:tblLook w:val="01E0" w:firstRow="1" w:lastRow="1" w:firstColumn="1" w:lastColumn="1" w:noHBand="0" w:noVBand="0"/>
        </w:tblPrEx>
        <w:trPr>
          <w:cantSplit/>
        </w:trPr>
        <w:tc>
          <w:tcPr>
            <w:tcW w:w="1869" w:type="dxa"/>
          </w:tcPr>
          <w:p w14:paraId="0D238A2F" w14:textId="77777777" w:rsidR="00D10064" w:rsidRPr="00120D64" w:rsidRDefault="00D10064" w:rsidP="00120D64">
            <w:pPr>
              <w:pStyle w:val="TableSideHeading"/>
              <w:ind w:right="0"/>
            </w:pPr>
          </w:p>
        </w:tc>
        <w:tc>
          <w:tcPr>
            <w:tcW w:w="624" w:type="dxa"/>
          </w:tcPr>
          <w:p w14:paraId="2778D47D" w14:textId="77777777" w:rsidR="00D10064" w:rsidRPr="00120D64" w:rsidRDefault="00D10064" w:rsidP="00120D64">
            <w:pPr>
              <w:pStyle w:val="TableText"/>
              <w:ind w:right="0"/>
              <w:jc w:val="both"/>
            </w:pPr>
          </w:p>
        </w:tc>
        <w:tc>
          <w:tcPr>
            <w:tcW w:w="624" w:type="dxa"/>
          </w:tcPr>
          <w:p w14:paraId="617C87B7" w14:textId="77777777" w:rsidR="00D10064" w:rsidRPr="00120D64" w:rsidRDefault="00D10064" w:rsidP="00120D64">
            <w:pPr>
              <w:pStyle w:val="TableText"/>
              <w:ind w:right="0"/>
              <w:jc w:val="both"/>
            </w:pPr>
          </w:p>
        </w:tc>
        <w:tc>
          <w:tcPr>
            <w:tcW w:w="624" w:type="dxa"/>
          </w:tcPr>
          <w:p w14:paraId="016F5C30" w14:textId="77777777" w:rsidR="00D10064" w:rsidRPr="00120D64" w:rsidRDefault="00D10064" w:rsidP="00120D64">
            <w:pPr>
              <w:pStyle w:val="TableText"/>
              <w:ind w:right="0"/>
              <w:jc w:val="both"/>
            </w:pPr>
          </w:p>
        </w:tc>
        <w:tc>
          <w:tcPr>
            <w:tcW w:w="624" w:type="dxa"/>
          </w:tcPr>
          <w:p w14:paraId="283055B6" w14:textId="77777777" w:rsidR="00D10064" w:rsidRPr="00120D64" w:rsidRDefault="00D10064" w:rsidP="00120D64">
            <w:pPr>
              <w:pStyle w:val="TableText"/>
              <w:ind w:right="0"/>
              <w:jc w:val="both"/>
            </w:pPr>
          </w:p>
        </w:tc>
        <w:tc>
          <w:tcPr>
            <w:tcW w:w="624" w:type="dxa"/>
          </w:tcPr>
          <w:p w14:paraId="6154EA67" w14:textId="77777777" w:rsidR="00D10064" w:rsidRPr="00120D64" w:rsidRDefault="00D10064" w:rsidP="00120D64">
            <w:pPr>
              <w:pStyle w:val="TableText"/>
              <w:ind w:right="0"/>
              <w:jc w:val="both"/>
            </w:pPr>
          </w:p>
        </w:tc>
        <w:tc>
          <w:tcPr>
            <w:tcW w:w="4647" w:type="dxa"/>
            <w:gridSpan w:val="2"/>
          </w:tcPr>
          <w:p w14:paraId="11B15B1C" w14:textId="77777777" w:rsidR="00D10064" w:rsidRPr="00D10064" w:rsidRDefault="00D10064" w:rsidP="00120D64">
            <w:pPr>
              <w:pStyle w:val="TableBlock"/>
            </w:pPr>
            <w:r w:rsidRPr="00D10064">
              <w:rPr>
                <w:rFonts w:hint="cs"/>
                <w:rtl/>
              </w:rPr>
              <w:t>(ב)</w:t>
            </w:r>
            <w:r w:rsidRPr="00D10064">
              <w:rPr>
                <w:rtl/>
              </w:rPr>
              <w:tab/>
              <w:t>בית המשפט, ביוזמתו או לבקשת הילד, חוקר ילדים או הורהו של הילד, רשאי להפסיק או לדחות את שמיעת העדות, אם סבר שמתן העדות ברציפות מקשה על הילד."</w:t>
            </w:r>
          </w:p>
        </w:tc>
      </w:tr>
      <w:tr w:rsidR="00D10064" w:rsidRPr="00D10064" w14:paraId="2E6BCB81" w14:textId="77777777" w:rsidTr="00D10064">
        <w:trPr>
          <w:cantSplit/>
        </w:trPr>
        <w:tc>
          <w:tcPr>
            <w:tcW w:w="1869" w:type="dxa"/>
            <w:shd w:val="clear" w:color="auto" w:fill="auto"/>
            <w:tcMar>
              <w:top w:w="91" w:type="dxa"/>
              <w:left w:w="0" w:type="dxa"/>
              <w:bottom w:w="91" w:type="dxa"/>
              <w:right w:w="0" w:type="dxa"/>
            </w:tcMar>
          </w:tcPr>
          <w:p w14:paraId="3BC699D7" w14:textId="77777777" w:rsidR="00D10064" w:rsidRDefault="00D10064" w:rsidP="00120D64">
            <w:pPr>
              <w:pStyle w:val="TableSideHeading"/>
              <w:ind w:right="0"/>
              <w:rPr>
                <w:rtl/>
              </w:rPr>
            </w:pPr>
            <w:r w:rsidRPr="00D10064">
              <w:rPr>
                <w:rtl/>
              </w:rPr>
              <w:t xml:space="preserve">תיקון חוק לתיקון סדרי </w:t>
            </w:r>
            <w:r w:rsidRPr="00120D64">
              <w:rPr>
                <w:rtl/>
              </w:rPr>
              <w:t>הדין</w:t>
            </w:r>
            <w:r w:rsidRPr="00D10064">
              <w:rPr>
                <w:rtl/>
              </w:rPr>
              <w:t xml:space="preserve"> (חקירת עדים)</w:t>
            </w:r>
          </w:p>
          <w:p w14:paraId="2A044982" w14:textId="4D08AC0A" w:rsidR="001113B8" w:rsidRPr="00D10064" w:rsidRDefault="001113B8" w:rsidP="00120D64">
            <w:pPr>
              <w:pStyle w:val="TableSideHeading"/>
              <w:ind w:right="0"/>
              <w:rPr>
                <w:rtl/>
              </w:rPr>
            </w:pPr>
            <w:r>
              <w:rPr>
                <w:rFonts w:hint="cs"/>
                <w:rtl/>
              </w:rPr>
              <w:t>[מס' 8]</w:t>
            </w:r>
          </w:p>
        </w:tc>
        <w:tc>
          <w:tcPr>
            <w:tcW w:w="624" w:type="dxa"/>
            <w:shd w:val="clear" w:color="auto" w:fill="auto"/>
            <w:tcMar>
              <w:top w:w="91" w:type="dxa"/>
              <w:left w:w="0" w:type="dxa"/>
              <w:bottom w:w="91" w:type="dxa"/>
              <w:right w:w="0" w:type="dxa"/>
            </w:tcMar>
          </w:tcPr>
          <w:p w14:paraId="0184BBB9" w14:textId="77777777" w:rsidR="00D10064" w:rsidRPr="00D10064" w:rsidRDefault="00D10064" w:rsidP="00120D64">
            <w:pPr>
              <w:pStyle w:val="TableText"/>
              <w:ind w:right="0"/>
              <w:jc w:val="both"/>
              <w:rPr>
                <w:rtl/>
              </w:rPr>
            </w:pPr>
            <w:r w:rsidRPr="00D10064">
              <w:rPr>
                <w:rtl/>
              </w:rPr>
              <w:t>7.</w:t>
            </w:r>
          </w:p>
        </w:tc>
        <w:tc>
          <w:tcPr>
            <w:tcW w:w="7143" w:type="dxa"/>
            <w:gridSpan w:val="6"/>
            <w:shd w:val="clear" w:color="auto" w:fill="auto"/>
            <w:tcMar>
              <w:top w:w="91" w:type="dxa"/>
              <w:left w:w="0" w:type="dxa"/>
              <w:bottom w:w="91" w:type="dxa"/>
              <w:right w:w="0" w:type="dxa"/>
            </w:tcMar>
          </w:tcPr>
          <w:p w14:paraId="5C226439" w14:textId="77777777" w:rsidR="00D10064" w:rsidRPr="00D10064" w:rsidRDefault="00D10064" w:rsidP="00120D64">
            <w:pPr>
              <w:pStyle w:val="TableBlock"/>
              <w:rPr>
                <w:rtl/>
              </w:rPr>
            </w:pPr>
            <w:r w:rsidRPr="00120D64">
              <w:rPr>
                <w:rtl/>
              </w:rPr>
              <w:t xml:space="preserve">בחוק לתיקון סדרי הדין (חקירת עדים), </w:t>
            </w:r>
            <w:proofErr w:type="spellStart"/>
            <w:r w:rsidRPr="00120D64">
              <w:rPr>
                <w:rtl/>
              </w:rPr>
              <w:t>התשי"ח</w:t>
            </w:r>
            <w:proofErr w:type="spellEnd"/>
            <w:r w:rsidRPr="00120D64">
              <w:rPr>
                <w:rtl/>
              </w:rPr>
              <w:t>–1957‏‏</w:t>
            </w:r>
            <w:r w:rsidRPr="00804988">
              <w:rPr>
                <w:vertAlign w:val="superscript"/>
                <w:rtl/>
              </w:rPr>
              <w:footnoteReference w:id="5"/>
            </w:r>
            <w:r w:rsidRPr="00120D64">
              <w:rPr>
                <w:rtl/>
              </w:rPr>
              <w:t xml:space="preserve">, אחרי סעיף 2ג יבוא: </w:t>
            </w:r>
          </w:p>
        </w:tc>
      </w:tr>
      <w:tr w:rsidR="00D10064" w:rsidRPr="00D10064" w14:paraId="16F201E3" w14:textId="77777777" w:rsidTr="00D10064">
        <w:trPr>
          <w:cantSplit/>
        </w:trPr>
        <w:tc>
          <w:tcPr>
            <w:tcW w:w="1869" w:type="dxa"/>
            <w:shd w:val="clear" w:color="auto" w:fill="auto"/>
          </w:tcPr>
          <w:p w14:paraId="786AEF46"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396A4159" w14:textId="77777777" w:rsidR="00D10064" w:rsidRPr="00120D64" w:rsidRDefault="00D10064" w:rsidP="00120D64">
            <w:pPr>
              <w:pStyle w:val="TableText"/>
              <w:ind w:right="0"/>
              <w:jc w:val="both"/>
              <w:rPr>
                <w:rtl/>
              </w:rPr>
            </w:pPr>
          </w:p>
        </w:tc>
        <w:tc>
          <w:tcPr>
            <w:tcW w:w="1872" w:type="dxa"/>
            <w:gridSpan w:val="3"/>
            <w:shd w:val="clear" w:color="auto" w:fill="auto"/>
            <w:tcMar>
              <w:top w:w="91" w:type="dxa"/>
              <w:left w:w="0" w:type="dxa"/>
              <w:bottom w:w="91" w:type="dxa"/>
              <w:right w:w="0" w:type="dxa"/>
            </w:tcMar>
          </w:tcPr>
          <w:p w14:paraId="3C59C2FB" w14:textId="77777777" w:rsidR="00D10064" w:rsidRPr="00D10064" w:rsidRDefault="00D10064" w:rsidP="00D10064">
            <w:pPr>
              <w:pStyle w:val="TableInnerSideHeading"/>
              <w:ind w:right="0"/>
              <w:rPr>
                <w:rtl/>
              </w:rPr>
            </w:pPr>
            <w:r w:rsidRPr="00D10064">
              <w:rPr>
                <w:rtl/>
              </w:rPr>
              <w:t xml:space="preserve">"איסור חקירה </w:t>
            </w:r>
            <w:r w:rsidRPr="00D10064">
              <w:rPr>
                <w:rtl/>
              </w:rPr>
              <w:t>נגדית</w:t>
            </w:r>
            <w:r w:rsidRPr="00D10064">
              <w:rPr>
                <w:rtl/>
              </w:rPr>
              <w:t xml:space="preserve"> בידי נאשם </w:t>
            </w:r>
          </w:p>
        </w:tc>
        <w:tc>
          <w:tcPr>
            <w:tcW w:w="624" w:type="dxa"/>
            <w:shd w:val="clear" w:color="auto" w:fill="auto"/>
            <w:tcMar>
              <w:top w:w="91" w:type="dxa"/>
              <w:left w:w="0" w:type="dxa"/>
              <w:bottom w:w="91" w:type="dxa"/>
              <w:right w:w="0" w:type="dxa"/>
            </w:tcMar>
          </w:tcPr>
          <w:p w14:paraId="5A99F43E" w14:textId="77777777" w:rsidR="00D10064" w:rsidRPr="00D10064" w:rsidRDefault="00D10064" w:rsidP="00D10064">
            <w:pPr>
              <w:pStyle w:val="TableText"/>
              <w:ind w:right="0"/>
              <w:jc w:val="both"/>
              <w:rPr>
                <w:rtl/>
              </w:rPr>
            </w:pPr>
            <w:r w:rsidRPr="00D10064">
              <w:rPr>
                <w:rtl/>
              </w:rPr>
              <w:t>2ד</w:t>
            </w:r>
            <w:r w:rsidRPr="00D10064">
              <w:rPr>
                <w:rtl/>
              </w:rPr>
              <w:t>.</w:t>
            </w:r>
          </w:p>
        </w:tc>
        <w:tc>
          <w:tcPr>
            <w:tcW w:w="4647" w:type="dxa"/>
            <w:gridSpan w:val="2"/>
            <w:shd w:val="clear" w:color="auto" w:fill="auto"/>
            <w:tcMar>
              <w:top w:w="91" w:type="dxa"/>
              <w:left w:w="0" w:type="dxa"/>
              <w:bottom w:w="91" w:type="dxa"/>
              <w:right w:w="0" w:type="dxa"/>
            </w:tcMar>
          </w:tcPr>
          <w:p w14:paraId="5F3BDF4A" w14:textId="77777777" w:rsidR="00D10064" w:rsidRPr="00D10064" w:rsidRDefault="00D10064" w:rsidP="00D10064">
            <w:pPr>
              <w:pStyle w:val="TableBlock"/>
              <w:rPr>
                <w:rtl/>
              </w:rPr>
            </w:pPr>
            <w:r w:rsidRPr="00D10064">
              <w:rPr>
                <w:rtl/>
              </w:rPr>
              <w:t>(א)</w:t>
            </w:r>
            <w:r w:rsidRPr="00D10064">
              <w:rPr>
                <w:rtl/>
              </w:rPr>
              <w:tab/>
              <w:t xml:space="preserve">במסירת עדות של </w:t>
            </w:r>
            <w:r w:rsidRPr="00D10064">
              <w:rPr>
                <w:rtl/>
              </w:rPr>
              <w:t>קטין</w:t>
            </w:r>
            <w:r w:rsidRPr="00D10064">
              <w:rPr>
                <w:rtl/>
              </w:rPr>
              <w:t xml:space="preserve"> שהוא נפגע בעבירה המנויה בתוספת</w:t>
            </w:r>
            <w:r w:rsidRPr="00D10064">
              <w:rPr>
                <w:rFonts w:hint="cs"/>
                <w:rtl/>
              </w:rPr>
              <w:t xml:space="preserve"> או שעבירה המנויה בתוספת נעשתה בנוכחותו</w:t>
            </w:r>
            <w:r w:rsidRPr="00D10064">
              <w:rPr>
                <w:rtl/>
              </w:rPr>
              <w:t xml:space="preserve">, לא יחקור הנאשם בעצמו את הקטין, אלא </w:t>
            </w:r>
            <w:proofErr w:type="spellStart"/>
            <w:r w:rsidRPr="00D10064">
              <w:rPr>
                <w:rtl/>
              </w:rPr>
              <w:t>סניגורו</w:t>
            </w:r>
            <w:proofErr w:type="spellEnd"/>
            <w:r w:rsidRPr="00D10064">
              <w:rPr>
                <w:rtl/>
              </w:rPr>
              <w:t>.</w:t>
            </w:r>
          </w:p>
        </w:tc>
      </w:tr>
      <w:tr w:rsidR="00D10064" w:rsidRPr="00D10064" w14:paraId="20BFCB90" w14:textId="77777777" w:rsidTr="00D10064">
        <w:trPr>
          <w:cantSplit/>
        </w:trPr>
        <w:tc>
          <w:tcPr>
            <w:tcW w:w="1869" w:type="dxa"/>
            <w:shd w:val="clear" w:color="auto" w:fill="auto"/>
            <w:tcMar>
              <w:top w:w="91" w:type="dxa"/>
              <w:left w:w="0" w:type="dxa"/>
              <w:bottom w:w="91" w:type="dxa"/>
              <w:right w:w="0" w:type="dxa"/>
            </w:tcMar>
          </w:tcPr>
          <w:p w14:paraId="5D3F196F"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58BFAB76"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4C21BC89"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454AB879"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5E93D897" w14:textId="77777777" w:rsidR="00D10064" w:rsidRPr="00120D64" w:rsidRDefault="00D10064" w:rsidP="00120D64">
            <w:pPr>
              <w:pStyle w:val="TableText"/>
              <w:ind w:right="0"/>
              <w:jc w:val="both"/>
              <w:rPr>
                <w:rtl/>
              </w:rPr>
            </w:pPr>
          </w:p>
        </w:tc>
        <w:tc>
          <w:tcPr>
            <w:tcW w:w="624" w:type="dxa"/>
            <w:shd w:val="clear" w:color="auto" w:fill="auto"/>
            <w:tcMar>
              <w:top w:w="91" w:type="dxa"/>
              <w:left w:w="0" w:type="dxa"/>
              <w:bottom w:w="91" w:type="dxa"/>
              <w:right w:w="0" w:type="dxa"/>
            </w:tcMar>
          </w:tcPr>
          <w:p w14:paraId="68E90281" w14:textId="77777777" w:rsidR="00D10064" w:rsidRPr="00120D64" w:rsidRDefault="00D10064" w:rsidP="00120D64">
            <w:pPr>
              <w:pStyle w:val="TableText"/>
              <w:ind w:right="0"/>
              <w:jc w:val="both"/>
              <w:rPr>
                <w:rtl/>
              </w:rPr>
            </w:pPr>
          </w:p>
        </w:tc>
        <w:tc>
          <w:tcPr>
            <w:tcW w:w="4647" w:type="dxa"/>
            <w:gridSpan w:val="2"/>
            <w:shd w:val="clear" w:color="auto" w:fill="auto"/>
            <w:tcMar>
              <w:top w:w="91" w:type="dxa"/>
              <w:left w:w="0" w:type="dxa"/>
              <w:bottom w:w="91" w:type="dxa"/>
              <w:right w:w="0" w:type="dxa"/>
            </w:tcMar>
          </w:tcPr>
          <w:p w14:paraId="4E11ED0C" w14:textId="77777777" w:rsidR="00D10064" w:rsidRPr="00D10064" w:rsidRDefault="00D10064" w:rsidP="00120D64">
            <w:pPr>
              <w:pStyle w:val="TableBlock"/>
              <w:rPr>
                <w:rtl/>
              </w:rPr>
            </w:pPr>
            <w:r w:rsidRPr="00D10064">
              <w:rPr>
                <w:rtl/>
              </w:rPr>
              <w:t>(ב)</w:t>
            </w:r>
            <w:r w:rsidRPr="00D10064">
              <w:rPr>
                <w:rtl/>
              </w:rPr>
              <w:tab/>
              <w:t xml:space="preserve">לא היה הנאשם מיוצג בהליך שקטין אמור למסור בו עדות כאמור בסעיף קטן (א), ימנה לו בית המשפט סניגור לייצגו בעת חקירת הקטין; סירב הנאשם למינוי סניגור, </w:t>
            </w:r>
            <w:r w:rsidRPr="00120D64">
              <w:rPr>
                <w:rtl/>
              </w:rPr>
              <w:t>יודיע</w:t>
            </w:r>
            <w:r w:rsidRPr="00D10064">
              <w:rPr>
                <w:rtl/>
              </w:rPr>
              <w:t xml:space="preserve"> לו בית המשפט כי בהתאם להוראות סעיף זה אין הוא רשאי לחקור בעצמו את הקטין. </w:t>
            </w:r>
          </w:p>
        </w:tc>
      </w:tr>
      <w:tr w:rsidR="00D10064" w:rsidRPr="00D10064" w14:paraId="7E5D9E1D" w14:textId="77777777" w:rsidTr="00D10064">
        <w:trPr>
          <w:cantSplit/>
        </w:trPr>
        <w:tc>
          <w:tcPr>
            <w:tcW w:w="1869" w:type="dxa"/>
            <w:shd w:val="clear" w:color="auto" w:fill="auto"/>
            <w:tcMar>
              <w:top w:w="91" w:type="dxa"/>
              <w:left w:w="0" w:type="dxa"/>
              <w:bottom w:w="91" w:type="dxa"/>
              <w:right w:w="0" w:type="dxa"/>
            </w:tcMar>
          </w:tcPr>
          <w:p w14:paraId="78F123DB"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55F992E0" w14:textId="77777777" w:rsidR="00D10064" w:rsidRPr="00120D64" w:rsidRDefault="00D10064" w:rsidP="00120D64">
            <w:pPr>
              <w:pStyle w:val="TableText"/>
              <w:ind w:right="0"/>
              <w:jc w:val="both"/>
              <w:rPr>
                <w:rtl/>
              </w:rPr>
            </w:pPr>
          </w:p>
        </w:tc>
        <w:tc>
          <w:tcPr>
            <w:tcW w:w="1872" w:type="dxa"/>
            <w:gridSpan w:val="3"/>
            <w:shd w:val="clear" w:color="auto" w:fill="auto"/>
            <w:tcMar>
              <w:top w:w="91" w:type="dxa"/>
              <w:left w:w="0" w:type="dxa"/>
              <w:bottom w:w="91" w:type="dxa"/>
              <w:right w:w="0" w:type="dxa"/>
            </w:tcMar>
          </w:tcPr>
          <w:p w14:paraId="62848133" w14:textId="77777777" w:rsidR="00D10064" w:rsidRPr="00D10064" w:rsidRDefault="00D10064" w:rsidP="00D10064">
            <w:pPr>
              <w:pStyle w:val="TableInnerSideHeading"/>
              <w:ind w:right="0"/>
              <w:rPr>
                <w:rtl/>
              </w:rPr>
            </w:pPr>
            <w:r w:rsidRPr="00D10064">
              <w:rPr>
                <w:rtl/>
              </w:rPr>
              <w:t xml:space="preserve">רציפות </w:t>
            </w:r>
            <w:r w:rsidRPr="00D10064">
              <w:rPr>
                <w:rtl/>
              </w:rPr>
              <w:t>הדיון</w:t>
            </w:r>
          </w:p>
        </w:tc>
        <w:tc>
          <w:tcPr>
            <w:tcW w:w="624" w:type="dxa"/>
            <w:shd w:val="clear" w:color="auto" w:fill="auto"/>
            <w:tcMar>
              <w:top w:w="91" w:type="dxa"/>
              <w:left w:w="0" w:type="dxa"/>
              <w:bottom w:w="91" w:type="dxa"/>
              <w:right w:w="0" w:type="dxa"/>
            </w:tcMar>
          </w:tcPr>
          <w:p w14:paraId="105D7BF7" w14:textId="77777777" w:rsidR="00D10064" w:rsidRPr="00D10064" w:rsidRDefault="00D10064" w:rsidP="00D10064">
            <w:pPr>
              <w:pStyle w:val="TableText"/>
              <w:ind w:right="0"/>
              <w:jc w:val="both"/>
              <w:rPr>
                <w:rtl/>
              </w:rPr>
            </w:pPr>
            <w:r w:rsidRPr="00D10064">
              <w:rPr>
                <w:rtl/>
              </w:rPr>
              <w:t>2ה.</w:t>
            </w:r>
          </w:p>
        </w:tc>
        <w:tc>
          <w:tcPr>
            <w:tcW w:w="4647" w:type="dxa"/>
            <w:gridSpan w:val="2"/>
            <w:shd w:val="clear" w:color="auto" w:fill="auto"/>
            <w:tcMar>
              <w:top w:w="91" w:type="dxa"/>
              <w:left w:w="0" w:type="dxa"/>
              <w:bottom w:w="91" w:type="dxa"/>
              <w:right w:w="0" w:type="dxa"/>
            </w:tcMar>
          </w:tcPr>
          <w:p w14:paraId="6D695E90" w14:textId="77777777" w:rsidR="00D10064" w:rsidRPr="00D10064" w:rsidRDefault="00D10064" w:rsidP="00D10064">
            <w:pPr>
              <w:pStyle w:val="TableBlock"/>
              <w:rPr>
                <w:rtl/>
              </w:rPr>
            </w:pPr>
            <w:r w:rsidRPr="00D10064">
              <w:rPr>
                <w:rFonts w:hint="cs"/>
                <w:rtl/>
              </w:rPr>
              <w:t>(א)</w:t>
            </w:r>
            <w:r w:rsidRPr="00D10064">
              <w:rPr>
                <w:rtl/>
              </w:rPr>
              <w:tab/>
              <w:t>החל בית המשפט בשמיעת עדותו של קטין שהוא נפגע בעבירה המנויה בתוספת</w:t>
            </w:r>
            <w:r w:rsidRPr="00D10064">
              <w:rPr>
                <w:rFonts w:hint="cs"/>
                <w:rtl/>
              </w:rPr>
              <w:t xml:space="preserve"> או שעבירה המנויה בתופסת נעשתה בנוכחותו</w:t>
            </w:r>
            <w:r w:rsidRPr="00D10064">
              <w:rPr>
                <w:rtl/>
              </w:rPr>
              <w:t xml:space="preserve">, יסיים בית המשפט ככל האפשר את שמיעת עדותו ביום שבו החלה; לא הסתיימה שמיעת עדותו של הקטין באותו יום, ישמע בית המשפט ככל האפשר את עדותו ברציפות, יום אחר יום, ככל שהדבר עולה בקנה אחד עם טובת הקטין; </w:t>
            </w:r>
            <w:r w:rsidRPr="00D10064">
              <w:rPr>
                <w:rFonts w:hint="cs"/>
                <w:rtl/>
              </w:rPr>
              <w:t xml:space="preserve">לא עשה כן בית המשפט, ינמק את החלטתו לשמיעה לא רצופה של העדות. </w:t>
            </w:r>
          </w:p>
        </w:tc>
      </w:tr>
      <w:tr w:rsidR="00D10064" w:rsidRPr="00D10064" w14:paraId="39CCFC38" w14:textId="77777777" w:rsidTr="00D10064">
        <w:tblPrEx>
          <w:tblLook w:val="01E0" w:firstRow="1" w:lastRow="1" w:firstColumn="1" w:lastColumn="1" w:noHBand="0" w:noVBand="0"/>
        </w:tblPrEx>
        <w:trPr>
          <w:cantSplit/>
        </w:trPr>
        <w:tc>
          <w:tcPr>
            <w:tcW w:w="1869" w:type="dxa"/>
          </w:tcPr>
          <w:p w14:paraId="6887BCA3" w14:textId="77777777" w:rsidR="00D10064" w:rsidRPr="00120D64" w:rsidRDefault="00D10064" w:rsidP="00120D64">
            <w:pPr>
              <w:pStyle w:val="TableSideHeading"/>
              <w:ind w:right="0"/>
            </w:pPr>
          </w:p>
        </w:tc>
        <w:tc>
          <w:tcPr>
            <w:tcW w:w="624" w:type="dxa"/>
          </w:tcPr>
          <w:p w14:paraId="3A5CAE07" w14:textId="77777777" w:rsidR="00D10064" w:rsidRPr="00120D64" w:rsidRDefault="00D10064" w:rsidP="00120D64">
            <w:pPr>
              <w:pStyle w:val="TableText"/>
              <w:ind w:right="0"/>
              <w:jc w:val="both"/>
            </w:pPr>
          </w:p>
        </w:tc>
        <w:tc>
          <w:tcPr>
            <w:tcW w:w="624" w:type="dxa"/>
          </w:tcPr>
          <w:p w14:paraId="108D2334" w14:textId="77777777" w:rsidR="00D10064" w:rsidRPr="00120D64" w:rsidRDefault="00D10064" w:rsidP="00120D64">
            <w:pPr>
              <w:pStyle w:val="TableText"/>
              <w:ind w:right="0"/>
              <w:jc w:val="both"/>
            </w:pPr>
          </w:p>
        </w:tc>
        <w:tc>
          <w:tcPr>
            <w:tcW w:w="624" w:type="dxa"/>
          </w:tcPr>
          <w:p w14:paraId="118C4182" w14:textId="77777777" w:rsidR="00D10064" w:rsidRPr="00120D64" w:rsidRDefault="00D10064" w:rsidP="00120D64">
            <w:pPr>
              <w:pStyle w:val="TableText"/>
              <w:ind w:right="0"/>
              <w:jc w:val="both"/>
            </w:pPr>
          </w:p>
        </w:tc>
        <w:tc>
          <w:tcPr>
            <w:tcW w:w="624" w:type="dxa"/>
          </w:tcPr>
          <w:p w14:paraId="4CB9D3DE" w14:textId="77777777" w:rsidR="00D10064" w:rsidRPr="00120D64" w:rsidRDefault="00D10064" w:rsidP="00120D64">
            <w:pPr>
              <w:pStyle w:val="TableText"/>
              <w:ind w:right="0"/>
              <w:jc w:val="both"/>
            </w:pPr>
          </w:p>
        </w:tc>
        <w:tc>
          <w:tcPr>
            <w:tcW w:w="624" w:type="dxa"/>
          </w:tcPr>
          <w:p w14:paraId="1001DBF8" w14:textId="77777777" w:rsidR="00D10064" w:rsidRPr="00120D64" w:rsidRDefault="00D10064" w:rsidP="00120D64">
            <w:pPr>
              <w:pStyle w:val="TableText"/>
              <w:ind w:right="0"/>
              <w:jc w:val="both"/>
            </w:pPr>
          </w:p>
        </w:tc>
        <w:tc>
          <w:tcPr>
            <w:tcW w:w="4647" w:type="dxa"/>
            <w:gridSpan w:val="2"/>
          </w:tcPr>
          <w:p w14:paraId="32607749" w14:textId="77777777" w:rsidR="00D10064" w:rsidRPr="00D10064" w:rsidRDefault="00D10064" w:rsidP="00120D64">
            <w:pPr>
              <w:pStyle w:val="TableBlock"/>
            </w:pPr>
            <w:r w:rsidRPr="00D10064">
              <w:rPr>
                <w:rFonts w:hint="cs"/>
                <w:rtl/>
              </w:rPr>
              <w:t>(ב)</w:t>
            </w:r>
            <w:r w:rsidRPr="00D10064">
              <w:rPr>
                <w:rtl/>
              </w:rPr>
              <w:tab/>
              <w:t>בית המשפט, ביוזמתו או לבקשת הקטין או הורהו של הקטין, רשאי להפסיק או לדחות את שמיעת העדות, אם סבר שמתן העדות ברציפות מקשה על הקטין.</w:t>
            </w:r>
          </w:p>
        </w:tc>
      </w:tr>
      <w:tr w:rsidR="00D10064" w:rsidRPr="00D10064" w14:paraId="293A1FD2" w14:textId="77777777" w:rsidTr="00D10064">
        <w:trPr>
          <w:cantSplit/>
        </w:trPr>
        <w:tc>
          <w:tcPr>
            <w:tcW w:w="1869" w:type="dxa"/>
            <w:shd w:val="clear" w:color="auto" w:fill="auto"/>
            <w:tcMar>
              <w:top w:w="91" w:type="dxa"/>
              <w:left w:w="0" w:type="dxa"/>
              <w:bottom w:w="91" w:type="dxa"/>
              <w:right w:w="0" w:type="dxa"/>
            </w:tcMar>
          </w:tcPr>
          <w:p w14:paraId="07F4BBE0" w14:textId="77777777" w:rsidR="00D10064" w:rsidRPr="00120D64" w:rsidRDefault="00D10064" w:rsidP="00120D64">
            <w:pPr>
              <w:pStyle w:val="TableSideHeading"/>
              <w:ind w:right="0"/>
              <w:rPr>
                <w:rtl/>
              </w:rPr>
            </w:pPr>
          </w:p>
          <w:p w14:paraId="52D83772" w14:textId="77777777" w:rsidR="00D10064" w:rsidRPr="00120D64" w:rsidRDefault="00D10064" w:rsidP="00120D64">
            <w:pPr>
              <w:pStyle w:val="TableSideHeading"/>
              <w:rPr>
                <w:rtl/>
              </w:rPr>
            </w:pPr>
          </w:p>
        </w:tc>
        <w:tc>
          <w:tcPr>
            <w:tcW w:w="624" w:type="dxa"/>
            <w:shd w:val="clear" w:color="auto" w:fill="auto"/>
            <w:tcMar>
              <w:top w:w="91" w:type="dxa"/>
              <w:left w:w="0" w:type="dxa"/>
              <w:bottom w:w="91" w:type="dxa"/>
              <w:right w:w="0" w:type="dxa"/>
            </w:tcMar>
          </w:tcPr>
          <w:p w14:paraId="4BD3FDA9" w14:textId="77777777" w:rsidR="00D10064" w:rsidRPr="00120D64" w:rsidRDefault="00D10064" w:rsidP="00120D64">
            <w:pPr>
              <w:pStyle w:val="TableText"/>
              <w:ind w:right="0"/>
              <w:jc w:val="both"/>
              <w:rPr>
                <w:rtl/>
              </w:rPr>
            </w:pPr>
          </w:p>
        </w:tc>
        <w:tc>
          <w:tcPr>
            <w:tcW w:w="1872" w:type="dxa"/>
            <w:gridSpan w:val="3"/>
            <w:shd w:val="clear" w:color="auto" w:fill="auto"/>
            <w:tcMar>
              <w:top w:w="91" w:type="dxa"/>
              <w:left w:w="0" w:type="dxa"/>
              <w:bottom w:w="91" w:type="dxa"/>
              <w:right w:w="0" w:type="dxa"/>
            </w:tcMar>
          </w:tcPr>
          <w:p w14:paraId="1EB70FCB" w14:textId="77777777" w:rsidR="00D10064" w:rsidRPr="00D10064" w:rsidRDefault="00D10064" w:rsidP="00D10064">
            <w:pPr>
              <w:pStyle w:val="TableInnerSideHeading"/>
              <w:ind w:right="0"/>
              <w:rPr>
                <w:rtl/>
              </w:rPr>
            </w:pPr>
            <w:r w:rsidRPr="00D10064">
              <w:rPr>
                <w:rtl/>
              </w:rPr>
              <w:t>חדר מותאם לצורכיהם של קטינים המשמש להמתנתם למתן עדות בפני בית המשפט</w:t>
            </w:r>
          </w:p>
        </w:tc>
        <w:tc>
          <w:tcPr>
            <w:tcW w:w="624" w:type="dxa"/>
            <w:shd w:val="clear" w:color="auto" w:fill="auto"/>
            <w:tcMar>
              <w:top w:w="91" w:type="dxa"/>
              <w:left w:w="0" w:type="dxa"/>
              <w:bottom w:w="91" w:type="dxa"/>
              <w:right w:w="0" w:type="dxa"/>
            </w:tcMar>
          </w:tcPr>
          <w:p w14:paraId="6FE59897" w14:textId="77777777" w:rsidR="00D10064" w:rsidRPr="00D10064" w:rsidRDefault="00D10064" w:rsidP="00D10064">
            <w:pPr>
              <w:pStyle w:val="TableText"/>
              <w:ind w:right="0"/>
              <w:jc w:val="both"/>
              <w:rPr>
                <w:rtl/>
              </w:rPr>
            </w:pPr>
            <w:r w:rsidRPr="00D10064">
              <w:rPr>
                <w:rtl/>
              </w:rPr>
              <w:t xml:space="preserve">2ו. </w:t>
            </w:r>
          </w:p>
        </w:tc>
        <w:tc>
          <w:tcPr>
            <w:tcW w:w="4647" w:type="dxa"/>
            <w:gridSpan w:val="2"/>
            <w:shd w:val="clear" w:color="auto" w:fill="auto"/>
            <w:tcMar>
              <w:top w:w="91" w:type="dxa"/>
              <w:left w:w="0" w:type="dxa"/>
              <w:bottom w:w="91" w:type="dxa"/>
              <w:right w:w="0" w:type="dxa"/>
            </w:tcMar>
          </w:tcPr>
          <w:p w14:paraId="561BBB63" w14:textId="77777777" w:rsidR="00D10064" w:rsidRPr="00120D64" w:rsidRDefault="00D10064" w:rsidP="00120D64">
            <w:pPr>
              <w:pStyle w:val="TableBlock"/>
              <w:rPr>
                <w:rtl/>
              </w:rPr>
            </w:pPr>
            <w:r w:rsidRPr="00120D64">
              <w:rPr>
                <w:rtl/>
              </w:rPr>
              <w:t xml:space="preserve">בלי לגרוע מההוראות לפי חוק זכויות נפגעי עבירה, </w:t>
            </w:r>
            <w:proofErr w:type="spellStart"/>
            <w:r w:rsidRPr="00120D64">
              <w:rPr>
                <w:rtl/>
              </w:rPr>
              <w:t>התשס"א</w:t>
            </w:r>
            <w:proofErr w:type="spellEnd"/>
            <w:r w:rsidRPr="00120D64">
              <w:rPr>
                <w:rtl/>
              </w:rPr>
              <w:t>–2001‏‏</w:t>
            </w:r>
            <w:r w:rsidRPr="00804988">
              <w:rPr>
                <w:vertAlign w:val="superscript"/>
                <w:rtl/>
              </w:rPr>
              <w:footnoteReference w:id="6"/>
            </w:r>
            <w:r w:rsidRPr="00120D64">
              <w:rPr>
                <w:rtl/>
              </w:rPr>
              <w:t xml:space="preserve">, </w:t>
            </w:r>
            <w:r w:rsidRPr="00120D64">
              <w:rPr>
                <w:rFonts w:hint="cs"/>
                <w:rtl/>
              </w:rPr>
              <w:t xml:space="preserve">בכל בית משפט יקצה המזכיר הראשי של בית המשפט, לאחר תיאום עמו מראש, חדר או מקום שישמש להמתנת קטינים נפגעי עבירה למתן עדות בפני בית המשפט ביום הדיון; </w:t>
            </w:r>
            <w:r w:rsidRPr="00120D64">
              <w:rPr>
                <w:rtl/>
              </w:rPr>
              <w:t>בבית משפט שנבנה לאחר</w:t>
            </w:r>
            <w:r w:rsidRPr="00120D64">
              <w:rPr>
                <w:rFonts w:hint="cs"/>
              </w:rPr>
              <w:t xml:space="preserve"> </w:t>
            </w:r>
            <w:r w:rsidRPr="00120D64">
              <w:rPr>
                <w:rFonts w:hint="cs"/>
                <w:rtl/>
              </w:rPr>
              <w:t xml:space="preserve"> ח' באב </w:t>
            </w:r>
            <w:proofErr w:type="spellStart"/>
            <w:r w:rsidRPr="00120D64">
              <w:rPr>
                <w:rFonts w:hint="cs"/>
                <w:rtl/>
              </w:rPr>
              <w:t>התשע"ז</w:t>
            </w:r>
            <w:proofErr w:type="spellEnd"/>
            <w:r w:rsidRPr="00120D64">
              <w:rPr>
                <w:rFonts w:hint="cs"/>
                <w:rtl/>
              </w:rPr>
              <w:t xml:space="preserve"> (31 ביולי 2017),</w:t>
            </w:r>
            <w:r w:rsidRPr="00120D64">
              <w:rPr>
                <w:rtl/>
              </w:rPr>
              <w:t xml:space="preserve"> יוקצה לקטינים חדר נפרד, המותאם לצורכיהם, שישמש להמתנתם למתן עדות בפני בית המשפט."</w:t>
            </w:r>
          </w:p>
          <w:p w14:paraId="00F0996A" w14:textId="77777777" w:rsidR="00D10064" w:rsidRPr="00120D64" w:rsidRDefault="00D10064" w:rsidP="00120D64">
            <w:pPr>
              <w:pStyle w:val="TableBlock"/>
              <w:rPr>
                <w:rtl/>
              </w:rPr>
            </w:pPr>
          </w:p>
        </w:tc>
      </w:tr>
      <w:tr w:rsidR="00D10064" w:rsidRPr="00D10064" w14:paraId="52AE8129" w14:textId="77777777" w:rsidTr="00D10064">
        <w:trPr>
          <w:cantSplit/>
        </w:trPr>
        <w:tc>
          <w:tcPr>
            <w:tcW w:w="1869" w:type="dxa"/>
            <w:shd w:val="clear" w:color="auto" w:fill="auto"/>
            <w:tcMar>
              <w:top w:w="91" w:type="dxa"/>
              <w:left w:w="0" w:type="dxa"/>
              <w:bottom w:w="91" w:type="dxa"/>
              <w:right w:w="0" w:type="dxa"/>
            </w:tcMar>
          </w:tcPr>
          <w:p w14:paraId="3362F3D1" w14:textId="77777777" w:rsidR="00D10064" w:rsidRDefault="00D10064" w:rsidP="00120D64">
            <w:pPr>
              <w:pStyle w:val="TableSideHeading"/>
              <w:ind w:right="0"/>
              <w:rPr>
                <w:rtl/>
              </w:rPr>
            </w:pPr>
            <w:r w:rsidRPr="00D10064">
              <w:rPr>
                <w:rFonts w:hint="cs"/>
                <w:rtl/>
              </w:rPr>
              <w:t xml:space="preserve">תיקון </w:t>
            </w:r>
            <w:r w:rsidRPr="00120D64">
              <w:rPr>
                <w:rFonts w:hint="cs"/>
                <w:rtl/>
              </w:rPr>
              <w:t>חוק</w:t>
            </w:r>
            <w:r w:rsidRPr="00D10064">
              <w:rPr>
                <w:rFonts w:hint="cs"/>
                <w:rtl/>
              </w:rPr>
              <w:t xml:space="preserve"> הליכי חקירה והעדה (</w:t>
            </w:r>
            <w:r w:rsidRPr="00120D64">
              <w:rPr>
                <w:rFonts w:hint="cs"/>
                <w:rtl/>
              </w:rPr>
              <w:t>התאמה</w:t>
            </w:r>
            <w:r w:rsidRPr="00D10064">
              <w:rPr>
                <w:rFonts w:hint="cs"/>
                <w:rtl/>
              </w:rPr>
              <w:t xml:space="preserve"> לאנשים עם מוגבלות שכלית או נפשית)</w:t>
            </w:r>
          </w:p>
          <w:p w14:paraId="35E38A7E" w14:textId="7630735C" w:rsidR="001113B8" w:rsidRPr="00D10064" w:rsidRDefault="001113B8" w:rsidP="00120D64">
            <w:pPr>
              <w:pStyle w:val="TableSideHeading"/>
              <w:ind w:right="0"/>
              <w:rPr>
                <w:rtl/>
              </w:rPr>
            </w:pPr>
            <w:r>
              <w:rPr>
                <w:rFonts w:hint="cs"/>
                <w:rtl/>
              </w:rPr>
              <w:t>[מס' 3]</w:t>
            </w:r>
          </w:p>
        </w:tc>
        <w:tc>
          <w:tcPr>
            <w:tcW w:w="624" w:type="dxa"/>
            <w:shd w:val="clear" w:color="auto" w:fill="auto"/>
            <w:tcMar>
              <w:top w:w="91" w:type="dxa"/>
              <w:left w:w="0" w:type="dxa"/>
              <w:bottom w:w="91" w:type="dxa"/>
              <w:right w:w="0" w:type="dxa"/>
            </w:tcMar>
          </w:tcPr>
          <w:p w14:paraId="7544C286" w14:textId="77777777" w:rsidR="00D10064" w:rsidRPr="00D10064" w:rsidRDefault="00D10064" w:rsidP="00120D64">
            <w:pPr>
              <w:pStyle w:val="TableText"/>
              <w:ind w:right="0"/>
              <w:jc w:val="both"/>
              <w:rPr>
                <w:rtl/>
              </w:rPr>
            </w:pPr>
            <w:r w:rsidRPr="00D10064">
              <w:rPr>
                <w:rFonts w:hint="cs"/>
                <w:rtl/>
              </w:rPr>
              <w:t xml:space="preserve">8. </w:t>
            </w:r>
          </w:p>
        </w:tc>
        <w:tc>
          <w:tcPr>
            <w:tcW w:w="7143" w:type="dxa"/>
            <w:gridSpan w:val="6"/>
            <w:shd w:val="clear" w:color="auto" w:fill="auto"/>
            <w:tcMar>
              <w:top w:w="91" w:type="dxa"/>
              <w:left w:w="0" w:type="dxa"/>
              <w:bottom w:w="91" w:type="dxa"/>
              <w:right w:w="0" w:type="dxa"/>
            </w:tcMar>
          </w:tcPr>
          <w:p w14:paraId="69E7806B" w14:textId="77777777" w:rsidR="00D10064" w:rsidRPr="00120D64" w:rsidRDefault="00D10064" w:rsidP="00120D64">
            <w:pPr>
              <w:pStyle w:val="TableBlock"/>
              <w:rPr>
                <w:rtl/>
              </w:rPr>
            </w:pPr>
            <w:r w:rsidRPr="00120D64">
              <w:rPr>
                <w:rFonts w:hint="cs"/>
                <w:rtl/>
              </w:rPr>
              <w:t xml:space="preserve">בחוק הליכי חקירה והעדה (התאמה לאנשים עם מוגבלות שכלית או נפשית), </w:t>
            </w:r>
            <w:proofErr w:type="spellStart"/>
            <w:r w:rsidRPr="00120D64">
              <w:rPr>
                <w:rFonts w:hint="cs"/>
                <w:rtl/>
              </w:rPr>
              <w:t>התשס"ו</w:t>
            </w:r>
            <w:proofErr w:type="spellEnd"/>
            <w:r w:rsidRPr="00120D64">
              <w:rPr>
                <w:rFonts w:hint="eastAsia"/>
                <w:rtl/>
              </w:rPr>
              <w:t>–</w:t>
            </w:r>
            <w:r w:rsidRPr="00120D64">
              <w:rPr>
                <w:rFonts w:hint="cs"/>
                <w:rtl/>
              </w:rPr>
              <w:t>2005</w:t>
            </w:r>
            <w:bookmarkStart w:id="6" w:name="_GoBack"/>
            <w:r w:rsidRPr="00804988">
              <w:rPr>
                <w:vertAlign w:val="superscript"/>
                <w:rtl/>
              </w:rPr>
              <w:footnoteReference w:id="7"/>
            </w:r>
            <w:bookmarkEnd w:id="6"/>
            <w:r w:rsidRPr="00120D64">
              <w:rPr>
                <w:rFonts w:hint="cs"/>
                <w:rtl/>
              </w:rPr>
              <w:t>, בסעיף 24(ב), אחרי פסקה (6) יבוא:</w:t>
            </w:r>
          </w:p>
          <w:p w14:paraId="71367EE1" w14:textId="77777777" w:rsidR="00D10064" w:rsidRPr="00120D64" w:rsidRDefault="00D10064" w:rsidP="00120D64">
            <w:pPr>
              <w:pStyle w:val="TableBlock"/>
              <w:rPr>
                <w:rtl/>
              </w:rPr>
            </w:pPr>
          </w:p>
        </w:tc>
      </w:tr>
      <w:tr w:rsidR="00D10064" w:rsidRPr="00D10064" w14:paraId="47B1E4B9" w14:textId="77777777" w:rsidTr="00D10064">
        <w:trPr>
          <w:cantSplit/>
        </w:trPr>
        <w:tc>
          <w:tcPr>
            <w:tcW w:w="1869" w:type="dxa"/>
            <w:shd w:val="clear" w:color="auto" w:fill="auto"/>
            <w:tcMar>
              <w:top w:w="91" w:type="dxa"/>
              <w:left w:w="0" w:type="dxa"/>
              <w:bottom w:w="91" w:type="dxa"/>
              <w:right w:w="0" w:type="dxa"/>
            </w:tcMar>
          </w:tcPr>
          <w:p w14:paraId="0B9DF2D1" w14:textId="77777777" w:rsidR="00D10064" w:rsidRPr="00120D64" w:rsidRDefault="00D10064" w:rsidP="00120D64">
            <w:pPr>
              <w:pStyle w:val="TableSideHeading"/>
              <w:ind w:right="0"/>
              <w:rPr>
                <w:rtl/>
              </w:rPr>
            </w:pPr>
          </w:p>
        </w:tc>
        <w:tc>
          <w:tcPr>
            <w:tcW w:w="624" w:type="dxa"/>
            <w:shd w:val="clear" w:color="auto" w:fill="auto"/>
            <w:tcMar>
              <w:top w:w="91" w:type="dxa"/>
              <w:left w:w="0" w:type="dxa"/>
              <w:bottom w:w="91" w:type="dxa"/>
              <w:right w:w="0" w:type="dxa"/>
            </w:tcMar>
          </w:tcPr>
          <w:p w14:paraId="4578E523" w14:textId="77777777" w:rsidR="00D10064" w:rsidRPr="00120D64" w:rsidRDefault="00D10064" w:rsidP="00120D64">
            <w:pPr>
              <w:pStyle w:val="TableText"/>
              <w:ind w:right="0"/>
              <w:jc w:val="both"/>
              <w:rPr>
                <w:rtl/>
              </w:rPr>
            </w:pPr>
          </w:p>
        </w:tc>
        <w:tc>
          <w:tcPr>
            <w:tcW w:w="7143" w:type="dxa"/>
            <w:gridSpan w:val="6"/>
            <w:shd w:val="clear" w:color="auto" w:fill="auto"/>
            <w:tcMar>
              <w:top w:w="91" w:type="dxa"/>
              <w:left w:w="0" w:type="dxa"/>
              <w:bottom w:w="91" w:type="dxa"/>
              <w:right w:w="0" w:type="dxa"/>
            </w:tcMar>
          </w:tcPr>
          <w:p w14:paraId="49FB45CF" w14:textId="77777777" w:rsidR="00D10064" w:rsidRPr="00D10064" w:rsidRDefault="00D10064" w:rsidP="00120D64">
            <w:pPr>
              <w:pStyle w:val="TableBlock"/>
              <w:rPr>
                <w:rtl/>
              </w:rPr>
            </w:pPr>
            <w:r w:rsidRPr="00D10064">
              <w:rPr>
                <w:rFonts w:hint="cs"/>
                <w:rtl/>
              </w:rPr>
              <w:t>"(7)</w:t>
            </w:r>
            <w:r w:rsidRPr="00D10064">
              <w:rPr>
                <w:rtl/>
              </w:rPr>
              <w:tab/>
              <w:t xml:space="preserve">מי שחוקר </w:t>
            </w:r>
            <w:r w:rsidRPr="00D10064">
              <w:rPr>
                <w:rFonts w:hint="cs"/>
                <w:rtl/>
              </w:rPr>
              <w:t>מיוחד</w:t>
            </w:r>
            <w:r w:rsidRPr="00D10064">
              <w:rPr>
                <w:rtl/>
              </w:rPr>
              <w:t xml:space="preserve"> העביר אליו את קלטת החקירה, ובכלל זה את העתקה, לשם תמלול, או מי שחוקר </w:t>
            </w:r>
            <w:r w:rsidRPr="00D10064">
              <w:rPr>
                <w:rFonts w:hint="cs"/>
                <w:rtl/>
              </w:rPr>
              <w:t>מיוחד</w:t>
            </w:r>
            <w:r w:rsidRPr="00D10064">
              <w:rPr>
                <w:rtl/>
              </w:rPr>
              <w:t xml:space="preserve">, באישור מנהל השירות לחקירות ילדים וחקירות מיוחדות </w:t>
            </w:r>
            <w:r w:rsidRPr="00120D64">
              <w:rPr>
                <w:rtl/>
              </w:rPr>
              <w:t>במשרד</w:t>
            </w:r>
            <w:r w:rsidRPr="00D10064">
              <w:rPr>
                <w:rtl/>
              </w:rPr>
              <w:t xml:space="preserve"> העבודה, הרווחה והשירותים החברתיים, העביר אליו את קלטת החקירה כאמור, או את התמליל, </w:t>
            </w:r>
            <w:r w:rsidRPr="00D10064">
              <w:rPr>
                <w:rFonts w:hint="cs"/>
                <w:rtl/>
              </w:rPr>
              <w:t xml:space="preserve">לשם </w:t>
            </w:r>
            <w:r w:rsidRPr="00D10064">
              <w:rPr>
                <w:rtl/>
              </w:rPr>
              <w:t>מחקר שמטרתו הכשרת חוקרי</w:t>
            </w:r>
            <w:r w:rsidRPr="00D10064">
              <w:rPr>
                <w:rFonts w:hint="cs"/>
                <w:rtl/>
              </w:rPr>
              <w:t>ם מיוחדים</w:t>
            </w:r>
            <w:r w:rsidRPr="00D10064">
              <w:rPr>
                <w:rtl/>
              </w:rPr>
              <w:t xml:space="preserve"> או פיתוח </w:t>
            </w:r>
            <w:r w:rsidRPr="00D10064">
              <w:rPr>
                <w:rFonts w:hint="cs"/>
                <w:rtl/>
              </w:rPr>
              <w:t xml:space="preserve">מקצועי לסיוע בעבודת </w:t>
            </w:r>
            <w:r w:rsidRPr="00D10064">
              <w:rPr>
                <w:rtl/>
              </w:rPr>
              <w:t>חוקרי</w:t>
            </w:r>
            <w:r w:rsidRPr="00D10064">
              <w:rPr>
                <w:rFonts w:hint="cs"/>
                <w:rtl/>
              </w:rPr>
              <w:t>ם</w:t>
            </w:r>
            <w:r w:rsidRPr="00D10064">
              <w:rPr>
                <w:rtl/>
              </w:rPr>
              <w:t xml:space="preserve"> </w:t>
            </w:r>
            <w:r w:rsidRPr="00D10064">
              <w:rPr>
                <w:rFonts w:hint="cs"/>
                <w:rtl/>
              </w:rPr>
              <w:t>מיוחדים והכשרתם</w:t>
            </w:r>
            <w:r w:rsidRPr="00D10064">
              <w:rPr>
                <w:rtl/>
              </w:rPr>
              <w:t>, והכול ובלבד שלא יועברו פרטים מעבר לאלו ה</w:t>
            </w:r>
            <w:r w:rsidRPr="00D10064">
              <w:rPr>
                <w:rFonts w:hint="cs"/>
                <w:rtl/>
              </w:rPr>
              <w:t>נכללים</w:t>
            </w:r>
            <w:r w:rsidRPr="00D10064">
              <w:rPr>
                <w:rtl/>
              </w:rPr>
              <w:t xml:space="preserve"> בקלטת או בתמליל."</w:t>
            </w:r>
          </w:p>
        </w:tc>
      </w:tr>
      <w:tr w:rsidR="00D10064" w:rsidRPr="00D10064" w14:paraId="4D8E4425" w14:textId="77777777" w:rsidTr="00D10064">
        <w:trPr>
          <w:cantSplit/>
        </w:trPr>
        <w:tc>
          <w:tcPr>
            <w:tcW w:w="1869" w:type="dxa"/>
            <w:shd w:val="clear" w:color="auto" w:fill="auto"/>
            <w:tcMar>
              <w:top w:w="91" w:type="dxa"/>
              <w:left w:w="0" w:type="dxa"/>
              <w:bottom w:w="91" w:type="dxa"/>
              <w:right w:w="0" w:type="dxa"/>
            </w:tcMar>
          </w:tcPr>
          <w:p w14:paraId="0EA074D6" w14:textId="77777777" w:rsidR="00D10064" w:rsidRPr="00D10064" w:rsidRDefault="00D10064" w:rsidP="00120D64">
            <w:pPr>
              <w:pStyle w:val="TableSideHeading"/>
              <w:ind w:right="0"/>
              <w:rPr>
                <w:rtl/>
              </w:rPr>
            </w:pPr>
            <w:r w:rsidRPr="00D10064">
              <w:rPr>
                <w:rtl/>
              </w:rPr>
              <w:t>הוראת מעבר</w:t>
            </w:r>
          </w:p>
        </w:tc>
        <w:tc>
          <w:tcPr>
            <w:tcW w:w="624" w:type="dxa"/>
            <w:shd w:val="clear" w:color="auto" w:fill="auto"/>
            <w:tcMar>
              <w:top w:w="91" w:type="dxa"/>
              <w:left w:w="0" w:type="dxa"/>
              <w:bottom w:w="91" w:type="dxa"/>
              <w:right w:w="0" w:type="dxa"/>
            </w:tcMar>
          </w:tcPr>
          <w:p w14:paraId="3CAEF13C" w14:textId="1E563D99" w:rsidR="00D10064" w:rsidRPr="00D10064" w:rsidRDefault="00D10064" w:rsidP="00120D64">
            <w:pPr>
              <w:pStyle w:val="TableText"/>
              <w:ind w:right="0"/>
              <w:jc w:val="both"/>
              <w:rPr>
                <w:rtl/>
              </w:rPr>
            </w:pPr>
            <w:r>
              <w:rPr>
                <w:rFonts w:hint="cs"/>
                <w:rtl/>
              </w:rPr>
              <w:t>9</w:t>
            </w:r>
            <w:r w:rsidRPr="00D10064">
              <w:rPr>
                <w:rtl/>
              </w:rPr>
              <w:t>.</w:t>
            </w:r>
          </w:p>
        </w:tc>
        <w:tc>
          <w:tcPr>
            <w:tcW w:w="7143" w:type="dxa"/>
            <w:gridSpan w:val="6"/>
            <w:shd w:val="clear" w:color="auto" w:fill="auto"/>
            <w:tcMar>
              <w:top w:w="91" w:type="dxa"/>
              <w:left w:w="0" w:type="dxa"/>
              <w:bottom w:w="91" w:type="dxa"/>
              <w:right w:w="0" w:type="dxa"/>
            </w:tcMar>
          </w:tcPr>
          <w:p w14:paraId="1E696D2E" w14:textId="77777777" w:rsidR="00D10064" w:rsidRPr="00D10064" w:rsidRDefault="00D10064" w:rsidP="00120D64">
            <w:pPr>
              <w:pStyle w:val="TableBlock"/>
              <w:rPr>
                <w:rtl/>
              </w:rPr>
            </w:pPr>
            <w:r w:rsidRPr="00D10064">
              <w:rPr>
                <w:rtl/>
              </w:rPr>
              <w:t xml:space="preserve">חוקר ילדים שמונה </w:t>
            </w:r>
            <w:r w:rsidRPr="00120D64">
              <w:rPr>
                <w:rtl/>
              </w:rPr>
              <w:t>לפי</w:t>
            </w:r>
            <w:r w:rsidRPr="00D10064">
              <w:rPr>
                <w:rtl/>
              </w:rPr>
              <w:t xml:space="preserve"> הוראות סעיף 3 לחוק העיקרי, כנוסחו ערב פרסומו של חוק זה, יראו אותו כאילו מונה לפי הוראות סעיף 3 לחוק העיקרי, כנוסחו בסעיף 3 לחוק זה.</w:t>
            </w:r>
          </w:p>
        </w:tc>
      </w:tr>
    </w:tbl>
    <w:p w14:paraId="11F1CEAE" w14:textId="77777777" w:rsidR="008525E2" w:rsidRPr="00D10064" w:rsidRDefault="008525E2" w:rsidP="008525E2">
      <w:pPr>
        <w:pStyle w:val="Noparagraphstyle"/>
        <w:rPr>
          <w:sz w:val="26"/>
          <w:rtl/>
        </w:rPr>
      </w:pPr>
    </w:p>
    <w:p w14:paraId="11F1CEAF" w14:textId="77777777" w:rsidR="008525E2" w:rsidRPr="00E125CC" w:rsidRDefault="008525E2" w:rsidP="008525E2">
      <w:pPr>
        <w:pStyle w:val="Noparagraphstyle"/>
        <w:rPr>
          <w:sz w:val="26"/>
          <w:rtl/>
        </w:rPr>
      </w:pPr>
    </w:p>
    <w:p w14:paraId="11F1CEB1" w14:textId="77777777" w:rsidR="008525E2" w:rsidRPr="00E125CC" w:rsidRDefault="008525E2" w:rsidP="008525E2">
      <w:pPr>
        <w:pStyle w:val="Noparagraphstyle"/>
        <w:rPr>
          <w:sz w:val="26"/>
          <w:rtl/>
        </w:rPr>
      </w:pPr>
    </w:p>
    <w:p w14:paraId="11F1CEB2" w14:textId="77777777" w:rsidR="008525E2" w:rsidRPr="00E125CC" w:rsidRDefault="008525E2" w:rsidP="008525E2">
      <w:pPr>
        <w:pStyle w:val="Noparagraphstyle"/>
        <w:rPr>
          <w:sz w:val="26"/>
          <w:rtl/>
        </w:rPr>
      </w:pPr>
    </w:p>
    <w:tbl>
      <w:tblPr>
        <w:bidiVisual/>
        <w:tblW w:w="9639" w:type="dxa"/>
        <w:tblLook w:val="00A0" w:firstRow="1" w:lastRow="0" w:firstColumn="1" w:lastColumn="0" w:noHBand="0" w:noVBand="0"/>
      </w:tblPr>
      <w:tblGrid>
        <w:gridCol w:w="2409"/>
        <w:gridCol w:w="2410"/>
        <w:gridCol w:w="2410"/>
        <w:gridCol w:w="2410"/>
      </w:tblGrid>
      <w:tr w:rsidR="008525E2" w:rsidRPr="00D466D4" w14:paraId="11F1CEB9" w14:textId="77777777" w:rsidTr="006F3CC7">
        <w:tc>
          <w:tcPr>
            <w:tcW w:w="2410" w:type="dxa"/>
            <w:shd w:val="clear" w:color="auto" w:fill="auto"/>
          </w:tcPr>
          <w:p w14:paraId="11F1CEB3"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4" w14:textId="77777777" w:rsidR="008525E2" w:rsidRPr="00D466D4" w:rsidRDefault="00220CAF" w:rsidP="006F3CC7">
            <w:pPr>
              <w:spacing w:before="0" w:line="360" w:lineRule="auto"/>
              <w:ind w:firstLine="0"/>
              <w:jc w:val="center"/>
              <w:rPr>
                <w:rFonts w:cs="David"/>
                <w:sz w:val="26"/>
                <w:szCs w:val="26"/>
                <w:rtl/>
              </w:rPr>
            </w:pPr>
            <w:bookmarkStart w:id="7" w:name="PrimeMinistryName"/>
            <w:r>
              <w:rPr>
                <w:rFonts w:cs="David" w:hint="cs"/>
                <w:sz w:val="26"/>
                <w:szCs w:val="26"/>
                <w:rtl/>
              </w:rPr>
              <w:t>בנימין נתניהו</w:t>
            </w:r>
            <w:bookmarkEnd w:id="7"/>
          </w:p>
          <w:p w14:paraId="11F1CEB5"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ראש הממשלה</w:t>
            </w:r>
          </w:p>
        </w:tc>
        <w:tc>
          <w:tcPr>
            <w:tcW w:w="2410" w:type="dxa"/>
            <w:shd w:val="clear" w:color="auto" w:fill="auto"/>
          </w:tcPr>
          <w:p w14:paraId="11F1CEB6"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7" w14:textId="7F987373" w:rsidR="008525E2" w:rsidRPr="00D466D4" w:rsidRDefault="00741BCE" w:rsidP="006F3CC7">
            <w:pPr>
              <w:spacing w:before="0" w:line="360" w:lineRule="auto"/>
              <w:ind w:firstLine="0"/>
              <w:jc w:val="center"/>
              <w:rPr>
                <w:rFonts w:cs="David"/>
                <w:sz w:val="26"/>
                <w:szCs w:val="26"/>
                <w:rtl/>
              </w:rPr>
            </w:pPr>
            <w:r>
              <w:rPr>
                <w:rFonts w:cs="David" w:hint="cs"/>
                <w:sz w:val="26"/>
                <w:szCs w:val="26"/>
                <w:rtl/>
              </w:rPr>
              <w:t>איילת שקד</w:t>
            </w:r>
          </w:p>
          <w:p w14:paraId="11F1CEB8" w14:textId="1F678110" w:rsidR="008525E2" w:rsidRPr="00D466D4" w:rsidRDefault="008525E2" w:rsidP="00741BCE">
            <w:pPr>
              <w:spacing w:before="0" w:line="360" w:lineRule="auto"/>
              <w:ind w:firstLine="0"/>
              <w:jc w:val="center"/>
              <w:rPr>
                <w:rFonts w:cs="David"/>
                <w:sz w:val="26"/>
                <w:szCs w:val="26"/>
                <w:rtl/>
              </w:rPr>
            </w:pPr>
            <w:r w:rsidRPr="00D466D4">
              <w:rPr>
                <w:rFonts w:cs="David" w:hint="cs"/>
                <w:sz w:val="26"/>
                <w:szCs w:val="26"/>
                <w:rtl/>
              </w:rPr>
              <w:t>שר</w:t>
            </w:r>
            <w:r w:rsidR="00741BCE">
              <w:rPr>
                <w:rFonts w:cs="David" w:hint="cs"/>
                <w:sz w:val="26"/>
                <w:szCs w:val="26"/>
                <w:rtl/>
              </w:rPr>
              <w:t>ת</w:t>
            </w:r>
            <w:r w:rsidRPr="00D466D4">
              <w:rPr>
                <w:rFonts w:cs="David" w:hint="cs"/>
                <w:sz w:val="26"/>
                <w:szCs w:val="26"/>
                <w:rtl/>
              </w:rPr>
              <w:t xml:space="preserve"> ה</w:t>
            </w:r>
            <w:r w:rsidR="00741BCE">
              <w:rPr>
                <w:rFonts w:cs="David" w:hint="cs"/>
                <w:sz w:val="26"/>
                <w:szCs w:val="26"/>
                <w:rtl/>
              </w:rPr>
              <w:t>משפטים</w:t>
            </w:r>
          </w:p>
        </w:tc>
      </w:tr>
      <w:tr w:rsidR="008525E2" w:rsidRPr="00D466D4" w14:paraId="11F1CEC0" w14:textId="77777777" w:rsidTr="006F3CC7">
        <w:tc>
          <w:tcPr>
            <w:tcW w:w="2410" w:type="dxa"/>
            <w:shd w:val="clear" w:color="auto" w:fill="auto"/>
          </w:tcPr>
          <w:p w14:paraId="11F1CEBA" w14:textId="77777777" w:rsidR="008525E2" w:rsidRPr="00D466D4" w:rsidRDefault="008525E2" w:rsidP="006F3CC7">
            <w:pPr>
              <w:spacing w:before="0" w:line="360" w:lineRule="auto"/>
              <w:ind w:firstLine="0"/>
              <w:jc w:val="center"/>
              <w:rPr>
                <w:rFonts w:cs="David"/>
                <w:sz w:val="26"/>
                <w:szCs w:val="26"/>
                <w:rtl/>
              </w:rPr>
            </w:pPr>
          </w:p>
          <w:p w14:paraId="11F1CEBB"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C"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D"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E" w14:textId="77777777" w:rsidR="008525E2" w:rsidRPr="00D466D4" w:rsidRDefault="008525E2" w:rsidP="006F3CC7">
            <w:pPr>
              <w:spacing w:before="0" w:line="360" w:lineRule="auto"/>
              <w:ind w:firstLine="0"/>
              <w:jc w:val="center"/>
              <w:rPr>
                <w:rFonts w:cs="David"/>
                <w:sz w:val="26"/>
                <w:szCs w:val="26"/>
                <w:rtl/>
              </w:rPr>
            </w:pPr>
          </w:p>
          <w:p w14:paraId="11F1CEBF" w14:textId="77777777" w:rsidR="008525E2" w:rsidRPr="00D466D4" w:rsidRDefault="008525E2" w:rsidP="006F3CC7">
            <w:pPr>
              <w:spacing w:before="0" w:line="360" w:lineRule="auto"/>
              <w:ind w:firstLine="0"/>
              <w:jc w:val="center"/>
              <w:rPr>
                <w:rFonts w:cs="David"/>
                <w:sz w:val="26"/>
                <w:szCs w:val="26"/>
                <w:rtl/>
              </w:rPr>
            </w:pPr>
          </w:p>
        </w:tc>
      </w:tr>
      <w:tr w:rsidR="008525E2" w:rsidRPr="00D466D4" w14:paraId="11F1CEC7" w14:textId="77777777" w:rsidTr="006F3CC7">
        <w:tc>
          <w:tcPr>
            <w:tcW w:w="2410" w:type="dxa"/>
            <w:shd w:val="clear" w:color="auto" w:fill="auto"/>
          </w:tcPr>
          <w:p w14:paraId="11F1CEC1" w14:textId="77777777" w:rsidR="008525E2" w:rsidRPr="00D466D4" w:rsidRDefault="008525E2" w:rsidP="006F3CC7">
            <w:pPr>
              <w:spacing w:before="0" w:line="360" w:lineRule="auto"/>
              <w:ind w:firstLine="0"/>
              <w:jc w:val="center"/>
              <w:rPr>
                <w:rFonts w:cs="David"/>
                <w:sz w:val="26"/>
                <w:szCs w:val="26"/>
                <w:rtl/>
              </w:rPr>
            </w:pPr>
            <w:r w:rsidRPr="003710E7">
              <w:rPr>
                <w:rFonts w:cs="David" w:hint="cs"/>
                <w:sz w:val="26"/>
                <w:szCs w:val="26"/>
                <w:rtl/>
              </w:rPr>
              <w:t>ראובן ריבלין</w:t>
            </w:r>
          </w:p>
          <w:p w14:paraId="11F1CEC2"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נשיא המדינה</w:t>
            </w:r>
          </w:p>
        </w:tc>
        <w:tc>
          <w:tcPr>
            <w:tcW w:w="2410" w:type="dxa"/>
            <w:shd w:val="clear" w:color="auto" w:fill="auto"/>
          </w:tcPr>
          <w:p w14:paraId="11F1CEC3"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C4" w14:textId="77777777" w:rsidR="008525E2" w:rsidRPr="00D466D4" w:rsidRDefault="00220CAF" w:rsidP="006F3CC7">
            <w:pPr>
              <w:spacing w:before="0" w:line="360" w:lineRule="auto"/>
              <w:ind w:firstLine="0"/>
              <w:jc w:val="center"/>
              <w:rPr>
                <w:rFonts w:cs="David"/>
                <w:sz w:val="26"/>
                <w:szCs w:val="26"/>
                <w:rtl/>
              </w:rPr>
            </w:pPr>
            <w:bookmarkStart w:id="8" w:name="HeadKnessetName"/>
            <w:r>
              <w:rPr>
                <w:rFonts w:cs="David" w:hint="cs"/>
                <w:sz w:val="26"/>
                <w:szCs w:val="26"/>
                <w:rtl/>
              </w:rPr>
              <w:t>יולי יואל אדלשטיין</w:t>
            </w:r>
            <w:bookmarkEnd w:id="8"/>
          </w:p>
          <w:p w14:paraId="11F1CEC5"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יושב ראש הכנסת</w:t>
            </w:r>
          </w:p>
        </w:tc>
        <w:tc>
          <w:tcPr>
            <w:tcW w:w="2410" w:type="dxa"/>
            <w:shd w:val="clear" w:color="auto" w:fill="auto"/>
          </w:tcPr>
          <w:p w14:paraId="11F1CEC6" w14:textId="77777777" w:rsidR="008525E2" w:rsidRPr="00D466D4" w:rsidRDefault="008525E2" w:rsidP="006F3CC7">
            <w:pPr>
              <w:spacing w:before="0" w:line="360" w:lineRule="auto"/>
              <w:ind w:firstLine="0"/>
              <w:jc w:val="center"/>
              <w:rPr>
                <w:rFonts w:cs="David"/>
                <w:sz w:val="26"/>
                <w:szCs w:val="26"/>
                <w:rtl/>
              </w:rPr>
            </w:pPr>
          </w:p>
        </w:tc>
      </w:tr>
    </w:tbl>
    <w:p w14:paraId="11F1CEC8" w14:textId="77777777" w:rsidR="008525E2" w:rsidRDefault="008525E2" w:rsidP="008525E2">
      <w:pPr>
        <w:pStyle w:val="Hesber"/>
        <w:rPr>
          <w:rtl/>
        </w:rPr>
      </w:pPr>
    </w:p>
    <w:p w14:paraId="11F1CEC9" w14:textId="77777777" w:rsidR="008525E2" w:rsidRPr="00FD6E55" w:rsidRDefault="008525E2" w:rsidP="008525E2">
      <w:pPr>
        <w:rPr>
          <w:rtl/>
        </w:rPr>
      </w:pPr>
    </w:p>
    <w:p w14:paraId="11F1CECA" w14:textId="77777777" w:rsidR="002137F8" w:rsidRPr="008525E2" w:rsidRDefault="002137F8" w:rsidP="008525E2">
      <w:pPr>
        <w:rPr>
          <w:rtl/>
        </w:rPr>
      </w:pPr>
    </w:p>
    <w:sectPr w:rsidR="002137F8" w:rsidRPr="008525E2" w:rsidSect="004E77B7">
      <w:headerReference w:type="even" r:id="rId13"/>
      <w:headerReference w:type="default" r:id="rId14"/>
      <w:footerReference w:type="even" r:id="rId15"/>
      <w:pgSz w:w="11906" w:h="16838"/>
      <w:pgMar w:top="1440" w:right="1134" w:bottom="1440"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CECF" w14:textId="77777777" w:rsidR="00707F31" w:rsidRDefault="00707F31" w:rsidP="00B416AF">
      <w:pPr>
        <w:pStyle w:val="HeadHatzaotHok"/>
      </w:pPr>
      <w:r>
        <w:separator/>
      </w:r>
    </w:p>
  </w:endnote>
  <w:endnote w:type="continuationSeparator" w:id="0">
    <w:p w14:paraId="11F1CED0" w14:textId="77777777" w:rsidR="00707F31" w:rsidRDefault="00707F31"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roman"/>
    <w:notTrueType/>
    <w:pitch w:val="fixed"/>
    <w:sig w:usb0="00000001" w:usb1="08070000" w:usb2="00000010" w:usb3="00000000" w:csb0="0002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5" w14:textId="77777777" w:rsidR="002137F8" w:rsidRDefault="002137F8" w:rsidP="00B416AF">
    <w:pPr>
      <w:pStyle w:val="a7"/>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14:paraId="11F1CED6" w14:textId="77777777" w:rsidR="002137F8" w:rsidRDefault="002137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1CECD" w14:textId="77777777" w:rsidR="00707F31" w:rsidRDefault="00707F31" w:rsidP="00696C5E">
      <w:pPr>
        <w:pStyle w:val="HeadHatzaotHok"/>
        <w:spacing w:before="0"/>
        <w:jc w:val="left"/>
      </w:pPr>
      <w:r>
        <w:separator/>
      </w:r>
    </w:p>
  </w:footnote>
  <w:footnote w:type="continuationSeparator" w:id="0">
    <w:p w14:paraId="11F1CECE" w14:textId="77777777" w:rsidR="00707F31" w:rsidRPr="00696C5E" w:rsidRDefault="00707F31" w:rsidP="00696C5E">
      <w:pPr>
        <w:pStyle w:val="HeadHatzaotHok"/>
        <w:spacing w:before="0"/>
        <w:jc w:val="left"/>
      </w:pPr>
      <w:r>
        <w:separator/>
      </w:r>
    </w:p>
  </w:footnote>
  <w:footnote w:id="1">
    <w:p w14:paraId="11F1CED7" w14:textId="337A0192" w:rsidR="008525E2" w:rsidRDefault="008525E2" w:rsidP="008D5EDC">
      <w:pPr>
        <w:pStyle w:val="a9"/>
        <w:rPr>
          <w:rtl/>
        </w:rPr>
      </w:pPr>
      <w:r>
        <w:rPr>
          <w:rStyle w:val="a8"/>
        </w:rPr>
        <w:t>*</w:t>
      </w:r>
      <w:r>
        <w:rPr>
          <w:rFonts w:hint="cs"/>
          <w:rtl/>
        </w:rPr>
        <w:t xml:space="preserve"> התקבל בכנסת ביום </w:t>
      </w:r>
      <w:bookmarkStart w:id="1" w:name="LGSVote3Date"/>
      <w:r>
        <w:rPr>
          <w:rFonts w:hint="cs"/>
          <w:rtl/>
        </w:rPr>
        <w:t xml:space="preserve">א' באב </w:t>
      </w:r>
      <w:proofErr w:type="spellStart"/>
      <w:r>
        <w:rPr>
          <w:rFonts w:hint="cs"/>
          <w:rtl/>
        </w:rPr>
        <w:t>התשע"ז</w:t>
      </w:r>
      <w:proofErr w:type="spellEnd"/>
      <w:r>
        <w:rPr>
          <w:rFonts w:hint="cs"/>
          <w:rtl/>
        </w:rPr>
        <w:t xml:space="preserve"> (24 ביולי 2017)</w:t>
      </w:r>
      <w:bookmarkEnd w:id="1"/>
      <w:r>
        <w:rPr>
          <w:rFonts w:hint="cs"/>
          <w:rtl/>
        </w:rPr>
        <w:t xml:space="preserve">; הצעת החוק ודברי הסבר פורסמו בהצעות חוק </w:t>
      </w:r>
      <w:bookmarkStart w:id="2" w:name="LGSType"/>
      <w:r>
        <w:rPr>
          <w:rFonts w:hint="cs"/>
          <w:rtl/>
        </w:rPr>
        <w:t>הכנסת</w:t>
      </w:r>
      <w:bookmarkEnd w:id="2"/>
      <w:r>
        <w:rPr>
          <w:rFonts w:hint="cs"/>
          <w:rtl/>
        </w:rPr>
        <w:t xml:space="preserve"> </w:t>
      </w:r>
      <w:r>
        <w:rPr>
          <w:rFonts w:hint="eastAsia"/>
          <w:rtl/>
        </w:rPr>
        <w:t>–</w:t>
      </w:r>
      <w:r>
        <w:rPr>
          <w:rFonts w:hint="cs"/>
          <w:rtl/>
        </w:rPr>
        <w:t xml:space="preserve"> </w:t>
      </w:r>
      <w:bookmarkStart w:id="3" w:name="LGSNum"/>
      <w:r>
        <w:rPr>
          <w:rFonts w:hint="cs"/>
          <w:rtl/>
        </w:rPr>
        <w:t>714</w:t>
      </w:r>
      <w:bookmarkEnd w:id="3"/>
      <w:r>
        <w:rPr>
          <w:rFonts w:hint="eastAsia"/>
          <w:rtl/>
        </w:rPr>
        <w:t xml:space="preserve">, מיום </w:t>
      </w:r>
      <w:bookmarkStart w:id="4" w:name="HebDate"/>
      <w:r>
        <w:rPr>
          <w:rFonts w:hint="cs"/>
          <w:rtl/>
        </w:rPr>
        <w:t xml:space="preserve">כ"ז בסיוון </w:t>
      </w:r>
      <w:proofErr w:type="spellStart"/>
      <w:r>
        <w:rPr>
          <w:rFonts w:hint="cs"/>
          <w:rtl/>
        </w:rPr>
        <w:t>התשע"ז</w:t>
      </w:r>
      <w:bookmarkEnd w:id="4"/>
      <w:proofErr w:type="spellEnd"/>
      <w:r w:rsidRPr="00827E61">
        <w:rPr>
          <w:rFonts w:hint="cs"/>
          <w:rtl/>
        </w:rPr>
        <w:t xml:space="preserve"> (</w:t>
      </w:r>
      <w:bookmarkStart w:id="5" w:name="EngDate"/>
      <w:r>
        <w:rPr>
          <w:rFonts w:hint="cs"/>
          <w:rtl/>
        </w:rPr>
        <w:t>21 ביוני 2017</w:t>
      </w:r>
      <w:bookmarkEnd w:id="5"/>
      <w:r w:rsidRPr="00827E61">
        <w:rPr>
          <w:rFonts w:hint="cs"/>
          <w:rtl/>
        </w:rPr>
        <w:t>), עמ'</w:t>
      </w:r>
      <w:r>
        <w:rPr>
          <w:rFonts w:hint="cs"/>
          <w:rtl/>
        </w:rPr>
        <w:t xml:space="preserve"> </w:t>
      </w:r>
      <w:r w:rsidR="008D5EDC">
        <w:rPr>
          <w:rFonts w:hint="cs"/>
          <w:rtl/>
        </w:rPr>
        <w:t>198</w:t>
      </w:r>
      <w:r>
        <w:rPr>
          <w:rFonts w:hint="cs"/>
          <w:rtl/>
        </w:rPr>
        <w:t>.</w:t>
      </w:r>
    </w:p>
  </w:footnote>
  <w:footnote w:id="2">
    <w:p w14:paraId="65D90F63" w14:textId="77777777" w:rsidR="00D10064" w:rsidRDefault="00D10064" w:rsidP="00D10064">
      <w:pPr>
        <w:pStyle w:val="a9"/>
        <w:rPr>
          <w:rtl/>
        </w:rPr>
      </w:pPr>
      <w:r>
        <w:rPr>
          <w:rStyle w:val="a8"/>
        </w:rPr>
        <w:footnoteRef/>
      </w:r>
      <w:r>
        <w:rPr>
          <w:rtl/>
        </w:rPr>
        <w:t xml:space="preserve"> </w:t>
      </w:r>
      <w:r>
        <w:rPr>
          <w:rFonts w:hint="eastAsia"/>
          <w:rtl/>
        </w:rPr>
        <w:t>ס</w:t>
      </w:r>
      <w:r>
        <w:rPr>
          <w:rtl/>
        </w:rPr>
        <w:t xml:space="preserve">"ח </w:t>
      </w:r>
      <w:proofErr w:type="spellStart"/>
      <w:r>
        <w:rPr>
          <w:rtl/>
        </w:rPr>
        <w:t>התשט"ו</w:t>
      </w:r>
      <w:proofErr w:type="spellEnd"/>
      <w:r>
        <w:rPr>
          <w:rtl/>
        </w:rPr>
        <w:t xml:space="preserve">, עמ' 96; </w:t>
      </w:r>
      <w:proofErr w:type="spellStart"/>
      <w:r>
        <w:rPr>
          <w:rtl/>
        </w:rPr>
        <w:t>התשע"ז</w:t>
      </w:r>
      <w:proofErr w:type="spellEnd"/>
      <w:r>
        <w:rPr>
          <w:rtl/>
        </w:rPr>
        <w:t>, עמ' 330.</w:t>
      </w:r>
    </w:p>
  </w:footnote>
  <w:footnote w:id="3">
    <w:p w14:paraId="533041E6" w14:textId="77777777" w:rsidR="00D10064" w:rsidRDefault="00D10064" w:rsidP="00D10064">
      <w:pPr>
        <w:pStyle w:val="a9"/>
        <w:rPr>
          <w:rtl/>
        </w:rPr>
      </w:pPr>
      <w:r>
        <w:rPr>
          <w:rStyle w:val="a8"/>
        </w:rPr>
        <w:footnoteRef/>
      </w:r>
      <w:r>
        <w:rPr>
          <w:rtl/>
        </w:rPr>
        <w:t xml:space="preserve"> </w:t>
      </w:r>
      <w:r>
        <w:rPr>
          <w:rFonts w:hint="eastAsia"/>
          <w:rtl/>
        </w:rPr>
        <w:t>ס</w:t>
      </w:r>
      <w:r>
        <w:rPr>
          <w:rtl/>
        </w:rPr>
        <w:t xml:space="preserve">"ח </w:t>
      </w:r>
      <w:proofErr w:type="spellStart"/>
      <w:r>
        <w:rPr>
          <w:rtl/>
        </w:rPr>
        <w:t>התשס"א</w:t>
      </w:r>
      <w:proofErr w:type="spellEnd"/>
      <w:r>
        <w:rPr>
          <w:rtl/>
        </w:rPr>
        <w:t>, עמ' 183.</w:t>
      </w:r>
    </w:p>
  </w:footnote>
  <w:footnote w:id="4">
    <w:p w14:paraId="7D5CF4D6" w14:textId="77777777" w:rsidR="00D10064" w:rsidRDefault="00D10064" w:rsidP="00D10064">
      <w:pPr>
        <w:pStyle w:val="a9"/>
        <w:rPr>
          <w:rtl/>
        </w:rPr>
      </w:pPr>
      <w:r>
        <w:rPr>
          <w:rStyle w:val="a8"/>
        </w:rPr>
        <w:footnoteRef/>
      </w:r>
      <w:r>
        <w:rPr>
          <w:rtl/>
        </w:rPr>
        <w:t xml:space="preserve"> </w:t>
      </w:r>
      <w:r>
        <w:rPr>
          <w:rFonts w:hint="cs"/>
          <w:rtl/>
        </w:rPr>
        <w:t xml:space="preserve">ס"ח </w:t>
      </w:r>
      <w:proofErr w:type="spellStart"/>
      <w:r>
        <w:rPr>
          <w:rFonts w:hint="cs"/>
          <w:rtl/>
        </w:rPr>
        <w:t>התשמ"ב</w:t>
      </w:r>
      <w:proofErr w:type="spellEnd"/>
      <w:r>
        <w:rPr>
          <w:rFonts w:hint="cs"/>
          <w:rtl/>
        </w:rPr>
        <w:t>, עמ' 43.</w:t>
      </w:r>
    </w:p>
    <w:p w14:paraId="72299F3D" w14:textId="77777777" w:rsidR="00D10064" w:rsidRDefault="00D10064" w:rsidP="00D10064">
      <w:pPr>
        <w:pStyle w:val="a9"/>
        <w:rPr>
          <w:rtl/>
        </w:rPr>
      </w:pPr>
    </w:p>
  </w:footnote>
  <w:footnote w:id="5">
    <w:p w14:paraId="41CEDDC6" w14:textId="77777777" w:rsidR="00D10064" w:rsidRDefault="00D10064" w:rsidP="00D10064">
      <w:pPr>
        <w:pStyle w:val="a9"/>
        <w:rPr>
          <w:rtl/>
        </w:rPr>
      </w:pPr>
      <w:r>
        <w:rPr>
          <w:rStyle w:val="a8"/>
        </w:rPr>
        <w:footnoteRef/>
      </w:r>
      <w:r>
        <w:rPr>
          <w:rtl/>
        </w:rPr>
        <w:t xml:space="preserve"> </w:t>
      </w:r>
      <w:r>
        <w:rPr>
          <w:rFonts w:hint="eastAsia"/>
          <w:rtl/>
        </w:rPr>
        <w:t>ס</w:t>
      </w:r>
      <w:r>
        <w:rPr>
          <w:rtl/>
        </w:rPr>
        <w:t xml:space="preserve">"ח </w:t>
      </w:r>
      <w:proofErr w:type="spellStart"/>
      <w:r>
        <w:rPr>
          <w:rtl/>
        </w:rPr>
        <w:t>התשי"ח</w:t>
      </w:r>
      <w:proofErr w:type="spellEnd"/>
      <w:r>
        <w:rPr>
          <w:rtl/>
        </w:rPr>
        <w:t xml:space="preserve">, עמ' 16; </w:t>
      </w:r>
      <w:proofErr w:type="spellStart"/>
      <w:r>
        <w:rPr>
          <w:rtl/>
        </w:rPr>
        <w:t>התשע"ז</w:t>
      </w:r>
      <w:proofErr w:type="spellEnd"/>
      <w:r>
        <w:rPr>
          <w:rtl/>
        </w:rPr>
        <w:t>, עמ' 29.</w:t>
      </w:r>
    </w:p>
  </w:footnote>
  <w:footnote w:id="6">
    <w:p w14:paraId="381EBD16" w14:textId="77777777" w:rsidR="00D10064" w:rsidRDefault="00D10064" w:rsidP="00D10064">
      <w:pPr>
        <w:pStyle w:val="a9"/>
        <w:rPr>
          <w:rtl/>
        </w:rPr>
      </w:pPr>
      <w:r>
        <w:rPr>
          <w:rStyle w:val="a8"/>
        </w:rPr>
        <w:footnoteRef/>
      </w:r>
      <w:r>
        <w:rPr>
          <w:rtl/>
        </w:rPr>
        <w:t xml:space="preserve"> </w:t>
      </w:r>
      <w:r>
        <w:rPr>
          <w:rFonts w:hint="eastAsia"/>
          <w:rtl/>
        </w:rPr>
        <w:t>ס</w:t>
      </w:r>
      <w:r>
        <w:rPr>
          <w:rtl/>
        </w:rPr>
        <w:t xml:space="preserve">"ח </w:t>
      </w:r>
      <w:proofErr w:type="spellStart"/>
      <w:r>
        <w:rPr>
          <w:rtl/>
        </w:rPr>
        <w:t>התשס"א</w:t>
      </w:r>
      <w:proofErr w:type="spellEnd"/>
      <w:r>
        <w:rPr>
          <w:rtl/>
        </w:rPr>
        <w:t>, עמ' 183.</w:t>
      </w:r>
    </w:p>
  </w:footnote>
  <w:footnote w:id="7">
    <w:p w14:paraId="0E48CBC3" w14:textId="77777777" w:rsidR="00D10064" w:rsidRDefault="00D10064" w:rsidP="00D10064">
      <w:pPr>
        <w:pStyle w:val="a9"/>
        <w:rPr>
          <w:rtl/>
        </w:rPr>
      </w:pPr>
      <w:r>
        <w:rPr>
          <w:rStyle w:val="a8"/>
        </w:rPr>
        <w:footnoteRef/>
      </w:r>
      <w:r>
        <w:rPr>
          <w:rtl/>
        </w:rPr>
        <w:t xml:space="preserve"> </w:t>
      </w:r>
      <w:r>
        <w:rPr>
          <w:rFonts w:hint="cs"/>
          <w:rtl/>
        </w:rPr>
        <w:t xml:space="preserve">ס"ח </w:t>
      </w:r>
      <w:proofErr w:type="spellStart"/>
      <w:r>
        <w:rPr>
          <w:rFonts w:hint="cs"/>
          <w:rtl/>
        </w:rPr>
        <w:t>התשס"ו</w:t>
      </w:r>
      <w:proofErr w:type="spellEnd"/>
      <w:r>
        <w:rPr>
          <w:rFonts w:hint="cs"/>
          <w:rtl/>
        </w:rPr>
        <w:t xml:space="preserve">, עמ' 42; </w:t>
      </w:r>
      <w:proofErr w:type="spellStart"/>
      <w:r>
        <w:rPr>
          <w:rFonts w:hint="cs"/>
          <w:rtl/>
        </w:rPr>
        <w:t>התשע"ז</w:t>
      </w:r>
      <w:proofErr w:type="spellEnd"/>
      <w:r>
        <w:rPr>
          <w:rFonts w:hint="cs"/>
          <w:rtl/>
        </w:rPr>
        <w:t>, עמ' 332.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1" w14:textId="77777777" w:rsidR="002137F8" w:rsidRDefault="002137F8">
    <w:pPr>
      <w:pStyle w:val="ab"/>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end"/>
    </w:r>
  </w:p>
  <w:p w14:paraId="11F1CED2" w14:textId="77777777" w:rsidR="002137F8" w:rsidRDefault="002137F8">
    <w:pPr>
      <w:pStyle w:val="ab"/>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3" w14:textId="77777777" w:rsidR="002137F8" w:rsidRPr="00E125CC" w:rsidRDefault="002137F8">
    <w:pPr>
      <w:pStyle w:val="ab"/>
      <w:framePr w:wrap="around" w:vAnchor="text" w:hAnchor="margin" w:xAlign="center" w:y="1"/>
      <w:rPr>
        <w:rStyle w:val="ac"/>
        <w:rFonts w:cs="David"/>
        <w:sz w:val="24"/>
        <w:szCs w:val="24"/>
        <w:rtl/>
      </w:rPr>
    </w:pPr>
    <w:r>
      <w:rPr>
        <w:rStyle w:val="ac"/>
        <w:rFonts w:cs="David" w:hint="cs"/>
        <w:sz w:val="24"/>
        <w:szCs w:val="24"/>
        <w:rtl/>
      </w:rPr>
      <w:t xml:space="preserve">- </w:t>
    </w:r>
    <w:r w:rsidRPr="00E125CC">
      <w:rPr>
        <w:rStyle w:val="ac"/>
        <w:rFonts w:cs="David"/>
        <w:sz w:val="24"/>
        <w:szCs w:val="24"/>
        <w:rtl/>
      </w:rPr>
      <w:fldChar w:fldCharType="begin"/>
    </w:r>
    <w:r w:rsidRPr="00E125CC">
      <w:rPr>
        <w:rStyle w:val="ac"/>
        <w:rFonts w:cs="David"/>
        <w:sz w:val="24"/>
        <w:szCs w:val="24"/>
      </w:rPr>
      <w:instrText xml:space="preserve">PAGE  </w:instrText>
    </w:r>
    <w:r w:rsidRPr="00E125CC">
      <w:rPr>
        <w:rStyle w:val="ac"/>
        <w:rFonts w:cs="David"/>
        <w:sz w:val="24"/>
        <w:szCs w:val="24"/>
        <w:rtl/>
      </w:rPr>
      <w:fldChar w:fldCharType="separate"/>
    </w:r>
    <w:r w:rsidR="00804988">
      <w:rPr>
        <w:rStyle w:val="ac"/>
        <w:rFonts w:cs="David"/>
        <w:noProof/>
        <w:sz w:val="24"/>
        <w:szCs w:val="24"/>
        <w:rtl/>
      </w:rPr>
      <w:t>6</w:t>
    </w:r>
    <w:r w:rsidRPr="00E125CC">
      <w:rPr>
        <w:rStyle w:val="ac"/>
        <w:rFonts w:cs="David"/>
        <w:sz w:val="24"/>
        <w:szCs w:val="24"/>
        <w:rtl/>
      </w:rPr>
      <w:fldChar w:fldCharType="end"/>
    </w:r>
    <w:r>
      <w:rPr>
        <w:rStyle w:val="ac"/>
        <w:rFonts w:cs="David" w:hint="cs"/>
        <w:sz w:val="24"/>
        <w:szCs w:val="24"/>
        <w:rtl/>
      </w:rPr>
      <w:t xml:space="preserve"> -</w:t>
    </w:r>
  </w:p>
  <w:p w14:paraId="11F1CED4" w14:textId="77777777" w:rsidR="002137F8" w:rsidRDefault="002137F8">
    <w:pPr>
      <w:pStyle w:val="ab"/>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43"/>
    <w:rsid w:val="00022EBF"/>
    <w:rsid w:val="0002643E"/>
    <w:rsid w:val="0002757A"/>
    <w:rsid w:val="00027E2D"/>
    <w:rsid w:val="00033033"/>
    <w:rsid w:val="00047882"/>
    <w:rsid w:val="00077AF1"/>
    <w:rsid w:val="00097925"/>
    <w:rsid w:val="000B3A00"/>
    <w:rsid w:val="000B4AC4"/>
    <w:rsid w:val="000E3B18"/>
    <w:rsid w:val="000E4563"/>
    <w:rsid w:val="000E7E08"/>
    <w:rsid w:val="000F6D7C"/>
    <w:rsid w:val="001113B8"/>
    <w:rsid w:val="00120D64"/>
    <w:rsid w:val="001253F6"/>
    <w:rsid w:val="00135743"/>
    <w:rsid w:val="001C4A6C"/>
    <w:rsid w:val="002000B0"/>
    <w:rsid w:val="00205DFF"/>
    <w:rsid w:val="0020610D"/>
    <w:rsid w:val="0020793A"/>
    <w:rsid w:val="002137F8"/>
    <w:rsid w:val="00220CAF"/>
    <w:rsid w:val="00222DA1"/>
    <w:rsid w:val="0024044E"/>
    <w:rsid w:val="00280B87"/>
    <w:rsid w:val="002C4285"/>
    <w:rsid w:val="002C4FF8"/>
    <w:rsid w:val="002E1F11"/>
    <w:rsid w:val="002E6458"/>
    <w:rsid w:val="00331786"/>
    <w:rsid w:val="0034385F"/>
    <w:rsid w:val="00350C6D"/>
    <w:rsid w:val="00352E82"/>
    <w:rsid w:val="003710E7"/>
    <w:rsid w:val="0037452B"/>
    <w:rsid w:val="003948C0"/>
    <w:rsid w:val="003B4BC6"/>
    <w:rsid w:val="003C03C8"/>
    <w:rsid w:val="003C1215"/>
    <w:rsid w:val="003D27C5"/>
    <w:rsid w:val="003D58F4"/>
    <w:rsid w:val="004239B4"/>
    <w:rsid w:val="004265E2"/>
    <w:rsid w:val="00443D7D"/>
    <w:rsid w:val="004B1418"/>
    <w:rsid w:val="004B1FDD"/>
    <w:rsid w:val="004C68A2"/>
    <w:rsid w:val="004D7542"/>
    <w:rsid w:val="004E5E15"/>
    <w:rsid w:val="004E77B7"/>
    <w:rsid w:val="0052521E"/>
    <w:rsid w:val="005527D3"/>
    <w:rsid w:val="005652C2"/>
    <w:rsid w:val="0057628C"/>
    <w:rsid w:val="005A2EB8"/>
    <w:rsid w:val="005B6107"/>
    <w:rsid w:val="005C5383"/>
    <w:rsid w:val="005D1A36"/>
    <w:rsid w:val="005F20ED"/>
    <w:rsid w:val="00606368"/>
    <w:rsid w:val="00696C5E"/>
    <w:rsid w:val="006B4B3F"/>
    <w:rsid w:val="006C2108"/>
    <w:rsid w:val="006D0910"/>
    <w:rsid w:val="006F219C"/>
    <w:rsid w:val="006F3CC7"/>
    <w:rsid w:val="00707F31"/>
    <w:rsid w:val="00732EFC"/>
    <w:rsid w:val="00741BCE"/>
    <w:rsid w:val="007428E7"/>
    <w:rsid w:val="00765153"/>
    <w:rsid w:val="00787D9C"/>
    <w:rsid w:val="007C2914"/>
    <w:rsid w:val="007C4213"/>
    <w:rsid w:val="007E362D"/>
    <w:rsid w:val="00804988"/>
    <w:rsid w:val="00827E61"/>
    <w:rsid w:val="0083056F"/>
    <w:rsid w:val="00847132"/>
    <w:rsid w:val="008525E2"/>
    <w:rsid w:val="00854E28"/>
    <w:rsid w:val="00855A92"/>
    <w:rsid w:val="00861CDE"/>
    <w:rsid w:val="008836D8"/>
    <w:rsid w:val="00885A35"/>
    <w:rsid w:val="00890350"/>
    <w:rsid w:val="008A5C70"/>
    <w:rsid w:val="008B055C"/>
    <w:rsid w:val="008D5EDC"/>
    <w:rsid w:val="009579F7"/>
    <w:rsid w:val="009B1679"/>
    <w:rsid w:val="009C37CC"/>
    <w:rsid w:val="009C7FC7"/>
    <w:rsid w:val="009E19BF"/>
    <w:rsid w:val="009F0EF8"/>
    <w:rsid w:val="00A03A03"/>
    <w:rsid w:val="00A15945"/>
    <w:rsid w:val="00A54DE5"/>
    <w:rsid w:val="00A9474C"/>
    <w:rsid w:val="00AA5399"/>
    <w:rsid w:val="00AC4CCE"/>
    <w:rsid w:val="00AC5110"/>
    <w:rsid w:val="00B16515"/>
    <w:rsid w:val="00B416AF"/>
    <w:rsid w:val="00B4412A"/>
    <w:rsid w:val="00B6418A"/>
    <w:rsid w:val="00BA09A3"/>
    <w:rsid w:val="00BA2FCA"/>
    <w:rsid w:val="00BD0880"/>
    <w:rsid w:val="00C0211F"/>
    <w:rsid w:val="00C35CC5"/>
    <w:rsid w:val="00C61EBB"/>
    <w:rsid w:val="00C63E8C"/>
    <w:rsid w:val="00C7276B"/>
    <w:rsid w:val="00C72DFC"/>
    <w:rsid w:val="00C8056A"/>
    <w:rsid w:val="00CA7AA2"/>
    <w:rsid w:val="00CA7D8A"/>
    <w:rsid w:val="00CA7E27"/>
    <w:rsid w:val="00CC515F"/>
    <w:rsid w:val="00CD1A3B"/>
    <w:rsid w:val="00CD2734"/>
    <w:rsid w:val="00CD5774"/>
    <w:rsid w:val="00D10064"/>
    <w:rsid w:val="00D24673"/>
    <w:rsid w:val="00D4588A"/>
    <w:rsid w:val="00D82284"/>
    <w:rsid w:val="00D92FDC"/>
    <w:rsid w:val="00D9552D"/>
    <w:rsid w:val="00DF5CB6"/>
    <w:rsid w:val="00E26850"/>
    <w:rsid w:val="00E36A7E"/>
    <w:rsid w:val="00E449A1"/>
    <w:rsid w:val="00E61062"/>
    <w:rsid w:val="00EC7E05"/>
    <w:rsid w:val="00EE492B"/>
    <w:rsid w:val="00F05158"/>
    <w:rsid w:val="00F06CE3"/>
    <w:rsid w:val="00F93ADC"/>
    <w:rsid w:val="00FD1D3D"/>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1CEA6"/>
  <w15:docId w15:val="{D31B5641-E966-41B4-9622-AC58AC32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D64"/>
    <w:pPr>
      <w:widowControl w:val="0"/>
      <w:autoSpaceDE w:val="0"/>
      <w:autoSpaceDN w:val="0"/>
      <w:bidi/>
      <w:adjustRightInd w:val="0"/>
      <w:spacing w:before="102"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qFormat/>
    <w:rsid w:val="009579F7"/>
    <w:pPr>
      <w:keepNext/>
      <w:jc w:val="center"/>
      <w:outlineLvl w:val="0"/>
    </w:pPr>
    <w:rPr>
      <w:rFonts w:cs="David"/>
      <w:b/>
      <w:bCs/>
      <w:sz w:val="28"/>
      <w:szCs w:val="28"/>
      <w:u w:val="single"/>
    </w:rPr>
  </w:style>
  <w:style w:type="paragraph" w:styleId="2">
    <w:name w:val="heading 2"/>
    <w:basedOn w:val="a"/>
    <w:next w:val="a"/>
    <w:qFormat/>
    <w:rsid w:val="009579F7"/>
    <w:pPr>
      <w:keepNext/>
      <w:jc w:val="center"/>
      <w:outlineLvl w:val="1"/>
    </w:pPr>
    <w:rPr>
      <w:rFonts w:cs="David"/>
      <w:b/>
      <w:bCs/>
      <w:sz w:val="26"/>
      <w:szCs w:val="26"/>
    </w:rPr>
  </w:style>
  <w:style w:type="character" w:default="1" w:styleId="a0">
    <w:name w:val="Default Paragraph Font"/>
    <w:semiHidden/>
    <w:rsid w:val="00120D6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120D64"/>
  </w:style>
  <w:style w:type="character" w:styleId="a3">
    <w:name w:val="annotation reference"/>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120D64"/>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120D64"/>
    <w:rPr>
      <w:sz w:val="36"/>
      <w:szCs w:val="52"/>
    </w:rPr>
  </w:style>
  <w:style w:type="paragraph" w:customStyle="1" w:styleId="Cover3-Haknesset">
    <w:name w:val="Cover 3-Haknesset"/>
    <w:basedOn w:val="Cover1-Reshumot"/>
    <w:rsid w:val="00120D64"/>
    <w:rPr>
      <w:b/>
      <w:bCs/>
      <w:spacing w:val="60"/>
    </w:rPr>
  </w:style>
  <w:style w:type="paragraph" w:customStyle="1" w:styleId="Cover4-Date">
    <w:name w:val="Cover 4-Date"/>
    <w:basedOn w:val="a"/>
    <w:rsid w:val="00120D64"/>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character" w:styleId="a5">
    <w:name w:val="endnote reference"/>
    <w:basedOn w:val="a0"/>
    <w:semiHidden/>
    <w:rsid w:val="00120D64"/>
    <w:rPr>
      <w:vertAlign w:val="superscript"/>
    </w:rPr>
  </w:style>
  <w:style w:type="paragraph" w:customStyle="1" w:styleId="Ragil">
    <w:name w:val="Ragil"/>
    <w:basedOn w:val="a"/>
    <w:rsid w:val="00120D64"/>
    <w:pPr>
      <w:snapToGrid w:val="0"/>
      <w:spacing w:before="0" w:line="360" w:lineRule="auto"/>
      <w:jc w:val="left"/>
    </w:pPr>
    <w:rPr>
      <w:rFonts w:ascii="Arial" w:eastAsia="Arial Unicode MS" w:hAnsi="Arial" w:cs="David"/>
      <w:snapToGrid w:val="0"/>
      <w:spacing w:val="0"/>
      <w:sz w:val="20"/>
      <w:szCs w:val="26"/>
    </w:rPr>
  </w:style>
  <w:style w:type="paragraph" w:styleId="a6">
    <w:name w:val="endnote text"/>
    <w:basedOn w:val="a"/>
    <w:semiHidden/>
    <w:rsid w:val="00120D64"/>
    <w:pPr>
      <w:ind w:left="227" w:hanging="227"/>
    </w:pPr>
    <w:rPr>
      <w:sz w:val="14"/>
      <w:szCs w:val="22"/>
    </w:rPr>
  </w:style>
  <w:style w:type="paragraph" w:styleId="a7">
    <w:name w:val="footer"/>
    <w:basedOn w:val="a"/>
    <w:rsid w:val="00120D64"/>
    <w:pPr>
      <w:tabs>
        <w:tab w:val="center" w:pos="4153"/>
        <w:tab w:val="right" w:pos="8306"/>
      </w:tabs>
    </w:pPr>
  </w:style>
  <w:style w:type="character" w:styleId="a8">
    <w:name w:val="footnote reference"/>
    <w:aliases w:val="Footnote Reference"/>
    <w:basedOn w:val="a0"/>
    <w:semiHidden/>
    <w:rsid w:val="00120D64"/>
    <w:rPr>
      <w:vertAlign w:val="superscript"/>
    </w:rPr>
  </w:style>
  <w:style w:type="paragraph" w:styleId="a9">
    <w:name w:val="footnote text"/>
    <w:basedOn w:val="a"/>
    <w:link w:val="aa"/>
    <w:autoRedefine/>
    <w:semiHidden/>
    <w:rsid w:val="00120D64"/>
    <w:pPr>
      <w:snapToGrid w:val="0"/>
      <w:spacing w:before="0" w:line="240" w:lineRule="auto"/>
      <w:ind w:left="227" w:hanging="227"/>
      <w:jc w:val="left"/>
    </w:pPr>
    <w:rPr>
      <w:rFonts w:ascii="Arial" w:eastAsia="Arial Unicode MS" w:hAnsi="Arial" w:cs="David"/>
      <w:snapToGrid w:val="0"/>
      <w:spacing w:val="0"/>
      <w:sz w:val="14"/>
      <w:szCs w:val="20"/>
    </w:rPr>
  </w:style>
  <w:style w:type="paragraph" w:customStyle="1" w:styleId="HeadDivreiHesber">
    <w:name w:val="Head DivreiHesber"/>
    <w:basedOn w:val="a"/>
    <w:rsid w:val="00120D64"/>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HeadHatzaotHok">
    <w:name w:val="Head HatzaotHok"/>
    <w:basedOn w:val="a"/>
    <w:link w:val="HeadHatzaotHok0"/>
    <w:rsid w:val="00120D64"/>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120D64"/>
    <w:pPr>
      <w:spacing w:before="120" w:after="120"/>
    </w:pPr>
    <w:rPr>
      <w:color w:val="FF0000"/>
      <w:w w:val="80"/>
    </w:rPr>
  </w:style>
  <w:style w:type="paragraph" w:customStyle="1" w:styleId="HeadMitparsemetBaze">
    <w:name w:val="Head MitparsemetBaze"/>
    <w:basedOn w:val="a"/>
    <w:rsid w:val="00120D64"/>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styleId="ab">
    <w:name w:val="header"/>
    <w:basedOn w:val="a"/>
    <w:rsid w:val="00120D64"/>
    <w:pPr>
      <w:tabs>
        <w:tab w:val="center" w:pos="4153"/>
        <w:tab w:val="right" w:pos="8306"/>
      </w:tabs>
    </w:pPr>
  </w:style>
  <w:style w:type="paragraph" w:customStyle="1" w:styleId="Hesber">
    <w:name w:val="Hesber"/>
    <w:basedOn w:val="a"/>
    <w:rsid w:val="00120D64"/>
    <w:pPr>
      <w:snapToGrid w:val="0"/>
      <w:spacing w:before="0" w:line="360" w:lineRule="auto"/>
    </w:pPr>
    <w:rPr>
      <w:rFonts w:ascii="Arial" w:eastAsia="Arial Unicode MS" w:hAnsi="Arial" w:cs="David"/>
      <w:snapToGrid w:val="0"/>
      <w:spacing w:val="0"/>
      <w:sz w:val="20"/>
      <w:szCs w:val="26"/>
    </w:rPr>
  </w:style>
  <w:style w:type="paragraph" w:customStyle="1" w:styleId="Hesber1st">
    <w:name w:val="Hesber 1st"/>
    <w:basedOn w:val="Hesber"/>
    <w:rsid w:val="00120D64"/>
    <w:pPr>
      <w:tabs>
        <w:tab w:val="left" w:pos="680"/>
        <w:tab w:val="left" w:pos="1020"/>
      </w:tabs>
      <w:ind w:firstLine="0"/>
    </w:pPr>
  </w:style>
  <w:style w:type="paragraph" w:customStyle="1" w:styleId="HesberHeading">
    <w:name w:val="Hesber Heading"/>
    <w:basedOn w:val="Hesber"/>
    <w:rsid w:val="00120D64"/>
    <w:pPr>
      <w:tabs>
        <w:tab w:val="left" w:pos="624"/>
        <w:tab w:val="left" w:pos="1247"/>
      </w:tabs>
      <w:ind w:firstLine="0"/>
    </w:pPr>
    <w:rPr>
      <w:b/>
      <w:bCs/>
    </w:rPr>
  </w:style>
  <w:style w:type="paragraph" w:customStyle="1" w:styleId="HesberWriters">
    <w:name w:val="Hesber Writers"/>
    <w:basedOn w:val="Hesber"/>
    <w:rsid w:val="00120D64"/>
    <w:pPr>
      <w:spacing w:before="120" w:after="6000"/>
      <w:ind w:left="1418" w:firstLine="0"/>
      <w:jc w:val="right"/>
    </w:pPr>
    <w:rPr>
      <w:b/>
      <w:bCs/>
    </w:rPr>
  </w:style>
  <w:style w:type="character" w:styleId="Hyperlink">
    <w:name w:val="Hyperlink"/>
    <w:rsid w:val="009579F7"/>
    <w:rPr>
      <w:color w:val="0000FF"/>
      <w:u w:val="single"/>
    </w:rPr>
  </w:style>
  <w:style w:type="character" w:styleId="ac">
    <w:name w:val="page number"/>
    <w:basedOn w:val="a0"/>
    <w:rsid w:val="00120D64"/>
  </w:style>
  <w:style w:type="paragraph" w:customStyle="1" w:styleId="TableText">
    <w:name w:val="Table Text"/>
    <w:basedOn w:val="a"/>
    <w:rsid w:val="00120D64"/>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Block">
    <w:name w:val="Table Block"/>
    <w:basedOn w:val="TableText"/>
    <w:rsid w:val="00120D64"/>
    <w:pPr>
      <w:ind w:right="0"/>
      <w:jc w:val="both"/>
    </w:pPr>
  </w:style>
  <w:style w:type="paragraph" w:customStyle="1" w:styleId="TableBlockOutdent">
    <w:name w:val="Table BlockOutdent"/>
    <w:basedOn w:val="TableBlock"/>
    <w:rsid w:val="00120D64"/>
    <w:pPr>
      <w:ind w:left="624" w:hanging="624"/>
    </w:pPr>
  </w:style>
  <w:style w:type="table" w:customStyle="1" w:styleId="10">
    <w:name w:val="טבלת רשת1"/>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120D64"/>
    <w:pPr>
      <w:ind w:right="0"/>
      <w:jc w:val="center"/>
    </w:pPr>
    <w:rPr>
      <w:b/>
      <w:bCs/>
    </w:rPr>
  </w:style>
  <w:style w:type="paragraph" w:customStyle="1" w:styleId="TableSideHeading">
    <w:name w:val="Table SideHeading"/>
    <w:basedOn w:val="TableText"/>
    <w:rsid w:val="00120D64"/>
  </w:style>
  <w:style w:type="paragraph" w:customStyle="1" w:styleId="TableInnerSideHeading">
    <w:name w:val="Table InnerSideHeading"/>
    <w:basedOn w:val="TableSideHeading"/>
    <w:rsid w:val="00120D64"/>
  </w:style>
  <w:style w:type="paragraph" w:customStyle="1" w:styleId="TableText2">
    <w:name w:val="Table Text2"/>
    <w:basedOn w:val="TableText"/>
    <w:rsid w:val="009579F7"/>
  </w:style>
  <w:style w:type="paragraph" w:styleId="ad">
    <w:name w:val="Title"/>
    <w:basedOn w:val="a"/>
    <w:qFormat/>
    <w:rsid w:val="009579F7"/>
    <w:pPr>
      <w:jc w:val="center"/>
    </w:pPr>
    <w:rPr>
      <w:rFonts w:cs="David"/>
      <w:b/>
      <w:bCs/>
      <w:sz w:val="28"/>
      <w:szCs w:val="28"/>
      <w:u w:val="single"/>
    </w:rPr>
  </w:style>
  <w:style w:type="paragraph" w:customStyle="1" w:styleId="TOC">
    <w:name w:val="TOC"/>
    <w:basedOn w:val="a"/>
    <w:rsid w:val="009579F7"/>
    <w:pPr>
      <w:tabs>
        <w:tab w:val="left" w:leader="dot" w:pos="8789"/>
      </w:tabs>
      <w:snapToGrid w:val="0"/>
      <w:spacing w:before="120" w:line="360" w:lineRule="auto"/>
      <w:ind w:left="284" w:right="284"/>
    </w:pPr>
    <w:rPr>
      <w:rFonts w:ascii="Arial" w:eastAsia="Arial Unicode MS" w:hAnsi="Arial" w:cs="David"/>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color w:val="000000"/>
      <w:szCs w:val="26"/>
      <w:lang w:eastAsia="ja-JP"/>
    </w:rPr>
  </w:style>
  <w:style w:type="character" w:customStyle="1" w:styleId="aa">
    <w:name w:val="טקסט הערת שוליים תו"/>
    <w:link w:val="a9"/>
    <w:semiHidden/>
    <w:rsid w:val="008525E2"/>
    <w:rPr>
      <w:rFonts w:ascii="Arial" w:eastAsia="Arial Unicode MS" w:hAnsi="Arial" w:cs="David"/>
      <w:snapToGrid w:val="0"/>
      <w:color w:val="000000"/>
      <w:sz w:val="14"/>
      <w:lang w:eastAsia="ja-JP"/>
    </w:rPr>
  </w:style>
  <w:style w:type="paragraph" w:styleId="ae">
    <w:name w:val="Balloon Text"/>
    <w:basedOn w:val="a"/>
    <w:link w:val="af"/>
    <w:rsid w:val="0024044E"/>
    <w:pPr>
      <w:spacing w:before="0" w:line="240" w:lineRule="auto"/>
    </w:pPr>
    <w:rPr>
      <w:rFonts w:ascii="Tahoma" w:hAnsi="Tahoma" w:cs="Tahoma"/>
      <w:sz w:val="16"/>
      <w:szCs w:val="16"/>
    </w:rPr>
  </w:style>
  <w:style w:type="character" w:customStyle="1" w:styleId="af">
    <w:name w:val="טקסט בלונים תו"/>
    <w:basedOn w:val="a0"/>
    <w:link w:val="ae"/>
    <w:rsid w:val="0024044E"/>
    <w:rPr>
      <w:rFonts w:ascii="Tahoma" w:eastAsia="MS Mincho"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EC742974F56E924593CB5002DD638E7D" ma:contentTypeVersion="21" ma:contentTypeDescription="צור מסמך חדש." ma:contentTypeScope="" ma:versionID="3383ab7b66353bced35c20f98365f8a8">
  <xsd:schema xmlns:xsd="http://www.w3.org/2001/XMLSchema" xmlns:xs="http://www.w3.org/2001/XMLSchema" xmlns:p="http://schemas.microsoft.com/office/2006/metadata/properties" xmlns:ns2="f380af25-22dd-4a89-bd18-c5bf793c562b" xmlns:ns3="e860c347-3c75-42f3-9b43-fe3c3ef9805f" xmlns:ns4="c8ce1d4b-e1f6-446e-84c0-71ee544e8fe0" targetNamespace="http://schemas.microsoft.com/office/2006/metadata/properties" ma:root="true" ma:fieldsID="f4ed2c4b512e5fc9d8f795dd98a028c7" ns2:_="" ns3:_="" ns4:_="">
    <xsd:import namespace="f380af25-22dd-4a89-bd18-c5bf793c562b"/>
    <xsd:import namespace="e860c347-3c75-42f3-9b43-fe3c3ef9805f"/>
    <xsd:import namespace="c8ce1d4b-e1f6-446e-84c0-71ee544e8fe0"/>
    <xsd:element name="properties">
      <xsd:complexType>
        <xsd:sequence>
          <xsd:element name="documentManagement">
            <xsd:complexType>
              <xsd:all>
                <xsd:element ref="ns2:DocumentType" minOccurs="0"/>
                <xsd:element ref="ns2:SystemSource" minOccurs="0"/>
                <xsd:element ref="ns3:ITEMID" minOccurs="0"/>
                <xsd:element ref="ns4:KnessetID" minOccurs="0"/>
                <xsd:element ref="ns4:PrivateNumber" minOccurs="0"/>
                <xsd:element ref="ns4:CommitteeName" minOccurs="0"/>
                <xsd:element ref="ns4:CommitteeID" minOccurs="0"/>
                <xsd:element ref="ns4:ItemNumber" minOccurs="0"/>
                <xsd:element ref="ns4:ItemName" minOccurs="0"/>
                <xsd:element ref="ns3:_dlc_DocId" minOccurs="0"/>
                <xsd:element ref="ns3:_dlc_DocIdUrl" minOccurs="0"/>
                <xsd:element ref="ns3:_dlc_DocIdPersistId" minOccurs="0"/>
                <xsd:element ref="ns2:DocEdi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0af25-22dd-4a89-bd18-c5bf793c562b" elementFormDefault="qualified">
    <xsd:import namespace="http://schemas.microsoft.com/office/2006/documentManagement/types"/>
    <xsd:import namespace="http://schemas.microsoft.com/office/infopath/2007/PartnerControls"/>
    <xsd:element name="DocumentType" ma:index="1" nillable="true" ma:displayName="סוג מסמך" ma:description="סוג מסמך" ma:internalName="DocumentType">
      <xsd:simpleType>
        <xsd:restriction base="dms:Text">
          <xsd:maxLength value="255"/>
        </xsd:restriction>
      </xsd:simpleType>
    </xsd:element>
    <xsd:element name="SystemSource" ma:index="2" nillable="true" ma:displayName="מקור מסמך" ma:default="אחר" ma:description="מקור" ma:format="Dropdown" ma:internalName="SystemSource">
      <xsd:simpleType>
        <xsd:restriction base="dms:Choice">
          <xsd:enumeration value="אחר"/>
          <xsd:enumeration value="תבנית סנהדרין"/>
        </xsd:restriction>
      </xsd:simpleType>
    </xsd:element>
    <xsd:element name="DocEditor" ma:index="20" nillable="true" ma:displayName="מחבר" ma:list="UserInfo" ma:SharePointGroup="0" ma:internalName="DocEdi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0c347-3c75-42f3-9b43-fe3c3ef9805f" elementFormDefault="qualified">
    <xsd:import namespace="http://schemas.microsoft.com/office/2006/documentManagement/types"/>
    <xsd:import namespace="http://schemas.microsoft.com/office/infopath/2007/PartnerControls"/>
    <xsd:element name="ITEMID" ma:index="3" nillable="true" ma:displayName="מספר פנימי" ma:description="מספר פנימי" ma:internalName="ITEMID">
      <xsd:simpleType>
        <xsd:restriction base="dms:Text">
          <xsd:maxLength value="255"/>
        </xsd:restriction>
      </xsd:simpleType>
    </xsd:element>
    <xsd:element name="_dlc_DocId" ma:index="13" nillable="true" ma:displayName="ערך של מזהה מסמך" ma:description="הערך של מזהה המסמך שהוקצה לפריט זה." ma:internalName="_dlc_DocId" ma:readOnly="true">
      <xsd:simpleType>
        <xsd:restriction base="dms:Text"/>
      </xsd:simpleType>
    </xsd:element>
    <xsd:element name="_dlc_DocIdUrl" ma:index="14"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מזהה תמידי" ma:description="השאר מזהה בעת הוספה."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ce1d4b-e1f6-446e-84c0-71ee544e8fe0" elementFormDefault="qualified">
    <xsd:import namespace="http://schemas.microsoft.com/office/2006/documentManagement/types"/>
    <xsd:import namespace="http://schemas.microsoft.com/office/infopath/2007/PartnerControls"/>
    <xsd:element name="KnessetID" ma:index="4" nillable="true" ma:displayName="כנסת" ma:decimals="0" ma:description="מספר כנסת" ma:internalName="KnessetID" ma:percentage="FALSE">
      <xsd:simpleType>
        <xsd:restriction base="dms:Number"/>
      </xsd:simpleType>
    </xsd:element>
    <xsd:element name="PrivateNumber" ma:index="5" nillable="true" ma:displayName="מספר פרטי" ma:description="מספר פרטי" ma:internalName="PrivateNumber">
      <xsd:simpleType>
        <xsd:restriction base="dms:Text">
          <xsd:maxLength value="255"/>
        </xsd:restriction>
      </xsd:simpleType>
    </xsd:element>
    <xsd:element name="CommitteeName" ma:index="6" nillable="true" ma:displayName="ועדה מטפלת" ma:description="ועדה מטפלת" ma:internalName="CommitteeName">
      <xsd:simpleType>
        <xsd:restriction base="dms:Note">
          <xsd:maxLength value="255"/>
        </xsd:restriction>
      </xsd:simpleType>
    </xsd:element>
    <xsd:element name="CommitteeID" ma:index="7" nillable="true" ma:displayName="קוד ועדה מטפלת" ma:decimals="0" ma:internalName="CommitteeID" ma:percentage="FALSE">
      <xsd:simpleType>
        <xsd:restriction base="dms:Number"/>
      </xsd:simpleType>
    </xsd:element>
    <xsd:element name="ItemNumber" ma:index="11" nillable="true" ma:displayName="חוברת" ma:description="מספר חוברת הצ&quot;ח" ma:internalName="ItemNumber">
      <xsd:simpleType>
        <xsd:restriction base="dms:Text">
          <xsd:maxLength value="255"/>
        </xsd:restriction>
      </xsd:simpleType>
    </xsd:element>
    <xsd:element name="ItemName" ma:index="12" nillable="true" ma:displayName="שם הצ&quot;ח" ma:description="שם הצ&quot;ח" ma:internalName="Item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סוג תוכן"/>
        <xsd:element ref="dc:title" minOccurs="0" maxOccurs="1" ma:index="9"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90E72-2A10-47B5-8633-F22511D80AB8}">
  <ds:schemaRefs>
    <ds:schemaRef ds:uri="http://schemas.microsoft.com/sharepoint/v3/contenttype/forms"/>
  </ds:schemaRefs>
</ds:datastoreItem>
</file>

<file path=customXml/itemProps2.xml><?xml version="1.0" encoding="utf-8"?>
<ds:datastoreItem xmlns:ds="http://schemas.openxmlformats.org/officeDocument/2006/customXml" ds:itemID="{C3E1657D-317C-48BB-A872-2C64BBB17B1B}">
  <ds:schemaRefs>
    <ds:schemaRef ds:uri="http://schemas.microsoft.com/office/2006/metadata/longProperties"/>
  </ds:schemaRefs>
</ds:datastoreItem>
</file>

<file path=customXml/itemProps3.xml><?xml version="1.0" encoding="utf-8"?>
<ds:datastoreItem xmlns:ds="http://schemas.openxmlformats.org/officeDocument/2006/customXml" ds:itemID="{9AAD3E59-1685-4866-88AE-10917921A27A}">
  <ds:schemaRefs>
    <ds:schemaRef ds:uri="http://purl.org/dc/elements/1.1/"/>
    <ds:schemaRef ds:uri="http://schemas.microsoft.com/office/2006/metadata/properties"/>
    <ds:schemaRef ds:uri="e860c347-3c75-42f3-9b43-fe3c3ef9805f"/>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c8ce1d4b-e1f6-446e-84c0-71ee544e8fe0"/>
    <ds:schemaRef ds:uri="f380af25-22dd-4a89-bd18-c5bf793c562b"/>
    <ds:schemaRef ds:uri="http://www.w3.org/XML/1998/namespace"/>
  </ds:schemaRefs>
</ds:datastoreItem>
</file>

<file path=customXml/itemProps4.xml><?xml version="1.0" encoding="utf-8"?>
<ds:datastoreItem xmlns:ds="http://schemas.openxmlformats.org/officeDocument/2006/customXml" ds:itemID="{AB4609B5-F7F0-434E-A48E-04BE57589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0af25-22dd-4a89-bd18-c5bf793c562b"/>
    <ds:schemaRef ds:uri="e860c347-3c75-42f3-9b43-fe3c3ef9805f"/>
    <ds:schemaRef ds:uri="c8ce1d4b-e1f6-446e-84c0-71ee544e8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EED66B-3F0E-46E3-90A0-C236A43F0463}"/>
</file>

<file path=docProps/app.xml><?xml version="1.0" encoding="utf-8"?>
<Properties xmlns="http://schemas.openxmlformats.org/officeDocument/2006/extended-properties" xmlns:vt="http://schemas.openxmlformats.org/officeDocument/2006/docPropsVTypes">
  <Template>Normal</Template>
  <TotalTime>17</TotalTime>
  <Pages>6</Pages>
  <Words>1055</Words>
  <Characters>5279</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אילת וולברג</cp:lastModifiedBy>
  <cp:revision>12</cp:revision>
  <cp:lastPrinted>1900-12-31T21:00:00Z</cp:lastPrinted>
  <dcterms:created xsi:type="dcterms:W3CDTF">2015-06-14T12:44:00Z</dcterms:created>
  <dcterms:modified xsi:type="dcterms:W3CDTF">2017-07-30T06:45:00Z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1eafb908-20b6-4d0e-b69a-f39e697707d6</vt:lpwstr>
  </property>
  <property fmtid="{D5CDD505-2E9C-101B-9397-08002B2CF9AE}" pid="20" name="SanhedrinItemID">
    <vt:r8>578310</vt:r8>
  </property>
  <property fmtid="{D5CDD505-2E9C-101B-9397-08002B2CF9AE}" pid="21" name="SanhedrinDocumentType">
    <vt:r8>42</vt:r8>
  </property>
</Properties>
</file>