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1CEA6" w14:textId="77777777" w:rsidR="008525E2" w:rsidRDefault="00C7276B" w:rsidP="008525E2">
      <w:pPr>
        <w:spacing w:before="0"/>
        <w:jc w:val="center"/>
        <w:rPr>
          <w:b/>
          <w:bCs/>
          <w:sz w:val="28"/>
          <w:szCs w:val="28"/>
          <w:rtl/>
        </w:rPr>
      </w:pPr>
      <w:r>
        <w:rPr>
          <w:noProof/>
          <w:lang w:eastAsia="en-US"/>
        </w:rPr>
        <w:drawing>
          <wp:inline distT="0" distB="0" distL="0" distR="0" wp14:anchorId="11F1CECB" wp14:editId="11F1CECC">
            <wp:extent cx="509905" cy="624205"/>
            <wp:effectExtent l="0" t="0" r="4445" b="4445"/>
            <wp:docPr id="1" name="תמונה 1" descr="סמל המדי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המדינה"/>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9905" cy="624205"/>
                    </a:xfrm>
                    <a:prstGeom prst="rect">
                      <a:avLst/>
                    </a:prstGeom>
                    <a:noFill/>
                    <a:ln>
                      <a:noFill/>
                    </a:ln>
                  </pic:spPr>
                </pic:pic>
              </a:graphicData>
            </a:graphic>
          </wp:inline>
        </w:drawing>
      </w:r>
    </w:p>
    <w:p w14:paraId="11F1CEA7" w14:textId="77777777" w:rsidR="008525E2" w:rsidRDefault="008525E2" w:rsidP="008525E2">
      <w:pPr>
        <w:spacing w:before="0"/>
        <w:jc w:val="center"/>
        <w:rPr>
          <w:b/>
          <w:bCs/>
          <w:sz w:val="28"/>
          <w:szCs w:val="28"/>
          <w:rtl/>
        </w:rPr>
      </w:pPr>
    </w:p>
    <w:p w14:paraId="11F1CEA8" w14:textId="79D29A1B" w:rsidR="008525E2" w:rsidRDefault="00220CAF" w:rsidP="00FF00E5">
      <w:pPr>
        <w:spacing w:before="0"/>
        <w:jc w:val="center"/>
        <w:rPr>
          <w:rStyle w:val="a8"/>
          <w:b/>
          <w:bCs/>
          <w:sz w:val="28"/>
          <w:szCs w:val="28"/>
          <w:rtl/>
        </w:rPr>
      </w:pPr>
      <w:bookmarkStart w:id="0" w:name="LGSName"/>
      <w:r>
        <w:rPr>
          <w:rStyle w:val="HeadHatzaotHok0"/>
          <w:rFonts w:hint="cs"/>
          <w:rtl/>
        </w:rPr>
        <w:t xml:space="preserve">הצעת חוק ניירות ערך (תיקון מס' </w:t>
      </w:r>
      <w:r w:rsidR="00FF00E5">
        <w:rPr>
          <w:rStyle w:val="HeadHatzaotHok0"/>
          <w:rFonts w:hint="cs"/>
          <w:rtl/>
        </w:rPr>
        <w:t>62</w:t>
      </w:r>
      <w:r>
        <w:rPr>
          <w:rStyle w:val="HeadHatzaotHok0"/>
          <w:rFonts w:hint="cs"/>
          <w:rtl/>
        </w:rPr>
        <w:t>), התשע"ז</w:t>
      </w:r>
      <w:r w:rsidR="0012709E">
        <w:rPr>
          <w:rStyle w:val="HeadHatzaotHok0"/>
          <w:rFonts w:hint="eastAsia"/>
        </w:rPr>
        <w:t>–</w:t>
      </w:r>
      <w:r>
        <w:rPr>
          <w:rStyle w:val="HeadHatzaotHok0"/>
          <w:rFonts w:hint="cs"/>
          <w:rtl/>
        </w:rPr>
        <w:t>2017</w:t>
      </w:r>
      <w:bookmarkEnd w:id="0"/>
      <w:r w:rsidR="008525E2">
        <w:rPr>
          <w:rStyle w:val="a8"/>
          <w:b/>
          <w:bCs/>
          <w:sz w:val="28"/>
          <w:szCs w:val="28"/>
          <w:rtl/>
        </w:rPr>
        <w:footnoteReference w:customMarkFollows="1" w:id="1"/>
        <w:t>*</w:t>
      </w:r>
    </w:p>
    <w:p w14:paraId="4D7B40D8" w14:textId="77777777" w:rsidR="0012709E" w:rsidRDefault="0012709E" w:rsidP="0012709E">
      <w:pPr>
        <w:spacing w:before="0"/>
        <w:jc w:val="center"/>
        <w:rPr>
          <w:rStyle w:val="a8"/>
          <w:b/>
          <w:bCs/>
          <w:sz w:val="28"/>
          <w:szCs w:val="28"/>
          <w:rtl/>
        </w:rPr>
      </w:pPr>
    </w:p>
    <w:tbl>
      <w:tblPr>
        <w:bidiVisual/>
        <w:tblW w:w="9638" w:type="dxa"/>
        <w:tblLayout w:type="fixed"/>
        <w:tblCellMar>
          <w:top w:w="57" w:type="dxa"/>
          <w:left w:w="0" w:type="dxa"/>
          <w:bottom w:w="57" w:type="dxa"/>
          <w:right w:w="0" w:type="dxa"/>
        </w:tblCellMar>
        <w:tblLook w:val="04A0" w:firstRow="1" w:lastRow="0" w:firstColumn="1" w:lastColumn="0" w:noHBand="0" w:noVBand="1"/>
      </w:tblPr>
      <w:tblGrid>
        <w:gridCol w:w="1871"/>
        <w:gridCol w:w="622"/>
        <w:gridCol w:w="623"/>
        <w:gridCol w:w="624"/>
        <w:gridCol w:w="624"/>
        <w:gridCol w:w="624"/>
        <w:gridCol w:w="624"/>
        <w:gridCol w:w="624"/>
        <w:gridCol w:w="3402"/>
      </w:tblGrid>
      <w:tr w:rsidR="0012709E" w14:paraId="7774D0EB" w14:textId="77777777" w:rsidTr="0012709E">
        <w:trPr>
          <w:cantSplit/>
        </w:trPr>
        <w:tc>
          <w:tcPr>
            <w:tcW w:w="1871" w:type="dxa"/>
            <w:tcMar>
              <w:top w:w="96" w:type="dxa"/>
              <w:left w:w="0" w:type="dxa"/>
              <w:bottom w:w="96" w:type="dxa"/>
              <w:right w:w="0" w:type="dxa"/>
            </w:tcMar>
            <w:hideMark/>
          </w:tcPr>
          <w:p w14:paraId="6D128696" w14:textId="77777777" w:rsidR="0012709E" w:rsidRDefault="0012709E" w:rsidP="003D4044">
            <w:pPr>
              <w:pStyle w:val="TableSideHeading"/>
              <w:rPr>
                <w:sz w:val="26"/>
              </w:rPr>
            </w:pPr>
            <w:r>
              <w:rPr>
                <w:rFonts w:hint="cs"/>
                <w:sz w:val="26"/>
                <w:rtl/>
              </w:rPr>
              <w:t>תיקון סעיף 15ב</w:t>
            </w:r>
          </w:p>
        </w:tc>
        <w:tc>
          <w:tcPr>
            <w:tcW w:w="622" w:type="dxa"/>
            <w:tcMar>
              <w:top w:w="96" w:type="dxa"/>
              <w:left w:w="0" w:type="dxa"/>
              <w:bottom w:w="96" w:type="dxa"/>
              <w:right w:w="0" w:type="dxa"/>
            </w:tcMar>
            <w:hideMark/>
          </w:tcPr>
          <w:p w14:paraId="7AC21270" w14:textId="77777777" w:rsidR="0012709E" w:rsidRDefault="0012709E" w:rsidP="003D4044">
            <w:pPr>
              <w:pStyle w:val="TableText"/>
              <w:rPr>
                <w:sz w:val="26"/>
                <w:rtl/>
              </w:rPr>
            </w:pPr>
            <w:r>
              <w:rPr>
                <w:rFonts w:hint="cs"/>
                <w:sz w:val="26"/>
                <w:rtl/>
              </w:rPr>
              <w:t>1.</w:t>
            </w:r>
            <w:r>
              <w:rPr>
                <w:rFonts w:hint="cs"/>
                <w:sz w:val="26"/>
                <w:rtl/>
              </w:rPr>
              <w:tab/>
            </w:r>
          </w:p>
        </w:tc>
        <w:tc>
          <w:tcPr>
            <w:tcW w:w="7145" w:type="dxa"/>
            <w:gridSpan w:val="7"/>
            <w:tcMar>
              <w:top w:w="96" w:type="dxa"/>
              <w:left w:w="0" w:type="dxa"/>
              <w:bottom w:w="96" w:type="dxa"/>
              <w:right w:w="0" w:type="dxa"/>
            </w:tcMar>
            <w:hideMark/>
          </w:tcPr>
          <w:p w14:paraId="024A4CE6" w14:textId="77777777" w:rsidR="0012709E" w:rsidRDefault="0012709E" w:rsidP="0012709E">
            <w:pPr>
              <w:pStyle w:val="TableBlock"/>
              <w:rPr>
                <w:sz w:val="26"/>
                <w:rtl/>
              </w:rPr>
            </w:pPr>
            <w:r>
              <w:rPr>
                <w:rFonts w:hint="cs"/>
                <w:sz w:val="26"/>
                <w:rtl/>
              </w:rPr>
              <w:t>בחוק ניירות ערך, התשכ"ח–1968‏</w:t>
            </w:r>
            <w:r>
              <w:rPr>
                <w:rStyle w:val="a8"/>
                <w:sz w:val="26"/>
                <w:rtl/>
              </w:rPr>
              <w:footnoteReference w:id="2"/>
            </w:r>
            <w:r>
              <w:rPr>
                <w:rFonts w:hint="cs"/>
                <w:sz w:val="26"/>
                <w:rtl/>
              </w:rPr>
              <w:t xml:space="preserve"> (להלן – החוק העיקרי), בסעיף 15ב, אחרי פסקה (5) יבוא: </w:t>
            </w:r>
          </w:p>
        </w:tc>
      </w:tr>
      <w:tr w:rsidR="0012709E" w14:paraId="529D1583" w14:textId="77777777" w:rsidTr="0012709E">
        <w:trPr>
          <w:cantSplit/>
        </w:trPr>
        <w:tc>
          <w:tcPr>
            <w:tcW w:w="1871" w:type="dxa"/>
            <w:tcMar>
              <w:top w:w="96" w:type="dxa"/>
              <w:left w:w="0" w:type="dxa"/>
              <w:bottom w:w="96" w:type="dxa"/>
              <w:right w:w="0" w:type="dxa"/>
            </w:tcMar>
          </w:tcPr>
          <w:p w14:paraId="577FBE82" w14:textId="77777777" w:rsidR="0012709E" w:rsidRDefault="0012709E" w:rsidP="003D4044">
            <w:pPr>
              <w:pStyle w:val="TableSideHeading"/>
              <w:rPr>
                <w:sz w:val="26"/>
                <w:rtl/>
              </w:rPr>
            </w:pPr>
          </w:p>
        </w:tc>
        <w:tc>
          <w:tcPr>
            <w:tcW w:w="622" w:type="dxa"/>
            <w:tcMar>
              <w:top w:w="96" w:type="dxa"/>
              <w:left w:w="0" w:type="dxa"/>
              <w:bottom w:w="96" w:type="dxa"/>
              <w:right w:w="0" w:type="dxa"/>
            </w:tcMar>
          </w:tcPr>
          <w:p w14:paraId="5ABC6ACD" w14:textId="77777777" w:rsidR="0012709E" w:rsidRDefault="0012709E" w:rsidP="003D4044">
            <w:pPr>
              <w:pStyle w:val="TableText"/>
              <w:rPr>
                <w:sz w:val="26"/>
                <w:rtl/>
              </w:rPr>
            </w:pPr>
          </w:p>
        </w:tc>
        <w:tc>
          <w:tcPr>
            <w:tcW w:w="623" w:type="dxa"/>
            <w:tcMar>
              <w:top w:w="96" w:type="dxa"/>
              <w:left w:w="0" w:type="dxa"/>
              <w:bottom w:w="96" w:type="dxa"/>
              <w:right w:w="0" w:type="dxa"/>
            </w:tcMar>
            <w:hideMark/>
          </w:tcPr>
          <w:p w14:paraId="095A11B1" w14:textId="77777777" w:rsidR="0012709E" w:rsidRDefault="0012709E" w:rsidP="003D4044">
            <w:pPr>
              <w:pStyle w:val="TableText"/>
              <w:rPr>
                <w:sz w:val="26"/>
                <w:rtl/>
              </w:rPr>
            </w:pPr>
            <w:r>
              <w:rPr>
                <w:rFonts w:hint="cs"/>
                <w:sz w:val="26"/>
                <w:rtl/>
              </w:rPr>
              <w:t>"(6)</w:t>
            </w:r>
          </w:p>
        </w:tc>
        <w:tc>
          <w:tcPr>
            <w:tcW w:w="6522" w:type="dxa"/>
            <w:gridSpan w:val="6"/>
            <w:tcMar>
              <w:top w:w="96" w:type="dxa"/>
              <w:left w:w="0" w:type="dxa"/>
              <w:bottom w:w="96" w:type="dxa"/>
              <w:right w:w="0" w:type="dxa"/>
            </w:tcMar>
            <w:hideMark/>
          </w:tcPr>
          <w:p w14:paraId="5F657742" w14:textId="77777777" w:rsidR="0012709E" w:rsidRDefault="0012709E" w:rsidP="0012709E">
            <w:pPr>
              <w:pStyle w:val="TableBlock"/>
              <w:rPr>
                <w:sz w:val="26"/>
                <w:rtl/>
              </w:rPr>
            </w:pPr>
            <w:r>
              <w:rPr>
                <w:rFonts w:hint="cs"/>
                <w:sz w:val="26"/>
                <w:rtl/>
              </w:rPr>
              <w:t>(א)</w:t>
            </w:r>
            <w:r>
              <w:rPr>
                <w:rFonts w:hint="cs"/>
                <w:sz w:val="26"/>
                <w:rtl/>
              </w:rPr>
              <w:tab/>
              <w:t>רישום מניות של תאגיד למסחר בבורסה, על ידי הבורסה, בהתאם להוראות פרק ה'3א;</w:t>
            </w:r>
          </w:p>
        </w:tc>
      </w:tr>
      <w:tr w:rsidR="0012709E" w14:paraId="1F73E3A9" w14:textId="77777777" w:rsidTr="0012709E">
        <w:trPr>
          <w:cantSplit/>
        </w:trPr>
        <w:tc>
          <w:tcPr>
            <w:tcW w:w="1871" w:type="dxa"/>
            <w:tcMar>
              <w:top w:w="96" w:type="dxa"/>
              <w:left w:w="0" w:type="dxa"/>
              <w:bottom w:w="96" w:type="dxa"/>
              <w:right w:w="0" w:type="dxa"/>
            </w:tcMar>
          </w:tcPr>
          <w:p w14:paraId="6F4F2A10" w14:textId="77777777" w:rsidR="0012709E" w:rsidRDefault="0012709E" w:rsidP="003D4044">
            <w:pPr>
              <w:pStyle w:val="TableSideHeading"/>
              <w:rPr>
                <w:sz w:val="26"/>
                <w:rtl/>
              </w:rPr>
            </w:pPr>
          </w:p>
        </w:tc>
        <w:tc>
          <w:tcPr>
            <w:tcW w:w="622" w:type="dxa"/>
            <w:tcMar>
              <w:top w:w="96" w:type="dxa"/>
              <w:left w:w="0" w:type="dxa"/>
              <w:bottom w:w="96" w:type="dxa"/>
              <w:right w:w="0" w:type="dxa"/>
            </w:tcMar>
          </w:tcPr>
          <w:p w14:paraId="4B0DA218" w14:textId="77777777" w:rsidR="0012709E" w:rsidRDefault="0012709E" w:rsidP="003D4044">
            <w:pPr>
              <w:pStyle w:val="TableText"/>
              <w:rPr>
                <w:sz w:val="26"/>
                <w:rtl/>
              </w:rPr>
            </w:pPr>
          </w:p>
        </w:tc>
        <w:tc>
          <w:tcPr>
            <w:tcW w:w="623" w:type="dxa"/>
            <w:tcMar>
              <w:top w:w="96" w:type="dxa"/>
              <w:left w:w="0" w:type="dxa"/>
              <w:bottom w:w="96" w:type="dxa"/>
              <w:right w:w="0" w:type="dxa"/>
            </w:tcMar>
          </w:tcPr>
          <w:p w14:paraId="65105D57" w14:textId="77777777" w:rsidR="0012709E" w:rsidRDefault="0012709E" w:rsidP="003D4044">
            <w:pPr>
              <w:pStyle w:val="TableText"/>
              <w:rPr>
                <w:sz w:val="26"/>
                <w:rtl/>
              </w:rPr>
            </w:pPr>
          </w:p>
        </w:tc>
        <w:tc>
          <w:tcPr>
            <w:tcW w:w="6522" w:type="dxa"/>
            <w:gridSpan w:val="6"/>
            <w:tcMar>
              <w:top w:w="96" w:type="dxa"/>
              <w:left w:w="0" w:type="dxa"/>
              <w:bottom w:w="96" w:type="dxa"/>
              <w:right w:w="0" w:type="dxa"/>
            </w:tcMar>
            <w:hideMark/>
          </w:tcPr>
          <w:p w14:paraId="3FD9BEA7" w14:textId="77777777" w:rsidR="0012709E" w:rsidRDefault="0012709E" w:rsidP="0012709E">
            <w:pPr>
              <w:pStyle w:val="TableBlock"/>
              <w:rPr>
                <w:sz w:val="26"/>
                <w:rtl/>
              </w:rPr>
            </w:pPr>
            <w:r>
              <w:rPr>
                <w:rFonts w:hint="cs"/>
                <w:sz w:val="26"/>
                <w:rtl/>
              </w:rPr>
              <w:t>(ב)</w:t>
            </w:r>
            <w:r>
              <w:rPr>
                <w:rFonts w:hint="cs"/>
                <w:sz w:val="26"/>
                <w:rtl/>
              </w:rPr>
              <w:tab/>
              <w:t>הצעה בדרך של זכויות שנעשית מחוץ לישראל על ידי התאגיד שמניותיו רשומות למסחר בבורסה כאמור בפסקת משנה (א), ומופנית לכלל בעלי המניות מסוג המניות הרשומות למסחר כאמור;</w:t>
            </w:r>
          </w:p>
        </w:tc>
      </w:tr>
      <w:tr w:rsidR="0012709E" w14:paraId="081DE4EA" w14:textId="77777777" w:rsidTr="0012709E">
        <w:trPr>
          <w:cantSplit/>
        </w:trPr>
        <w:tc>
          <w:tcPr>
            <w:tcW w:w="1871" w:type="dxa"/>
            <w:tcMar>
              <w:top w:w="96" w:type="dxa"/>
              <w:left w:w="0" w:type="dxa"/>
              <w:bottom w:w="96" w:type="dxa"/>
              <w:right w:w="0" w:type="dxa"/>
            </w:tcMar>
          </w:tcPr>
          <w:p w14:paraId="3BF19FD0" w14:textId="77777777" w:rsidR="0012709E" w:rsidRDefault="0012709E" w:rsidP="003D4044">
            <w:pPr>
              <w:pStyle w:val="TableSideHeading"/>
              <w:rPr>
                <w:sz w:val="26"/>
                <w:rtl/>
              </w:rPr>
            </w:pPr>
          </w:p>
        </w:tc>
        <w:tc>
          <w:tcPr>
            <w:tcW w:w="622" w:type="dxa"/>
            <w:tcMar>
              <w:top w:w="96" w:type="dxa"/>
              <w:left w:w="0" w:type="dxa"/>
              <w:bottom w:w="96" w:type="dxa"/>
              <w:right w:w="0" w:type="dxa"/>
            </w:tcMar>
          </w:tcPr>
          <w:p w14:paraId="3F8CCB19" w14:textId="77777777" w:rsidR="0012709E" w:rsidRDefault="0012709E" w:rsidP="003D4044">
            <w:pPr>
              <w:pStyle w:val="TableText"/>
              <w:rPr>
                <w:sz w:val="26"/>
                <w:rtl/>
              </w:rPr>
            </w:pPr>
          </w:p>
        </w:tc>
        <w:tc>
          <w:tcPr>
            <w:tcW w:w="623" w:type="dxa"/>
            <w:tcMar>
              <w:top w:w="96" w:type="dxa"/>
              <w:left w:w="0" w:type="dxa"/>
              <w:bottom w:w="96" w:type="dxa"/>
              <w:right w:w="0" w:type="dxa"/>
            </w:tcMar>
          </w:tcPr>
          <w:p w14:paraId="17586470" w14:textId="77777777" w:rsidR="0012709E" w:rsidRDefault="0012709E" w:rsidP="003D4044">
            <w:pPr>
              <w:pStyle w:val="TableText"/>
              <w:rPr>
                <w:sz w:val="26"/>
                <w:rtl/>
              </w:rPr>
            </w:pPr>
          </w:p>
        </w:tc>
        <w:tc>
          <w:tcPr>
            <w:tcW w:w="6522" w:type="dxa"/>
            <w:gridSpan w:val="6"/>
            <w:tcMar>
              <w:top w:w="96" w:type="dxa"/>
              <w:left w:w="0" w:type="dxa"/>
              <w:bottom w:w="96" w:type="dxa"/>
              <w:right w:w="0" w:type="dxa"/>
            </w:tcMar>
            <w:hideMark/>
          </w:tcPr>
          <w:p w14:paraId="3511D4CF" w14:textId="77777777" w:rsidR="0012709E" w:rsidRDefault="0012709E" w:rsidP="0012709E">
            <w:pPr>
              <w:pStyle w:val="TableBlock"/>
              <w:rPr>
                <w:sz w:val="26"/>
                <w:rtl/>
              </w:rPr>
            </w:pPr>
            <w:r>
              <w:rPr>
                <w:rFonts w:hint="cs"/>
                <w:sz w:val="26"/>
                <w:rtl/>
              </w:rPr>
              <w:t>(ג)</w:t>
            </w:r>
            <w:r>
              <w:rPr>
                <w:rFonts w:hint="cs"/>
                <w:sz w:val="26"/>
                <w:rtl/>
              </w:rPr>
              <w:tab/>
              <w:t>הצעת ניירות ערך שנעשית מחוץ לישראל ומופנית לכלל בעלי המניות מסוג המניות הרשומות למסחר בבורסה כאמור בפסקת משנה (א), בתמורה למניותיהם;".</w:t>
            </w:r>
          </w:p>
        </w:tc>
      </w:tr>
      <w:tr w:rsidR="0012709E" w14:paraId="430E77D4" w14:textId="77777777" w:rsidTr="0012709E">
        <w:trPr>
          <w:cantSplit/>
        </w:trPr>
        <w:tc>
          <w:tcPr>
            <w:tcW w:w="1871" w:type="dxa"/>
            <w:tcMar>
              <w:top w:w="96" w:type="dxa"/>
              <w:left w:w="0" w:type="dxa"/>
              <w:bottom w:w="96" w:type="dxa"/>
              <w:right w:w="0" w:type="dxa"/>
            </w:tcMar>
            <w:hideMark/>
          </w:tcPr>
          <w:p w14:paraId="7DE3A511" w14:textId="77777777" w:rsidR="0012709E" w:rsidRDefault="0012709E" w:rsidP="003D4044">
            <w:pPr>
              <w:pStyle w:val="TableSideHeading"/>
              <w:rPr>
                <w:sz w:val="26"/>
                <w:rtl/>
              </w:rPr>
            </w:pPr>
            <w:r>
              <w:rPr>
                <w:rFonts w:hint="cs"/>
                <w:sz w:val="26"/>
                <w:rtl/>
              </w:rPr>
              <w:t>הוספת פרק ה'3א</w:t>
            </w:r>
          </w:p>
        </w:tc>
        <w:tc>
          <w:tcPr>
            <w:tcW w:w="622" w:type="dxa"/>
            <w:tcMar>
              <w:top w:w="96" w:type="dxa"/>
              <w:left w:w="0" w:type="dxa"/>
              <w:bottom w:w="96" w:type="dxa"/>
              <w:right w:w="0" w:type="dxa"/>
            </w:tcMar>
            <w:hideMark/>
          </w:tcPr>
          <w:p w14:paraId="214088FF" w14:textId="77777777" w:rsidR="0012709E" w:rsidRDefault="0012709E" w:rsidP="003D4044">
            <w:pPr>
              <w:pStyle w:val="TableText"/>
              <w:rPr>
                <w:sz w:val="26"/>
                <w:rtl/>
              </w:rPr>
            </w:pPr>
            <w:r>
              <w:rPr>
                <w:rFonts w:hint="cs"/>
                <w:sz w:val="26"/>
                <w:rtl/>
              </w:rPr>
              <w:t>2.</w:t>
            </w:r>
            <w:r>
              <w:rPr>
                <w:rFonts w:hint="cs"/>
                <w:sz w:val="26"/>
                <w:rtl/>
              </w:rPr>
              <w:tab/>
            </w:r>
          </w:p>
        </w:tc>
        <w:tc>
          <w:tcPr>
            <w:tcW w:w="7145" w:type="dxa"/>
            <w:gridSpan w:val="7"/>
            <w:tcMar>
              <w:top w:w="96" w:type="dxa"/>
              <w:left w:w="0" w:type="dxa"/>
              <w:bottom w:w="96" w:type="dxa"/>
              <w:right w:w="0" w:type="dxa"/>
            </w:tcMar>
            <w:hideMark/>
          </w:tcPr>
          <w:p w14:paraId="43D45004" w14:textId="77777777" w:rsidR="0012709E" w:rsidRDefault="0012709E" w:rsidP="0012709E">
            <w:pPr>
              <w:pStyle w:val="TableBlock"/>
              <w:rPr>
                <w:sz w:val="26"/>
                <w:rtl/>
              </w:rPr>
            </w:pPr>
            <w:r>
              <w:rPr>
                <w:rFonts w:hint="cs"/>
                <w:sz w:val="26"/>
                <w:rtl/>
              </w:rPr>
              <w:t>אחרי סעיף 35לג לחוק העיקרי יבוא:</w:t>
            </w:r>
          </w:p>
        </w:tc>
      </w:tr>
      <w:tr w:rsidR="0012709E" w14:paraId="56BFF479" w14:textId="77777777" w:rsidTr="0012709E">
        <w:trPr>
          <w:cantSplit/>
        </w:trPr>
        <w:tc>
          <w:tcPr>
            <w:tcW w:w="1871" w:type="dxa"/>
            <w:tcMar>
              <w:top w:w="91" w:type="dxa"/>
              <w:left w:w="0" w:type="dxa"/>
              <w:bottom w:w="91" w:type="dxa"/>
              <w:right w:w="0" w:type="dxa"/>
            </w:tcMar>
          </w:tcPr>
          <w:p w14:paraId="1D17D9B5" w14:textId="77777777" w:rsidR="0012709E" w:rsidRDefault="0012709E" w:rsidP="003D4044">
            <w:pPr>
              <w:pStyle w:val="TableSideHeading"/>
              <w:rPr>
                <w:sz w:val="26"/>
                <w:rtl/>
              </w:rPr>
            </w:pPr>
          </w:p>
        </w:tc>
        <w:tc>
          <w:tcPr>
            <w:tcW w:w="622" w:type="dxa"/>
            <w:tcMar>
              <w:top w:w="91" w:type="dxa"/>
              <w:left w:w="0" w:type="dxa"/>
              <w:bottom w:w="91" w:type="dxa"/>
              <w:right w:w="0" w:type="dxa"/>
            </w:tcMar>
          </w:tcPr>
          <w:p w14:paraId="3707B87D" w14:textId="77777777" w:rsidR="0012709E" w:rsidRDefault="0012709E" w:rsidP="003D4044">
            <w:pPr>
              <w:pStyle w:val="TableText"/>
              <w:rPr>
                <w:sz w:val="26"/>
                <w:rtl/>
              </w:rPr>
            </w:pPr>
          </w:p>
        </w:tc>
        <w:tc>
          <w:tcPr>
            <w:tcW w:w="7145" w:type="dxa"/>
            <w:gridSpan w:val="7"/>
            <w:tcMar>
              <w:top w:w="91" w:type="dxa"/>
              <w:left w:w="0" w:type="dxa"/>
              <w:bottom w:w="91" w:type="dxa"/>
              <w:right w:w="0" w:type="dxa"/>
            </w:tcMar>
            <w:hideMark/>
          </w:tcPr>
          <w:p w14:paraId="3E3D750B" w14:textId="77777777" w:rsidR="0012709E" w:rsidRDefault="0012709E" w:rsidP="0012709E">
            <w:pPr>
              <w:pStyle w:val="TableHead"/>
              <w:rPr>
                <w:sz w:val="26"/>
                <w:rtl/>
              </w:rPr>
            </w:pPr>
            <w:r>
              <w:rPr>
                <w:rFonts w:hint="cs"/>
                <w:sz w:val="26"/>
                <w:rtl/>
              </w:rPr>
              <w:t>"פרק ה'3א: רישום למסחר על ידי בורסה של מניות תאגיד הנסחרות בבורסה זרה</w:t>
            </w:r>
          </w:p>
        </w:tc>
      </w:tr>
      <w:tr w:rsidR="0012709E" w14:paraId="36558D8D" w14:textId="77777777" w:rsidTr="0012709E">
        <w:trPr>
          <w:cantSplit/>
        </w:trPr>
        <w:tc>
          <w:tcPr>
            <w:tcW w:w="1871" w:type="dxa"/>
            <w:tcMar>
              <w:top w:w="91" w:type="dxa"/>
              <w:left w:w="0" w:type="dxa"/>
              <w:bottom w:w="91" w:type="dxa"/>
              <w:right w:w="0" w:type="dxa"/>
            </w:tcMar>
          </w:tcPr>
          <w:p w14:paraId="1D1298C1" w14:textId="77777777" w:rsidR="0012709E" w:rsidRDefault="0012709E" w:rsidP="003D4044">
            <w:pPr>
              <w:pStyle w:val="TableSideHeading"/>
              <w:rPr>
                <w:sz w:val="26"/>
                <w:rtl/>
              </w:rPr>
            </w:pPr>
          </w:p>
        </w:tc>
        <w:tc>
          <w:tcPr>
            <w:tcW w:w="622" w:type="dxa"/>
            <w:tcMar>
              <w:top w:w="91" w:type="dxa"/>
              <w:left w:w="0" w:type="dxa"/>
              <w:bottom w:w="91" w:type="dxa"/>
              <w:right w:w="0" w:type="dxa"/>
            </w:tcMar>
          </w:tcPr>
          <w:p w14:paraId="6D7AF2EF" w14:textId="77777777" w:rsidR="0012709E" w:rsidRDefault="0012709E" w:rsidP="003D4044">
            <w:pPr>
              <w:pStyle w:val="TableText"/>
              <w:rPr>
                <w:sz w:val="26"/>
                <w:rtl/>
              </w:rPr>
            </w:pPr>
          </w:p>
        </w:tc>
        <w:tc>
          <w:tcPr>
            <w:tcW w:w="1871" w:type="dxa"/>
            <w:gridSpan w:val="3"/>
            <w:tcMar>
              <w:top w:w="91" w:type="dxa"/>
              <w:left w:w="0" w:type="dxa"/>
              <w:bottom w:w="91" w:type="dxa"/>
              <w:right w:w="0" w:type="dxa"/>
            </w:tcMar>
            <w:hideMark/>
          </w:tcPr>
          <w:p w14:paraId="20C6BE53" w14:textId="77777777" w:rsidR="0012709E" w:rsidRDefault="0012709E" w:rsidP="003D4044">
            <w:pPr>
              <w:pStyle w:val="TableInnerSideHeading"/>
              <w:rPr>
                <w:sz w:val="26"/>
                <w:rtl/>
              </w:rPr>
            </w:pPr>
            <w:r>
              <w:rPr>
                <w:rFonts w:hint="cs"/>
                <w:sz w:val="26"/>
                <w:rtl/>
              </w:rPr>
              <w:t>תנאים לרישום למסחר על ידי בורסה של מניות תאגיד הנסחרות בבורסה זרה</w:t>
            </w:r>
          </w:p>
        </w:tc>
        <w:tc>
          <w:tcPr>
            <w:tcW w:w="624" w:type="dxa"/>
            <w:tcMar>
              <w:top w:w="91" w:type="dxa"/>
              <w:left w:w="0" w:type="dxa"/>
              <w:bottom w:w="91" w:type="dxa"/>
              <w:right w:w="0" w:type="dxa"/>
            </w:tcMar>
            <w:hideMark/>
          </w:tcPr>
          <w:p w14:paraId="0380479A" w14:textId="77777777" w:rsidR="0012709E" w:rsidRDefault="0012709E" w:rsidP="003D4044">
            <w:pPr>
              <w:pStyle w:val="TableText"/>
              <w:ind w:right="0"/>
              <w:jc w:val="both"/>
              <w:rPr>
                <w:rtl/>
              </w:rPr>
            </w:pPr>
            <w:r>
              <w:rPr>
                <w:rFonts w:hint="cs"/>
                <w:rtl/>
              </w:rPr>
              <w:t>35לג1</w:t>
            </w:r>
            <w:r>
              <w:rPr>
                <w:rFonts w:hint="cs"/>
                <w:sz w:val="24"/>
                <w:szCs w:val="24"/>
                <w:rtl/>
              </w:rPr>
              <w:t>.</w:t>
            </w:r>
          </w:p>
        </w:tc>
        <w:tc>
          <w:tcPr>
            <w:tcW w:w="4650" w:type="dxa"/>
            <w:gridSpan w:val="3"/>
            <w:tcMar>
              <w:top w:w="91" w:type="dxa"/>
              <w:left w:w="0" w:type="dxa"/>
              <w:bottom w:w="91" w:type="dxa"/>
              <w:right w:w="0" w:type="dxa"/>
            </w:tcMar>
            <w:hideMark/>
          </w:tcPr>
          <w:p w14:paraId="6B47A36D" w14:textId="77777777" w:rsidR="0012709E" w:rsidRDefault="0012709E" w:rsidP="0012709E">
            <w:pPr>
              <w:pStyle w:val="TableBlock"/>
              <w:rPr>
                <w:sz w:val="26"/>
                <w:rtl/>
              </w:rPr>
            </w:pPr>
            <w:r>
              <w:rPr>
                <w:rFonts w:hint="cs"/>
                <w:sz w:val="26"/>
                <w:rtl/>
              </w:rPr>
              <w:t>(א)</w:t>
            </w:r>
            <w:r>
              <w:rPr>
                <w:rFonts w:hint="cs"/>
                <w:sz w:val="26"/>
                <w:rtl/>
              </w:rPr>
              <w:tab/>
              <w:t>בורסה רשאית לרשום למסחר מניות של תאגיד שהתאגד מחוץ לישראל, אם מתקיימים במועד הרישום כל אלה:</w:t>
            </w:r>
          </w:p>
        </w:tc>
      </w:tr>
      <w:tr w:rsidR="0012709E" w14:paraId="59415E10" w14:textId="77777777" w:rsidTr="0012709E">
        <w:trPr>
          <w:cantSplit/>
        </w:trPr>
        <w:tc>
          <w:tcPr>
            <w:tcW w:w="1871" w:type="dxa"/>
          </w:tcPr>
          <w:p w14:paraId="0B2424EE" w14:textId="77777777" w:rsidR="0012709E" w:rsidRDefault="0012709E" w:rsidP="003D4044">
            <w:pPr>
              <w:pStyle w:val="TableSideHeading"/>
              <w:rPr>
                <w:rtl/>
              </w:rPr>
            </w:pPr>
          </w:p>
        </w:tc>
        <w:tc>
          <w:tcPr>
            <w:tcW w:w="622" w:type="dxa"/>
          </w:tcPr>
          <w:p w14:paraId="04A9759D" w14:textId="77777777" w:rsidR="0012709E" w:rsidRDefault="0012709E" w:rsidP="003D4044">
            <w:pPr>
              <w:pStyle w:val="TableText"/>
            </w:pPr>
          </w:p>
        </w:tc>
        <w:tc>
          <w:tcPr>
            <w:tcW w:w="623" w:type="dxa"/>
          </w:tcPr>
          <w:p w14:paraId="7411AF85" w14:textId="77777777" w:rsidR="0012709E" w:rsidRDefault="0012709E" w:rsidP="003D4044">
            <w:pPr>
              <w:pStyle w:val="TableText"/>
            </w:pPr>
          </w:p>
        </w:tc>
        <w:tc>
          <w:tcPr>
            <w:tcW w:w="624" w:type="dxa"/>
          </w:tcPr>
          <w:p w14:paraId="658776F4" w14:textId="77777777" w:rsidR="0012709E" w:rsidRDefault="0012709E" w:rsidP="003D4044">
            <w:pPr>
              <w:pStyle w:val="TableText"/>
            </w:pPr>
          </w:p>
        </w:tc>
        <w:tc>
          <w:tcPr>
            <w:tcW w:w="624" w:type="dxa"/>
          </w:tcPr>
          <w:p w14:paraId="18EB4F60" w14:textId="77777777" w:rsidR="0012709E" w:rsidRDefault="0012709E" w:rsidP="003D4044">
            <w:pPr>
              <w:pStyle w:val="TableText"/>
            </w:pPr>
          </w:p>
        </w:tc>
        <w:tc>
          <w:tcPr>
            <w:tcW w:w="624" w:type="dxa"/>
          </w:tcPr>
          <w:p w14:paraId="1650DC76" w14:textId="77777777" w:rsidR="0012709E" w:rsidRDefault="0012709E" w:rsidP="003D4044">
            <w:pPr>
              <w:pStyle w:val="TableText"/>
            </w:pPr>
          </w:p>
        </w:tc>
        <w:tc>
          <w:tcPr>
            <w:tcW w:w="624" w:type="dxa"/>
          </w:tcPr>
          <w:p w14:paraId="37265264" w14:textId="77777777" w:rsidR="0012709E" w:rsidRDefault="0012709E" w:rsidP="003D4044">
            <w:pPr>
              <w:pStyle w:val="TableText"/>
            </w:pPr>
          </w:p>
        </w:tc>
        <w:tc>
          <w:tcPr>
            <w:tcW w:w="4026" w:type="dxa"/>
            <w:gridSpan w:val="2"/>
            <w:hideMark/>
          </w:tcPr>
          <w:p w14:paraId="543390A8" w14:textId="77777777" w:rsidR="0012709E" w:rsidRDefault="0012709E" w:rsidP="0012709E">
            <w:pPr>
              <w:pStyle w:val="TableBlock"/>
              <w:rPr>
                <w:sz w:val="26"/>
              </w:rPr>
            </w:pPr>
            <w:r>
              <w:rPr>
                <w:rFonts w:hint="cs"/>
                <w:sz w:val="26"/>
                <w:rtl/>
              </w:rPr>
              <w:t>(1)</w:t>
            </w:r>
            <w:r>
              <w:rPr>
                <w:rFonts w:hint="cs"/>
                <w:sz w:val="26"/>
                <w:rtl/>
              </w:rPr>
              <w:tab/>
              <w:t>המניות רשומות למסחר בבורסה לניירות ערך המנויה בתוספת השנייה א' (בפרק זה – בורסה זרה);</w:t>
            </w:r>
          </w:p>
        </w:tc>
      </w:tr>
      <w:tr w:rsidR="0012709E" w14:paraId="117A355A" w14:textId="77777777" w:rsidTr="0012709E">
        <w:trPr>
          <w:cantSplit/>
        </w:trPr>
        <w:tc>
          <w:tcPr>
            <w:tcW w:w="1871" w:type="dxa"/>
            <w:tcMar>
              <w:top w:w="91" w:type="dxa"/>
              <w:left w:w="0" w:type="dxa"/>
              <w:bottom w:w="91" w:type="dxa"/>
              <w:right w:w="0" w:type="dxa"/>
            </w:tcMar>
          </w:tcPr>
          <w:p w14:paraId="3BC26E45" w14:textId="77777777" w:rsidR="0012709E" w:rsidRDefault="0012709E" w:rsidP="003D4044">
            <w:pPr>
              <w:pStyle w:val="TableSideHeading"/>
              <w:rPr>
                <w:sz w:val="26"/>
                <w:rtl/>
              </w:rPr>
            </w:pPr>
          </w:p>
        </w:tc>
        <w:tc>
          <w:tcPr>
            <w:tcW w:w="622" w:type="dxa"/>
            <w:tcMar>
              <w:top w:w="91" w:type="dxa"/>
              <w:left w:w="0" w:type="dxa"/>
              <w:bottom w:w="91" w:type="dxa"/>
              <w:right w:w="0" w:type="dxa"/>
            </w:tcMar>
          </w:tcPr>
          <w:p w14:paraId="2D0D1A78" w14:textId="77777777" w:rsidR="0012709E" w:rsidRDefault="0012709E" w:rsidP="003D4044">
            <w:pPr>
              <w:pStyle w:val="TableText"/>
              <w:rPr>
                <w:sz w:val="26"/>
                <w:rtl/>
              </w:rPr>
            </w:pPr>
          </w:p>
        </w:tc>
        <w:tc>
          <w:tcPr>
            <w:tcW w:w="623" w:type="dxa"/>
            <w:tcMar>
              <w:top w:w="91" w:type="dxa"/>
              <w:left w:w="0" w:type="dxa"/>
              <w:bottom w:w="91" w:type="dxa"/>
              <w:right w:w="0" w:type="dxa"/>
            </w:tcMar>
          </w:tcPr>
          <w:p w14:paraId="6ABD396B" w14:textId="77777777" w:rsidR="0012709E" w:rsidRDefault="0012709E" w:rsidP="003D4044">
            <w:pPr>
              <w:pStyle w:val="TableText"/>
              <w:rPr>
                <w:sz w:val="26"/>
                <w:rtl/>
              </w:rPr>
            </w:pPr>
          </w:p>
        </w:tc>
        <w:tc>
          <w:tcPr>
            <w:tcW w:w="624" w:type="dxa"/>
            <w:tcMar>
              <w:top w:w="91" w:type="dxa"/>
              <w:left w:w="0" w:type="dxa"/>
              <w:bottom w:w="91" w:type="dxa"/>
              <w:right w:w="0" w:type="dxa"/>
            </w:tcMar>
          </w:tcPr>
          <w:p w14:paraId="7850B72D" w14:textId="77777777" w:rsidR="0012709E" w:rsidRDefault="0012709E" w:rsidP="003D4044">
            <w:pPr>
              <w:pStyle w:val="TableText"/>
              <w:rPr>
                <w:sz w:val="26"/>
                <w:rtl/>
              </w:rPr>
            </w:pPr>
          </w:p>
        </w:tc>
        <w:tc>
          <w:tcPr>
            <w:tcW w:w="624" w:type="dxa"/>
            <w:tcMar>
              <w:top w:w="91" w:type="dxa"/>
              <w:left w:w="0" w:type="dxa"/>
              <w:bottom w:w="91" w:type="dxa"/>
              <w:right w:w="0" w:type="dxa"/>
            </w:tcMar>
          </w:tcPr>
          <w:p w14:paraId="4B903C79" w14:textId="77777777" w:rsidR="0012709E" w:rsidRDefault="0012709E" w:rsidP="003D4044">
            <w:pPr>
              <w:pStyle w:val="TableText"/>
              <w:rPr>
                <w:sz w:val="26"/>
                <w:rtl/>
              </w:rPr>
            </w:pPr>
          </w:p>
        </w:tc>
        <w:tc>
          <w:tcPr>
            <w:tcW w:w="624" w:type="dxa"/>
            <w:tcMar>
              <w:top w:w="91" w:type="dxa"/>
              <w:left w:w="0" w:type="dxa"/>
              <w:bottom w:w="91" w:type="dxa"/>
              <w:right w:w="0" w:type="dxa"/>
            </w:tcMar>
          </w:tcPr>
          <w:p w14:paraId="776CC2FF" w14:textId="77777777" w:rsidR="0012709E" w:rsidRDefault="0012709E" w:rsidP="003D4044">
            <w:pPr>
              <w:pStyle w:val="TableText"/>
              <w:rPr>
                <w:sz w:val="26"/>
                <w:rtl/>
              </w:rPr>
            </w:pPr>
          </w:p>
        </w:tc>
        <w:tc>
          <w:tcPr>
            <w:tcW w:w="624" w:type="dxa"/>
            <w:tcMar>
              <w:top w:w="91" w:type="dxa"/>
              <w:left w:w="0" w:type="dxa"/>
              <w:bottom w:w="91" w:type="dxa"/>
              <w:right w:w="0" w:type="dxa"/>
            </w:tcMar>
          </w:tcPr>
          <w:p w14:paraId="2281B70F" w14:textId="77777777" w:rsidR="0012709E" w:rsidRDefault="0012709E" w:rsidP="003D4044">
            <w:pPr>
              <w:pStyle w:val="TableText"/>
              <w:rPr>
                <w:sz w:val="26"/>
                <w:rtl/>
              </w:rPr>
            </w:pPr>
          </w:p>
        </w:tc>
        <w:tc>
          <w:tcPr>
            <w:tcW w:w="4026" w:type="dxa"/>
            <w:gridSpan w:val="2"/>
            <w:tcMar>
              <w:top w:w="91" w:type="dxa"/>
              <w:left w:w="0" w:type="dxa"/>
              <w:bottom w:w="91" w:type="dxa"/>
              <w:right w:w="0" w:type="dxa"/>
            </w:tcMar>
            <w:hideMark/>
          </w:tcPr>
          <w:p w14:paraId="65588F31" w14:textId="77777777" w:rsidR="0012709E" w:rsidRDefault="0012709E" w:rsidP="0012709E">
            <w:pPr>
              <w:pStyle w:val="TableBlock"/>
              <w:rPr>
                <w:sz w:val="26"/>
                <w:rtl/>
              </w:rPr>
            </w:pPr>
            <w:r>
              <w:rPr>
                <w:rFonts w:hint="cs"/>
                <w:sz w:val="26"/>
                <w:rtl/>
              </w:rPr>
              <w:t>(2)</w:t>
            </w:r>
            <w:r>
              <w:rPr>
                <w:rFonts w:hint="cs"/>
                <w:sz w:val="26"/>
                <w:rtl/>
              </w:rPr>
              <w:tab/>
              <w:t xml:space="preserve">אין לתאגיד זיקה של ממש לישראל; לעניין זה, יראו תאגיד כתאגיד שאין לו זיקה של ממש לישראל אם מתקיימים לגביו, בין השאר, כל אלה, על פי הדיווחים שהתאגיד חב בהם לפי הדין הזר שחל עליו: </w:t>
            </w:r>
          </w:p>
        </w:tc>
      </w:tr>
      <w:tr w:rsidR="0012709E" w14:paraId="1BA44637" w14:textId="77777777" w:rsidTr="0012709E">
        <w:trPr>
          <w:cantSplit/>
        </w:trPr>
        <w:tc>
          <w:tcPr>
            <w:tcW w:w="1871" w:type="dxa"/>
            <w:tcMar>
              <w:top w:w="91" w:type="dxa"/>
              <w:left w:w="0" w:type="dxa"/>
              <w:bottom w:w="91" w:type="dxa"/>
              <w:right w:w="0" w:type="dxa"/>
            </w:tcMar>
          </w:tcPr>
          <w:p w14:paraId="185D7C6A" w14:textId="77777777" w:rsidR="0012709E" w:rsidRDefault="0012709E" w:rsidP="003D4044">
            <w:pPr>
              <w:pStyle w:val="TableSideHeading"/>
              <w:rPr>
                <w:sz w:val="26"/>
                <w:rtl/>
              </w:rPr>
            </w:pPr>
          </w:p>
        </w:tc>
        <w:tc>
          <w:tcPr>
            <w:tcW w:w="622" w:type="dxa"/>
            <w:tcMar>
              <w:top w:w="91" w:type="dxa"/>
              <w:left w:w="0" w:type="dxa"/>
              <w:bottom w:w="91" w:type="dxa"/>
              <w:right w:w="0" w:type="dxa"/>
            </w:tcMar>
          </w:tcPr>
          <w:p w14:paraId="557AA342" w14:textId="77777777" w:rsidR="0012709E" w:rsidRDefault="0012709E" w:rsidP="003D4044">
            <w:pPr>
              <w:pStyle w:val="TableText"/>
              <w:rPr>
                <w:sz w:val="26"/>
                <w:rtl/>
              </w:rPr>
            </w:pPr>
          </w:p>
        </w:tc>
        <w:tc>
          <w:tcPr>
            <w:tcW w:w="623" w:type="dxa"/>
            <w:tcMar>
              <w:top w:w="91" w:type="dxa"/>
              <w:left w:w="0" w:type="dxa"/>
              <w:bottom w:w="91" w:type="dxa"/>
              <w:right w:w="0" w:type="dxa"/>
            </w:tcMar>
          </w:tcPr>
          <w:p w14:paraId="5CD5F005" w14:textId="77777777" w:rsidR="0012709E" w:rsidRDefault="0012709E" w:rsidP="003D4044">
            <w:pPr>
              <w:pStyle w:val="TableText"/>
              <w:rPr>
                <w:sz w:val="26"/>
                <w:rtl/>
              </w:rPr>
            </w:pPr>
          </w:p>
        </w:tc>
        <w:tc>
          <w:tcPr>
            <w:tcW w:w="624" w:type="dxa"/>
            <w:tcMar>
              <w:top w:w="91" w:type="dxa"/>
              <w:left w:w="0" w:type="dxa"/>
              <w:bottom w:w="91" w:type="dxa"/>
              <w:right w:w="0" w:type="dxa"/>
            </w:tcMar>
          </w:tcPr>
          <w:p w14:paraId="1665CFE1" w14:textId="77777777" w:rsidR="0012709E" w:rsidRDefault="0012709E" w:rsidP="003D4044">
            <w:pPr>
              <w:pStyle w:val="TableText"/>
              <w:rPr>
                <w:sz w:val="26"/>
                <w:rtl/>
              </w:rPr>
            </w:pPr>
          </w:p>
        </w:tc>
        <w:tc>
          <w:tcPr>
            <w:tcW w:w="624" w:type="dxa"/>
            <w:tcMar>
              <w:top w:w="91" w:type="dxa"/>
              <w:left w:w="0" w:type="dxa"/>
              <w:bottom w:w="91" w:type="dxa"/>
              <w:right w:w="0" w:type="dxa"/>
            </w:tcMar>
          </w:tcPr>
          <w:p w14:paraId="5AE498F8" w14:textId="77777777" w:rsidR="0012709E" w:rsidRDefault="0012709E" w:rsidP="003D4044">
            <w:pPr>
              <w:pStyle w:val="TableText"/>
              <w:rPr>
                <w:sz w:val="26"/>
                <w:rtl/>
              </w:rPr>
            </w:pPr>
          </w:p>
        </w:tc>
        <w:tc>
          <w:tcPr>
            <w:tcW w:w="624" w:type="dxa"/>
            <w:tcMar>
              <w:top w:w="91" w:type="dxa"/>
              <w:left w:w="0" w:type="dxa"/>
              <w:bottom w:w="91" w:type="dxa"/>
              <w:right w:w="0" w:type="dxa"/>
            </w:tcMar>
          </w:tcPr>
          <w:p w14:paraId="0ECD3EB5" w14:textId="77777777" w:rsidR="0012709E" w:rsidRDefault="0012709E" w:rsidP="003D4044">
            <w:pPr>
              <w:pStyle w:val="TableText"/>
              <w:rPr>
                <w:sz w:val="26"/>
                <w:rtl/>
              </w:rPr>
            </w:pPr>
          </w:p>
        </w:tc>
        <w:tc>
          <w:tcPr>
            <w:tcW w:w="624" w:type="dxa"/>
            <w:tcMar>
              <w:top w:w="91" w:type="dxa"/>
              <w:left w:w="0" w:type="dxa"/>
              <w:bottom w:w="91" w:type="dxa"/>
              <w:right w:w="0" w:type="dxa"/>
            </w:tcMar>
          </w:tcPr>
          <w:p w14:paraId="72EB6CB5" w14:textId="77777777" w:rsidR="0012709E" w:rsidRDefault="0012709E" w:rsidP="003D4044">
            <w:pPr>
              <w:pStyle w:val="TableText"/>
              <w:rPr>
                <w:sz w:val="26"/>
                <w:rtl/>
              </w:rPr>
            </w:pPr>
          </w:p>
        </w:tc>
        <w:tc>
          <w:tcPr>
            <w:tcW w:w="624" w:type="dxa"/>
            <w:tcMar>
              <w:top w:w="91" w:type="dxa"/>
              <w:left w:w="0" w:type="dxa"/>
              <w:bottom w:w="91" w:type="dxa"/>
              <w:right w:w="0" w:type="dxa"/>
            </w:tcMar>
          </w:tcPr>
          <w:p w14:paraId="4CB65C7B" w14:textId="77777777" w:rsidR="0012709E" w:rsidRDefault="0012709E" w:rsidP="003D4044">
            <w:pPr>
              <w:pStyle w:val="TableText"/>
              <w:rPr>
                <w:sz w:val="26"/>
                <w:rtl/>
              </w:rPr>
            </w:pPr>
          </w:p>
        </w:tc>
        <w:tc>
          <w:tcPr>
            <w:tcW w:w="3402" w:type="dxa"/>
            <w:tcMar>
              <w:top w:w="91" w:type="dxa"/>
              <w:left w:w="0" w:type="dxa"/>
              <w:bottom w:w="91" w:type="dxa"/>
              <w:right w:w="0" w:type="dxa"/>
            </w:tcMar>
            <w:hideMark/>
          </w:tcPr>
          <w:p w14:paraId="0B06B6ED" w14:textId="77777777" w:rsidR="0012709E" w:rsidRDefault="0012709E" w:rsidP="0012709E">
            <w:pPr>
              <w:pStyle w:val="TableBlock"/>
              <w:rPr>
                <w:sz w:val="26"/>
                <w:rtl/>
              </w:rPr>
            </w:pPr>
            <w:r>
              <w:rPr>
                <w:rFonts w:hint="cs"/>
                <w:sz w:val="26"/>
                <w:rtl/>
              </w:rPr>
              <w:t>(א)</w:t>
            </w:r>
            <w:r>
              <w:rPr>
                <w:rFonts w:hint="cs"/>
                <w:sz w:val="26"/>
                <w:rtl/>
              </w:rPr>
              <w:tab/>
              <w:t>ניהול עסקיו, למעט פעילות כאמור שאינה מהותית, נעשה מחוץ לישראל;</w:t>
            </w:r>
          </w:p>
        </w:tc>
      </w:tr>
      <w:tr w:rsidR="0012709E" w14:paraId="1EB510C4" w14:textId="77777777" w:rsidTr="0012709E">
        <w:trPr>
          <w:cantSplit/>
        </w:trPr>
        <w:tc>
          <w:tcPr>
            <w:tcW w:w="1871" w:type="dxa"/>
            <w:tcMar>
              <w:top w:w="91" w:type="dxa"/>
              <w:left w:w="0" w:type="dxa"/>
              <w:bottom w:w="91" w:type="dxa"/>
              <w:right w:w="0" w:type="dxa"/>
            </w:tcMar>
          </w:tcPr>
          <w:p w14:paraId="08267497" w14:textId="77777777" w:rsidR="0012709E" w:rsidRDefault="0012709E" w:rsidP="003D4044">
            <w:pPr>
              <w:pStyle w:val="TableSideHeading"/>
              <w:rPr>
                <w:sz w:val="26"/>
                <w:rtl/>
              </w:rPr>
            </w:pPr>
          </w:p>
        </w:tc>
        <w:tc>
          <w:tcPr>
            <w:tcW w:w="622" w:type="dxa"/>
            <w:tcMar>
              <w:top w:w="91" w:type="dxa"/>
              <w:left w:w="0" w:type="dxa"/>
              <w:bottom w:w="91" w:type="dxa"/>
              <w:right w:w="0" w:type="dxa"/>
            </w:tcMar>
          </w:tcPr>
          <w:p w14:paraId="465378B5" w14:textId="77777777" w:rsidR="0012709E" w:rsidRDefault="0012709E" w:rsidP="003D4044">
            <w:pPr>
              <w:pStyle w:val="TableText"/>
              <w:rPr>
                <w:sz w:val="26"/>
                <w:rtl/>
              </w:rPr>
            </w:pPr>
          </w:p>
        </w:tc>
        <w:tc>
          <w:tcPr>
            <w:tcW w:w="623" w:type="dxa"/>
            <w:tcMar>
              <w:top w:w="91" w:type="dxa"/>
              <w:left w:w="0" w:type="dxa"/>
              <w:bottom w:w="91" w:type="dxa"/>
              <w:right w:w="0" w:type="dxa"/>
            </w:tcMar>
          </w:tcPr>
          <w:p w14:paraId="0B4A85E8" w14:textId="77777777" w:rsidR="0012709E" w:rsidRDefault="0012709E" w:rsidP="003D4044">
            <w:pPr>
              <w:pStyle w:val="TableText"/>
              <w:rPr>
                <w:sz w:val="26"/>
                <w:rtl/>
              </w:rPr>
            </w:pPr>
          </w:p>
        </w:tc>
        <w:tc>
          <w:tcPr>
            <w:tcW w:w="624" w:type="dxa"/>
            <w:tcMar>
              <w:top w:w="91" w:type="dxa"/>
              <w:left w:w="0" w:type="dxa"/>
              <w:bottom w:w="91" w:type="dxa"/>
              <w:right w:w="0" w:type="dxa"/>
            </w:tcMar>
          </w:tcPr>
          <w:p w14:paraId="44FFDA11" w14:textId="77777777" w:rsidR="0012709E" w:rsidRDefault="0012709E" w:rsidP="003D4044">
            <w:pPr>
              <w:pStyle w:val="TableText"/>
              <w:rPr>
                <w:sz w:val="26"/>
                <w:rtl/>
              </w:rPr>
            </w:pPr>
          </w:p>
        </w:tc>
        <w:tc>
          <w:tcPr>
            <w:tcW w:w="624" w:type="dxa"/>
            <w:tcMar>
              <w:top w:w="91" w:type="dxa"/>
              <w:left w:w="0" w:type="dxa"/>
              <w:bottom w:w="91" w:type="dxa"/>
              <w:right w:w="0" w:type="dxa"/>
            </w:tcMar>
          </w:tcPr>
          <w:p w14:paraId="265D8E47" w14:textId="77777777" w:rsidR="0012709E" w:rsidRDefault="0012709E" w:rsidP="003D4044">
            <w:pPr>
              <w:pStyle w:val="TableText"/>
              <w:rPr>
                <w:sz w:val="26"/>
                <w:rtl/>
              </w:rPr>
            </w:pPr>
          </w:p>
        </w:tc>
        <w:tc>
          <w:tcPr>
            <w:tcW w:w="624" w:type="dxa"/>
            <w:tcMar>
              <w:top w:w="91" w:type="dxa"/>
              <w:left w:w="0" w:type="dxa"/>
              <w:bottom w:w="91" w:type="dxa"/>
              <w:right w:w="0" w:type="dxa"/>
            </w:tcMar>
          </w:tcPr>
          <w:p w14:paraId="6E27F3EF" w14:textId="77777777" w:rsidR="0012709E" w:rsidRDefault="0012709E" w:rsidP="003D4044">
            <w:pPr>
              <w:pStyle w:val="TableText"/>
              <w:rPr>
                <w:sz w:val="26"/>
                <w:rtl/>
              </w:rPr>
            </w:pPr>
          </w:p>
        </w:tc>
        <w:tc>
          <w:tcPr>
            <w:tcW w:w="624" w:type="dxa"/>
            <w:tcMar>
              <w:top w:w="91" w:type="dxa"/>
              <w:left w:w="0" w:type="dxa"/>
              <w:bottom w:w="91" w:type="dxa"/>
              <w:right w:w="0" w:type="dxa"/>
            </w:tcMar>
          </w:tcPr>
          <w:p w14:paraId="0DC6163B" w14:textId="77777777" w:rsidR="0012709E" w:rsidRDefault="0012709E" w:rsidP="003D4044">
            <w:pPr>
              <w:pStyle w:val="TableText"/>
              <w:rPr>
                <w:sz w:val="26"/>
                <w:rtl/>
              </w:rPr>
            </w:pPr>
          </w:p>
        </w:tc>
        <w:tc>
          <w:tcPr>
            <w:tcW w:w="624" w:type="dxa"/>
            <w:tcMar>
              <w:top w:w="91" w:type="dxa"/>
              <w:left w:w="0" w:type="dxa"/>
              <w:bottom w:w="91" w:type="dxa"/>
              <w:right w:w="0" w:type="dxa"/>
            </w:tcMar>
          </w:tcPr>
          <w:p w14:paraId="034F9966" w14:textId="77777777" w:rsidR="0012709E" w:rsidRDefault="0012709E" w:rsidP="003D4044">
            <w:pPr>
              <w:pStyle w:val="TableText"/>
              <w:rPr>
                <w:sz w:val="26"/>
                <w:rtl/>
              </w:rPr>
            </w:pPr>
          </w:p>
        </w:tc>
        <w:tc>
          <w:tcPr>
            <w:tcW w:w="3402" w:type="dxa"/>
            <w:tcMar>
              <w:top w:w="91" w:type="dxa"/>
              <w:left w:w="0" w:type="dxa"/>
              <w:bottom w:w="91" w:type="dxa"/>
              <w:right w:w="0" w:type="dxa"/>
            </w:tcMar>
            <w:hideMark/>
          </w:tcPr>
          <w:p w14:paraId="1FBC87DE" w14:textId="77777777" w:rsidR="0012709E" w:rsidRDefault="0012709E" w:rsidP="0012709E">
            <w:pPr>
              <w:pStyle w:val="TableBlock"/>
              <w:rPr>
                <w:sz w:val="26"/>
                <w:rtl/>
              </w:rPr>
            </w:pPr>
            <w:r>
              <w:rPr>
                <w:rFonts w:hint="cs"/>
                <w:sz w:val="26"/>
                <w:rtl/>
              </w:rPr>
              <w:t>(ב)</w:t>
            </w:r>
            <w:r>
              <w:rPr>
                <w:rFonts w:hint="cs"/>
                <w:sz w:val="26"/>
                <w:rtl/>
              </w:rPr>
              <w:tab/>
              <w:t>רוב חברי הדירקטוריון ורוב נושאי המשרה של התאגיד אינם תושבי ישראל;</w:t>
            </w:r>
          </w:p>
        </w:tc>
      </w:tr>
      <w:tr w:rsidR="0012709E" w14:paraId="5C05302F" w14:textId="77777777" w:rsidTr="0012709E">
        <w:trPr>
          <w:cantSplit/>
        </w:trPr>
        <w:tc>
          <w:tcPr>
            <w:tcW w:w="1871" w:type="dxa"/>
            <w:tcMar>
              <w:top w:w="91" w:type="dxa"/>
              <w:left w:w="0" w:type="dxa"/>
              <w:bottom w:w="91" w:type="dxa"/>
              <w:right w:w="0" w:type="dxa"/>
            </w:tcMar>
          </w:tcPr>
          <w:p w14:paraId="2350F3C4" w14:textId="77777777" w:rsidR="0012709E" w:rsidRDefault="0012709E" w:rsidP="003D4044">
            <w:pPr>
              <w:pStyle w:val="TableSideHeading"/>
              <w:rPr>
                <w:sz w:val="26"/>
                <w:rtl/>
              </w:rPr>
            </w:pPr>
          </w:p>
        </w:tc>
        <w:tc>
          <w:tcPr>
            <w:tcW w:w="622" w:type="dxa"/>
            <w:tcMar>
              <w:top w:w="91" w:type="dxa"/>
              <w:left w:w="0" w:type="dxa"/>
              <w:bottom w:w="91" w:type="dxa"/>
              <w:right w:w="0" w:type="dxa"/>
            </w:tcMar>
          </w:tcPr>
          <w:p w14:paraId="73A46165" w14:textId="77777777" w:rsidR="0012709E" w:rsidRDefault="0012709E" w:rsidP="003D4044">
            <w:pPr>
              <w:pStyle w:val="TableText"/>
              <w:rPr>
                <w:sz w:val="26"/>
                <w:rtl/>
              </w:rPr>
            </w:pPr>
          </w:p>
        </w:tc>
        <w:tc>
          <w:tcPr>
            <w:tcW w:w="623" w:type="dxa"/>
            <w:tcMar>
              <w:top w:w="91" w:type="dxa"/>
              <w:left w:w="0" w:type="dxa"/>
              <w:bottom w:w="91" w:type="dxa"/>
              <w:right w:w="0" w:type="dxa"/>
            </w:tcMar>
          </w:tcPr>
          <w:p w14:paraId="04394C91" w14:textId="77777777" w:rsidR="0012709E" w:rsidRDefault="0012709E" w:rsidP="003D4044">
            <w:pPr>
              <w:pStyle w:val="TableText"/>
              <w:rPr>
                <w:sz w:val="26"/>
                <w:rtl/>
              </w:rPr>
            </w:pPr>
          </w:p>
        </w:tc>
        <w:tc>
          <w:tcPr>
            <w:tcW w:w="624" w:type="dxa"/>
            <w:tcMar>
              <w:top w:w="91" w:type="dxa"/>
              <w:left w:w="0" w:type="dxa"/>
              <w:bottom w:w="91" w:type="dxa"/>
              <w:right w:w="0" w:type="dxa"/>
            </w:tcMar>
          </w:tcPr>
          <w:p w14:paraId="253B074E" w14:textId="77777777" w:rsidR="0012709E" w:rsidRDefault="0012709E" w:rsidP="003D4044">
            <w:pPr>
              <w:pStyle w:val="TableText"/>
              <w:rPr>
                <w:sz w:val="26"/>
                <w:rtl/>
              </w:rPr>
            </w:pPr>
          </w:p>
        </w:tc>
        <w:tc>
          <w:tcPr>
            <w:tcW w:w="624" w:type="dxa"/>
            <w:tcMar>
              <w:top w:w="91" w:type="dxa"/>
              <w:left w:w="0" w:type="dxa"/>
              <w:bottom w:w="91" w:type="dxa"/>
              <w:right w:w="0" w:type="dxa"/>
            </w:tcMar>
          </w:tcPr>
          <w:p w14:paraId="649410C1" w14:textId="77777777" w:rsidR="0012709E" w:rsidRDefault="0012709E" w:rsidP="003D4044">
            <w:pPr>
              <w:pStyle w:val="TableText"/>
              <w:rPr>
                <w:sz w:val="26"/>
                <w:rtl/>
              </w:rPr>
            </w:pPr>
          </w:p>
        </w:tc>
        <w:tc>
          <w:tcPr>
            <w:tcW w:w="624" w:type="dxa"/>
            <w:tcMar>
              <w:top w:w="91" w:type="dxa"/>
              <w:left w:w="0" w:type="dxa"/>
              <w:bottom w:w="91" w:type="dxa"/>
              <w:right w:w="0" w:type="dxa"/>
            </w:tcMar>
          </w:tcPr>
          <w:p w14:paraId="1F5398A7" w14:textId="77777777" w:rsidR="0012709E" w:rsidRDefault="0012709E" w:rsidP="003D4044">
            <w:pPr>
              <w:pStyle w:val="TableText"/>
              <w:rPr>
                <w:sz w:val="26"/>
                <w:rtl/>
              </w:rPr>
            </w:pPr>
          </w:p>
        </w:tc>
        <w:tc>
          <w:tcPr>
            <w:tcW w:w="624" w:type="dxa"/>
            <w:tcMar>
              <w:top w:w="91" w:type="dxa"/>
              <w:left w:w="0" w:type="dxa"/>
              <w:bottom w:w="91" w:type="dxa"/>
              <w:right w:w="0" w:type="dxa"/>
            </w:tcMar>
          </w:tcPr>
          <w:p w14:paraId="6513FEA8" w14:textId="77777777" w:rsidR="0012709E" w:rsidRDefault="0012709E" w:rsidP="003D4044">
            <w:pPr>
              <w:pStyle w:val="TableText"/>
              <w:rPr>
                <w:sz w:val="26"/>
                <w:rtl/>
              </w:rPr>
            </w:pPr>
          </w:p>
        </w:tc>
        <w:tc>
          <w:tcPr>
            <w:tcW w:w="624" w:type="dxa"/>
            <w:tcMar>
              <w:top w:w="91" w:type="dxa"/>
              <w:left w:w="0" w:type="dxa"/>
              <w:bottom w:w="91" w:type="dxa"/>
              <w:right w:w="0" w:type="dxa"/>
            </w:tcMar>
          </w:tcPr>
          <w:p w14:paraId="4B1D5184" w14:textId="77777777" w:rsidR="0012709E" w:rsidRDefault="0012709E" w:rsidP="003D4044">
            <w:pPr>
              <w:pStyle w:val="TableText"/>
              <w:rPr>
                <w:sz w:val="26"/>
                <w:rtl/>
              </w:rPr>
            </w:pPr>
          </w:p>
        </w:tc>
        <w:tc>
          <w:tcPr>
            <w:tcW w:w="3402" w:type="dxa"/>
            <w:tcMar>
              <w:top w:w="91" w:type="dxa"/>
              <w:left w:w="0" w:type="dxa"/>
              <w:bottom w:w="91" w:type="dxa"/>
              <w:right w:w="0" w:type="dxa"/>
            </w:tcMar>
            <w:hideMark/>
          </w:tcPr>
          <w:p w14:paraId="3ECD10AA" w14:textId="77777777" w:rsidR="0012709E" w:rsidRDefault="0012709E" w:rsidP="0012709E">
            <w:pPr>
              <w:pStyle w:val="TableBlock"/>
              <w:rPr>
                <w:sz w:val="26"/>
                <w:rtl/>
              </w:rPr>
            </w:pPr>
            <w:r>
              <w:rPr>
                <w:rFonts w:hint="cs"/>
                <w:sz w:val="26"/>
                <w:rtl/>
              </w:rPr>
              <w:t>(ג)</w:t>
            </w:r>
            <w:r>
              <w:rPr>
                <w:rFonts w:hint="cs"/>
                <w:sz w:val="26"/>
                <w:rtl/>
              </w:rPr>
              <w:tab/>
              <w:t>נכסי התאגיד, למעט נכסים שאינם נכסים מהותיים, נמצאים מחוץ לישראל;</w:t>
            </w:r>
          </w:p>
        </w:tc>
      </w:tr>
      <w:tr w:rsidR="0012709E" w14:paraId="7D54BE40" w14:textId="77777777" w:rsidTr="0012709E">
        <w:trPr>
          <w:cantSplit/>
        </w:trPr>
        <w:tc>
          <w:tcPr>
            <w:tcW w:w="1871" w:type="dxa"/>
            <w:tcMar>
              <w:top w:w="91" w:type="dxa"/>
              <w:left w:w="0" w:type="dxa"/>
              <w:bottom w:w="91" w:type="dxa"/>
              <w:right w:w="0" w:type="dxa"/>
            </w:tcMar>
          </w:tcPr>
          <w:p w14:paraId="4E166087" w14:textId="77777777" w:rsidR="0012709E" w:rsidRDefault="0012709E" w:rsidP="003D4044">
            <w:pPr>
              <w:pStyle w:val="TableSideHeading"/>
              <w:rPr>
                <w:sz w:val="26"/>
                <w:rtl/>
              </w:rPr>
            </w:pPr>
          </w:p>
        </w:tc>
        <w:tc>
          <w:tcPr>
            <w:tcW w:w="622" w:type="dxa"/>
            <w:tcMar>
              <w:top w:w="91" w:type="dxa"/>
              <w:left w:w="0" w:type="dxa"/>
              <w:bottom w:w="91" w:type="dxa"/>
              <w:right w:w="0" w:type="dxa"/>
            </w:tcMar>
          </w:tcPr>
          <w:p w14:paraId="4B81F2A2" w14:textId="77777777" w:rsidR="0012709E" w:rsidRDefault="0012709E" w:rsidP="003D4044">
            <w:pPr>
              <w:pStyle w:val="TableText"/>
              <w:rPr>
                <w:sz w:val="26"/>
                <w:rtl/>
              </w:rPr>
            </w:pPr>
          </w:p>
        </w:tc>
        <w:tc>
          <w:tcPr>
            <w:tcW w:w="623" w:type="dxa"/>
            <w:tcMar>
              <w:top w:w="91" w:type="dxa"/>
              <w:left w:w="0" w:type="dxa"/>
              <w:bottom w:w="91" w:type="dxa"/>
              <w:right w:w="0" w:type="dxa"/>
            </w:tcMar>
          </w:tcPr>
          <w:p w14:paraId="534617A7" w14:textId="77777777" w:rsidR="0012709E" w:rsidRDefault="0012709E" w:rsidP="003D4044">
            <w:pPr>
              <w:pStyle w:val="TableText"/>
              <w:rPr>
                <w:sz w:val="26"/>
                <w:rtl/>
              </w:rPr>
            </w:pPr>
          </w:p>
        </w:tc>
        <w:tc>
          <w:tcPr>
            <w:tcW w:w="624" w:type="dxa"/>
            <w:tcMar>
              <w:top w:w="91" w:type="dxa"/>
              <w:left w:w="0" w:type="dxa"/>
              <w:bottom w:w="91" w:type="dxa"/>
              <w:right w:w="0" w:type="dxa"/>
            </w:tcMar>
          </w:tcPr>
          <w:p w14:paraId="43064399" w14:textId="77777777" w:rsidR="0012709E" w:rsidRDefault="0012709E" w:rsidP="003D4044">
            <w:pPr>
              <w:pStyle w:val="TableText"/>
              <w:rPr>
                <w:sz w:val="26"/>
                <w:rtl/>
              </w:rPr>
            </w:pPr>
          </w:p>
        </w:tc>
        <w:tc>
          <w:tcPr>
            <w:tcW w:w="624" w:type="dxa"/>
            <w:tcMar>
              <w:top w:w="91" w:type="dxa"/>
              <w:left w:w="0" w:type="dxa"/>
              <w:bottom w:w="91" w:type="dxa"/>
              <w:right w:w="0" w:type="dxa"/>
            </w:tcMar>
          </w:tcPr>
          <w:p w14:paraId="625C2DEE" w14:textId="77777777" w:rsidR="0012709E" w:rsidRDefault="0012709E" w:rsidP="003D4044">
            <w:pPr>
              <w:pStyle w:val="TableText"/>
              <w:rPr>
                <w:sz w:val="26"/>
                <w:rtl/>
              </w:rPr>
            </w:pPr>
          </w:p>
        </w:tc>
        <w:tc>
          <w:tcPr>
            <w:tcW w:w="624" w:type="dxa"/>
            <w:tcMar>
              <w:top w:w="91" w:type="dxa"/>
              <w:left w:w="0" w:type="dxa"/>
              <w:bottom w:w="91" w:type="dxa"/>
              <w:right w:w="0" w:type="dxa"/>
            </w:tcMar>
          </w:tcPr>
          <w:p w14:paraId="055AEC24" w14:textId="77777777" w:rsidR="0012709E" w:rsidRDefault="0012709E" w:rsidP="003D4044">
            <w:pPr>
              <w:pStyle w:val="TableText"/>
              <w:rPr>
                <w:sz w:val="26"/>
                <w:rtl/>
              </w:rPr>
            </w:pPr>
          </w:p>
        </w:tc>
        <w:tc>
          <w:tcPr>
            <w:tcW w:w="624" w:type="dxa"/>
            <w:tcMar>
              <w:top w:w="91" w:type="dxa"/>
              <w:left w:w="0" w:type="dxa"/>
              <w:bottom w:w="91" w:type="dxa"/>
              <w:right w:w="0" w:type="dxa"/>
            </w:tcMar>
          </w:tcPr>
          <w:p w14:paraId="0C21CB0B" w14:textId="77777777" w:rsidR="0012709E" w:rsidRDefault="0012709E" w:rsidP="003D4044">
            <w:pPr>
              <w:pStyle w:val="TableText"/>
              <w:rPr>
                <w:sz w:val="26"/>
                <w:rtl/>
              </w:rPr>
            </w:pPr>
          </w:p>
        </w:tc>
        <w:tc>
          <w:tcPr>
            <w:tcW w:w="4026" w:type="dxa"/>
            <w:gridSpan w:val="2"/>
            <w:tcMar>
              <w:top w:w="91" w:type="dxa"/>
              <w:left w:w="0" w:type="dxa"/>
              <w:bottom w:w="91" w:type="dxa"/>
              <w:right w:w="0" w:type="dxa"/>
            </w:tcMar>
            <w:hideMark/>
          </w:tcPr>
          <w:p w14:paraId="07770DB0" w14:textId="77777777" w:rsidR="0012709E" w:rsidRDefault="0012709E" w:rsidP="0012709E">
            <w:pPr>
              <w:pStyle w:val="TableBlock"/>
              <w:rPr>
                <w:sz w:val="26"/>
                <w:rtl/>
              </w:rPr>
            </w:pPr>
            <w:r>
              <w:rPr>
                <w:rFonts w:hint="cs"/>
                <w:sz w:val="26"/>
                <w:rtl/>
              </w:rPr>
              <w:t>(3)</w:t>
            </w:r>
            <w:r>
              <w:rPr>
                <w:rFonts w:hint="cs"/>
                <w:sz w:val="26"/>
                <w:rtl/>
              </w:rPr>
              <w:tab/>
              <w:t xml:space="preserve">שווי שוק התאגיד עולה על 50 מיליארד דולר של ארצות הברית של אמריקה או על סכום אחר שקבע שר האוצר, בצו, לפי הצעת הרשות ובאישור ועדת הכספים של הכנסת; </w:t>
            </w:r>
            <w:r>
              <w:rPr>
                <w:rFonts w:hint="cs"/>
                <w:rtl/>
              </w:rPr>
              <w:t xml:space="preserve">לענין זה, "שווי שוק התאגיד" </w:t>
            </w:r>
            <w:r>
              <w:rPr>
                <w:rFonts w:hint="eastAsia"/>
                <w:rtl/>
              </w:rPr>
              <w:t>–</w:t>
            </w:r>
            <w:r>
              <w:rPr>
                <w:rFonts w:hint="cs"/>
                <w:rtl/>
              </w:rPr>
              <w:t xml:space="preserve"> כפי שתקבע </w:t>
            </w:r>
            <w:r w:rsidRPr="00311638">
              <w:rPr>
                <w:rFonts w:hint="eastAsia"/>
                <w:rtl/>
              </w:rPr>
              <w:t>ה</w:t>
            </w:r>
            <w:r>
              <w:rPr>
                <w:rFonts w:hint="cs"/>
                <w:rtl/>
              </w:rPr>
              <w:t>בורסה בתקנון או בהנחיות על פיו</w:t>
            </w:r>
            <w:r>
              <w:rPr>
                <w:rFonts w:hint="cs"/>
                <w:sz w:val="26"/>
                <w:rtl/>
              </w:rPr>
              <w:t>.</w:t>
            </w:r>
          </w:p>
        </w:tc>
      </w:tr>
      <w:tr w:rsidR="0012709E" w14:paraId="3231DB74" w14:textId="77777777" w:rsidTr="0012709E">
        <w:trPr>
          <w:cantSplit/>
        </w:trPr>
        <w:tc>
          <w:tcPr>
            <w:tcW w:w="1871" w:type="dxa"/>
            <w:tcMar>
              <w:top w:w="91" w:type="dxa"/>
              <w:left w:w="0" w:type="dxa"/>
              <w:bottom w:w="91" w:type="dxa"/>
              <w:right w:w="0" w:type="dxa"/>
            </w:tcMar>
          </w:tcPr>
          <w:p w14:paraId="371388A0" w14:textId="77777777" w:rsidR="0012709E" w:rsidRDefault="0012709E" w:rsidP="003D4044">
            <w:pPr>
              <w:pStyle w:val="TableSideHeading"/>
              <w:rPr>
                <w:sz w:val="26"/>
                <w:rtl/>
              </w:rPr>
            </w:pPr>
          </w:p>
        </w:tc>
        <w:tc>
          <w:tcPr>
            <w:tcW w:w="622" w:type="dxa"/>
            <w:tcMar>
              <w:top w:w="91" w:type="dxa"/>
              <w:left w:w="0" w:type="dxa"/>
              <w:bottom w:w="91" w:type="dxa"/>
              <w:right w:w="0" w:type="dxa"/>
            </w:tcMar>
          </w:tcPr>
          <w:p w14:paraId="036D20D8" w14:textId="77777777" w:rsidR="0012709E" w:rsidRDefault="0012709E" w:rsidP="003D4044">
            <w:pPr>
              <w:pStyle w:val="TableText"/>
              <w:rPr>
                <w:sz w:val="26"/>
                <w:rtl/>
              </w:rPr>
            </w:pPr>
          </w:p>
        </w:tc>
        <w:tc>
          <w:tcPr>
            <w:tcW w:w="623" w:type="dxa"/>
            <w:tcMar>
              <w:top w:w="91" w:type="dxa"/>
              <w:left w:w="0" w:type="dxa"/>
              <w:bottom w:w="91" w:type="dxa"/>
              <w:right w:w="0" w:type="dxa"/>
            </w:tcMar>
          </w:tcPr>
          <w:p w14:paraId="0C91B339" w14:textId="77777777" w:rsidR="0012709E" w:rsidRDefault="0012709E" w:rsidP="003D4044">
            <w:pPr>
              <w:pStyle w:val="TableText"/>
              <w:rPr>
                <w:sz w:val="26"/>
                <w:rtl/>
              </w:rPr>
            </w:pPr>
          </w:p>
        </w:tc>
        <w:tc>
          <w:tcPr>
            <w:tcW w:w="624" w:type="dxa"/>
            <w:tcMar>
              <w:top w:w="91" w:type="dxa"/>
              <w:left w:w="0" w:type="dxa"/>
              <w:bottom w:w="91" w:type="dxa"/>
              <w:right w:w="0" w:type="dxa"/>
            </w:tcMar>
          </w:tcPr>
          <w:p w14:paraId="4C954063" w14:textId="77777777" w:rsidR="0012709E" w:rsidRDefault="0012709E" w:rsidP="003D4044">
            <w:pPr>
              <w:pStyle w:val="TableText"/>
              <w:rPr>
                <w:sz w:val="26"/>
                <w:rtl/>
              </w:rPr>
            </w:pPr>
          </w:p>
        </w:tc>
        <w:tc>
          <w:tcPr>
            <w:tcW w:w="624" w:type="dxa"/>
            <w:tcMar>
              <w:top w:w="91" w:type="dxa"/>
              <w:left w:w="0" w:type="dxa"/>
              <w:bottom w:w="91" w:type="dxa"/>
              <w:right w:w="0" w:type="dxa"/>
            </w:tcMar>
          </w:tcPr>
          <w:p w14:paraId="14D3F607" w14:textId="77777777" w:rsidR="0012709E" w:rsidRDefault="0012709E" w:rsidP="003D4044">
            <w:pPr>
              <w:pStyle w:val="TableText"/>
              <w:rPr>
                <w:sz w:val="26"/>
                <w:rtl/>
              </w:rPr>
            </w:pPr>
          </w:p>
        </w:tc>
        <w:tc>
          <w:tcPr>
            <w:tcW w:w="624" w:type="dxa"/>
            <w:tcMar>
              <w:top w:w="91" w:type="dxa"/>
              <w:left w:w="0" w:type="dxa"/>
              <w:bottom w:w="91" w:type="dxa"/>
              <w:right w:w="0" w:type="dxa"/>
            </w:tcMar>
          </w:tcPr>
          <w:p w14:paraId="229218C7" w14:textId="77777777" w:rsidR="0012709E" w:rsidRDefault="0012709E" w:rsidP="003D4044">
            <w:pPr>
              <w:pStyle w:val="TableText"/>
              <w:rPr>
                <w:sz w:val="26"/>
                <w:rtl/>
              </w:rPr>
            </w:pPr>
          </w:p>
        </w:tc>
        <w:tc>
          <w:tcPr>
            <w:tcW w:w="4650" w:type="dxa"/>
            <w:gridSpan w:val="3"/>
            <w:tcMar>
              <w:top w:w="91" w:type="dxa"/>
              <w:left w:w="0" w:type="dxa"/>
              <w:bottom w:w="91" w:type="dxa"/>
              <w:right w:w="0" w:type="dxa"/>
            </w:tcMar>
            <w:hideMark/>
          </w:tcPr>
          <w:p w14:paraId="59CD408A" w14:textId="77777777" w:rsidR="0012709E" w:rsidRDefault="0012709E" w:rsidP="0012709E">
            <w:pPr>
              <w:pStyle w:val="TableBlock"/>
              <w:rPr>
                <w:sz w:val="26"/>
                <w:rtl/>
              </w:rPr>
            </w:pPr>
            <w:r>
              <w:rPr>
                <w:rFonts w:hint="cs"/>
                <w:sz w:val="26"/>
                <w:rtl/>
              </w:rPr>
              <w:t>(ב)</w:t>
            </w:r>
            <w:r>
              <w:rPr>
                <w:rFonts w:hint="cs"/>
                <w:sz w:val="26"/>
                <w:rtl/>
              </w:rPr>
              <w:tab/>
              <w:t>בורסה רשאית לרשום למסחר לפי סעיף זה את מניותיהם של 50 תאגידים לכל היותר, אלא אם כן קבע שר האוצר, בצו, לפי הצעת הרשות ובאישור ועדת הכספים של הכנסת, מספר גבוה יותר.</w:t>
            </w:r>
          </w:p>
        </w:tc>
      </w:tr>
      <w:tr w:rsidR="0012709E" w14:paraId="6AFE0375" w14:textId="77777777" w:rsidTr="0012709E">
        <w:trPr>
          <w:cantSplit/>
        </w:trPr>
        <w:tc>
          <w:tcPr>
            <w:tcW w:w="1871" w:type="dxa"/>
            <w:tcMar>
              <w:top w:w="91" w:type="dxa"/>
              <w:left w:w="0" w:type="dxa"/>
              <w:bottom w:w="91" w:type="dxa"/>
              <w:right w:w="0" w:type="dxa"/>
            </w:tcMar>
          </w:tcPr>
          <w:p w14:paraId="3DBCCB81" w14:textId="77777777" w:rsidR="0012709E" w:rsidRDefault="0012709E" w:rsidP="003D4044">
            <w:pPr>
              <w:pStyle w:val="TableSideHeading"/>
              <w:rPr>
                <w:sz w:val="26"/>
                <w:rtl/>
              </w:rPr>
            </w:pPr>
          </w:p>
        </w:tc>
        <w:tc>
          <w:tcPr>
            <w:tcW w:w="622" w:type="dxa"/>
            <w:tcMar>
              <w:top w:w="91" w:type="dxa"/>
              <w:left w:w="0" w:type="dxa"/>
              <w:bottom w:w="91" w:type="dxa"/>
              <w:right w:w="0" w:type="dxa"/>
            </w:tcMar>
          </w:tcPr>
          <w:p w14:paraId="0ED7EFF4" w14:textId="77777777" w:rsidR="0012709E" w:rsidRDefault="0012709E" w:rsidP="003D4044">
            <w:pPr>
              <w:pStyle w:val="TableText"/>
              <w:rPr>
                <w:sz w:val="26"/>
                <w:rtl/>
              </w:rPr>
            </w:pPr>
          </w:p>
        </w:tc>
        <w:tc>
          <w:tcPr>
            <w:tcW w:w="623" w:type="dxa"/>
            <w:tcMar>
              <w:top w:w="91" w:type="dxa"/>
              <w:left w:w="0" w:type="dxa"/>
              <w:bottom w:w="91" w:type="dxa"/>
              <w:right w:w="0" w:type="dxa"/>
            </w:tcMar>
          </w:tcPr>
          <w:p w14:paraId="0D1D2030" w14:textId="77777777" w:rsidR="0012709E" w:rsidRDefault="0012709E" w:rsidP="003D4044">
            <w:pPr>
              <w:pStyle w:val="TableText"/>
              <w:rPr>
                <w:sz w:val="26"/>
                <w:rtl/>
              </w:rPr>
            </w:pPr>
          </w:p>
        </w:tc>
        <w:tc>
          <w:tcPr>
            <w:tcW w:w="624" w:type="dxa"/>
            <w:tcMar>
              <w:top w:w="91" w:type="dxa"/>
              <w:left w:w="0" w:type="dxa"/>
              <w:bottom w:w="91" w:type="dxa"/>
              <w:right w:w="0" w:type="dxa"/>
            </w:tcMar>
          </w:tcPr>
          <w:p w14:paraId="31687BEC" w14:textId="77777777" w:rsidR="0012709E" w:rsidRDefault="0012709E" w:rsidP="003D4044">
            <w:pPr>
              <w:pStyle w:val="TableText"/>
              <w:rPr>
                <w:sz w:val="26"/>
                <w:rtl/>
              </w:rPr>
            </w:pPr>
          </w:p>
        </w:tc>
        <w:tc>
          <w:tcPr>
            <w:tcW w:w="624" w:type="dxa"/>
            <w:tcMar>
              <w:top w:w="91" w:type="dxa"/>
              <w:left w:w="0" w:type="dxa"/>
              <w:bottom w:w="91" w:type="dxa"/>
              <w:right w:w="0" w:type="dxa"/>
            </w:tcMar>
          </w:tcPr>
          <w:p w14:paraId="1066E634" w14:textId="77777777" w:rsidR="0012709E" w:rsidRDefault="0012709E" w:rsidP="003D4044">
            <w:pPr>
              <w:pStyle w:val="TableText"/>
              <w:rPr>
                <w:sz w:val="26"/>
                <w:rtl/>
              </w:rPr>
            </w:pPr>
          </w:p>
        </w:tc>
        <w:tc>
          <w:tcPr>
            <w:tcW w:w="624" w:type="dxa"/>
            <w:tcMar>
              <w:top w:w="91" w:type="dxa"/>
              <w:left w:w="0" w:type="dxa"/>
              <w:bottom w:w="91" w:type="dxa"/>
              <w:right w:w="0" w:type="dxa"/>
            </w:tcMar>
          </w:tcPr>
          <w:p w14:paraId="569A07B8" w14:textId="77777777" w:rsidR="0012709E" w:rsidRDefault="0012709E" w:rsidP="003D4044">
            <w:pPr>
              <w:pStyle w:val="TableText"/>
              <w:rPr>
                <w:sz w:val="26"/>
                <w:rtl/>
              </w:rPr>
            </w:pPr>
          </w:p>
        </w:tc>
        <w:tc>
          <w:tcPr>
            <w:tcW w:w="4650" w:type="dxa"/>
            <w:gridSpan w:val="3"/>
            <w:tcMar>
              <w:top w:w="91" w:type="dxa"/>
              <w:left w:w="0" w:type="dxa"/>
              <w:bottom w:w="91" w:type="dxa"/>
              <w:right w:w="0" w:type="dxa"/>
            </w:tcMar>
            <w:hideMark/>
          </w:tcPr>
          <w:p w14:paraId="6E270BD6" w14:textId="77777777" w:rsidR="0012709E" w:rsidRDefault="0012709E" w:rsidP="0012709E">
            <w:pPr>
              <w:pStyle w:val="TableBlock"/>
              <w:rPr>
                <w:sz w:val="26"/>
                <w:rtl/>
              </w:rPr>
            </w:pPr>
            <w:r>
              <w:rPr>
                <w:rFonts w:hint="cs"/>
                <w:sz w:val="26"/>
                <w:rtl/>
              </w:rPr>
              <w:t>(ג)</w:t>
            </w:r>
            <w:r>
              <w:rPr>
                <w:rFonts w:hint="cs"/>
                <w:sz w:val="26"/>
                <w:rtl/>
              </w:rPr>
              <w:tab/>
              <w:t>בורסה תבטיח כי רישום מניות למסחר לפי סעיף זה, והמסחר במניות שנרשמו כאמור, ייעשו באופן שיהיה ניתן להבחין בין מניות אלה לבין ניירות ערך אחרים הרשומים למסחר בבורסה, וכי יינתן מידע למשקיעים בדבר הסיכונים הכרוכים במסחר במניות שנרשמו למסחר לפי סעיף זה.</w:t>
            </w:r>
          </w:p>
        </w:tc>
      </w:tr>
      <w:tr w:rsidR="0012709E" w14:paraId="76914E59" w14:textId="77777777" w:rsidTr="0012709E">
        <w:trPr>
          <w:cantSplit/>
        </w:trPr>
        <w:tc>
          <w:tcPr>
            <w:tcW w:w="1871" w:type="dxa"/>
            <w:tcMar>
              <w:top w:w="91" w:type="dxa"/>
              <w:left w:w="0" w:type="dxa"/>
              <w:bottom w:w="91" w:type="dxa"/>
              <w:right w:w="0" w:type="dxa"/>
            </w:tcMar>
          </w:tcPr>
          <w:p w14:paraId="2DD77CF1" w14:textId="77777777" w:rsidR="0012709E" w:rsidRDefault="0012709E" w:rsidP="003D4044">
            <w:pPr>
              <w:pStyle w:val="TableSideHeading"/>
              <w:rPr>
                <w:sz w:val="26"/>
                <w:rtl/>
              </w:rPr>
            </w:pPr>
          </w:p>
        </w:tc>
        <w:tc>
          <w:tcPr>
            <w:tcW w:w="622" w:type="dxa"/>
            <w:tcMar>
              <w:top w:w="91" w:type="dxa"/>
              <w:left w:w="0" w:type="dxa"/>
              <w:bottom w:w="91" w:type="dxa"/>
              <w:right w:w="0" w:type="dxa"/>
            </w:tcMar>
          </w:tcPr>
          <w:p w14:paraId="3EE0F082" w14:textId="77777777" w:rsidR="0012709E" w:rsidRDefault="0012709E" w:rsidP="003D4044">
            <w:pPr>
              <w:pStyle w:val="TableText"/>
              <w:rPr>
                <w:sz w:val="26"/>
                <w:rtl/>
              </w:rPr>
            </w:pPr>
          </w:p>
        </w:tc>
        <w:tc>
          <w:tcPr>
            <w:tcW w:w="1871" w:type="dxa"/>
            <w:gridSpan w:val="3"/>
            <w:tcMar>
              <w:top w:w="91" w:type="dxa"/>
              <w:left w:w="0" w:type="dxa"/>
              <w:bottom w:w="91" w:type="dxa"/>
              <w:right w:w="0" w:type="dxa"/>
            </w:tcMar>
            <w:hideMark/>
          </w:tcPr>
          <w:p w14:paraId="56778597" w14:textId="77777777" w:rsidR="0012709E" w:rsidRDefault="0012709E" w:rsidP="003D4044">
            <w:pPr>
              <w:pStyle w:val="TableInnerSideHeading"/>
              <w:rPr>
                <w:sz w:val="26"/>
                <w:rtl/>
              </w:rPr>
            </w:pPr>
            <w:r>
              <w:rPr>
                <w:rFonts w:hint="cs"/>
                <w:sz w:val="26"/>
                <w:rtl/>
              </w:rPr>
              <w:t xml:space="preserve">אי-תחולת הוראות פרק ו' </w:t>
            </w:r>
          </w:p>
        </w:tc>
        <w:tc>
          <w:tcPr>
            <w:tcW w:w="624" w:type="dxa"/>
            <w:tcMar>
              <w:top w:w="91" w:type="dxa"/>
              <w:left w:w="0" w:type="dxa"/>
              <w:bottom w:w="91" w:type="dxa"/>
              <w:right w:w="0" w:type="dxa"/>
            </w:tcMar>
            <w:hideMark/>
          </w:tcPr>
          <w:p w14:paraId="424CCDF1" w14:textId="77777777" w:rsidR="0012709E" w:rsidRDefault="0012709E" w:rsidP="003D4044">
            <w:pPr>
              <w:pStyle w:val="TableText"/>
              <w:ind w:right="0"/>
              <w:jc w:val="both"/>
              <w:rPr>
                <w:rtl/>
              </w:rPr>
            </w:pPr>
            <w:r>
              <w:rPr>
                <w:rFonts w:hint="cs"/>
                <w:rtl/>
              </w:rPr>
              <w:t>35לג2.</w:t>
            </w:r>
          </w:p>
        </w:tc>
        <w:tc>
          <w:tcPr>
            <w:tcW w:w="4650" w:type="dxa"/>
            <w:gridSpan w:val="3"/>
            <w:tcMar>
              <w:top w:w="91" w:type="dxa"/>
              <w:left w:w="0" w:type="dxa"/>
              <w:bottom w:w="91" w:type="dxa"/>
              <w:right w:w="0" w:type="dxa"/>
            </w:tcMar>
            <w:hideMark/>
          </w:tcPr>
          <w:p w14:paraId="17857975" w14:textId="77777777" w:rsidR="0012709E" w:rsidRDefault="0012709E" w:rsidP="0012709E">
            <w:pPr>
              <w:pStyle w:val="TableBlock"/>
              <w:rPr>
                <w:sz w:val="26"/>
                <w:rtl/>
              </w:rPr>
            </w:pPr>
            <w:r>
              <w:rPr>
                <w:rFonts w:hint="cs"/>
                <w:sz w:val="26"/>
                <w:rtl/>
              </w:rPr>
              <w:t>ההוראות לפי פרק ו' לא יחולו על תאגיד שמניותיו נרשמו למסחר בבורסה לפי הוראות פרק זה.</w:t>
            </w:r>
          </w:p>
        </w:tc>
      </w:tr>
      <w:tr w:rsidR="0012709E" w14:paraId="0FC87FFA" w14:textId="77777777" w:rsidTr="0012709E">
        <w:trPr>
          <w:cantSplit/>
        </w:trPr>
        <w:tc>
          <w:tcPr>
            <w:tcW w:w="1871" w:type="dxa"/>
            <w:tcMar>
              <w:top w:w="91" w:type="dxa"/>
              <w:left w:w="0" w:type="dxa"/>
              <w:bottom w:w="91" w:type="dxa"/>
              <w:right w:w="0" w:type="dxa"/>
            </w:tcMar>
          </w:tcPr>
          <w:p w14:paraId="3F77AC29" w14:textId="77777777" w:rsidR="0012709E" w:rsidRDefault="0012709E" w:rsidP="003D4044">
            <w:pPr>
              <w:pStyle w:val="TableSideHeading"/>
              <w:rPr>
                <w:sz w:val="26"/>
                <w:rtl/>
              </w:rPr>
            </w:pPr>
          </w:p>
        </w:tc>
        <w:tc>
          <w:tcPr>
            <w:tcW w:w="622" w:type="dxa"/>
            <w:tcMar>
              <w:top w:w="91" w:type="dxa"/>
              <w:left w:w="0" w:type="dxa"/>
              <w:bottom w:w="91" w:type="dxa"/>
              <w:right w:w="0" w:type="dxa"/>
            </w:tcMar>
          </w:tcPr>
          <w:p w14:paraId="6D14763C" w14:textId="77777777" w:rsidR="0012709E" w:rsidRDefault="0012709E" w:rsidP="003D4044">
            <w:pPr>
              <w:pStyle w:val="TableText"/>
              <w:rPr>
                <w:sz w:val="26"/>
                <w:rtl/>
              </w:rPr>
            </w:pPr>
          </w:p>
        </w:tc>
        <w:tc>
          <w:tcPr>
            <w:tcW w:w="1871" w:type="dxa"/>
            <w:gridSpan w:val="3"/>
            <w:tcMar>
              <w:top w:w="91" w:type="dxa"/>
              <w:left w:w="0" w:type="dxa"/>
              <w:bottom w:w="91" w:type="dxa"/>
              <w:right w:w="0" w:type="dxa"/>
            </w:tcMar>
            <w:hideMark/>
          </w:tcPr>
          <w:p w14:paraId="4508D7BA" w14:textId="77777777" w:rsidR="0012709E" w:rsidRDefault="0012709E" w:rsidP="003D4044">
            <w:pPr>
              <w:pStyle w:val="TableInnerSideHeading"/>
              <w:rPr>
                <w:sz w:val="26"/>
                <w:rtl/>
              </w:rPr>
            </w:pPr>
            <w:r>
              <w:rPr>
                <w:rFonts w:hint="cs"/>
                <w:sz w:val="26"/>
                <w:rtl/>
              </w:rPr>
              <w:t>תקנות לעניין רישום מניות למסחר לפי פרק ה'3א ומחיקה מהמסחר של מניות כאמור</w:t>
            </w:r>
          </w:p>
        </w:tc>
        <w:tc>
          <w:tcPr>
            <w:tcW w:w="624" w:type="dxa"/>
            <w:tcMar>
              <w:top w:w="91" w:type="dxa"/>
              <w:left w:w="0" w:type="dxa"/>
              <w:bottom w:w="91" w:type="dxa"/>
              <w:right w:w="0" w:type="dxa"/>
            </w:tcMar>
            <w:hideMark/>
          </w:tcPr>
          <w:p w14:paraId="7F48E531" w14:textId="77777777" w:rsidR="0012709E" w:rsidRDefault="0012709E" w:rsidP="003D4044">
            <w:pPr>
              <w:pStyle w:val="TableText"/>
              <w:ind w:right="0"/>
              <w:jc w:val="both"/>
              <w:rPr>
                <w:rtl/>
              </w:rPr>
            </w:pPr>
            <w:r>
              <w:rPr>
                <w:rFonts w:hint="cs"/>
                <w:rtl/>
              </w:rPr>
              <w:t>35לג3.</w:t>
            </w:r>
          </w:p>
        </w:tc>
        <w:tc>
          <w:tcPr>
            <w:tcW w:w="4650" w:type="dxa"/>
            <w:gridSpan w:val="3"/>
            <w:tcMar>
              <w:top w:w="91" w:type="dxa"/>
              <w:left w:w="0" w:type="dxa"/>
              <w:bottom w:w="91" w:type="dxa"/>
              <w:right w:w="0" w:type="dxa"/>
            </w:tcMar>
            <w:hideMark/>
          </w:tcPr>
          <w:p w14:paraId="2A8D74D9" w14:textId="1C501394" w:rsidR="0012709E" w:rsidRDefault="0012709E" w:rsidP="0012709E">
            <w:pPr>
              <w:pStyle w:val="TableBlock"/>
              <w:rPr>
                <w:sz w:val="26"/>
                <w:rtl/>
              </w:rPr>
            </w:pPr>
            <w:r>
              <w:rPr>
                <w:rFonts w:hint="cs"/>
                <w:sz w:val="26"/>
                <w:rtl/>
              </w:rPr>
              <w:t>שר האוצר</w:t>
            </w:r>
            <w:r w:rsidR="000E566D">
              <w:rPr>
                <w:rFonts w:hint="cs"/>
                <w:sz w:val="26"/>
                <w:rtl/>
              </w:rPr>
              <w:t>, לפי הצעת הרשות או בהתייעצות ע</w:t>
            </w:r>
            <w:r>
              <w:rPr>
                <w:rFonts w:hint="cs"/>
                <w:sz w:val="26"/>
                <w:rtl/>
              </w:rPr>
              <w:t>מה ובאישור ועדת הכספים של הכנסת, רשאי לקבוע בתקנות הוראות בעניין רישום מניות למסחר לפי פרק זה ומחיקה מהמסחר של מניות שנרשמו למסחר כאמור, ובכלל זה תנאים נוספים לרישום המניות למסחר כאמור.</w:t>
            </w:r>
          </w:p>
        </w:tc>
      </w:tr>
      <w:tr w:rsidR="0012709E" w14:paraId="4504857B" w14:textId="77777777" w:rsidTr="0012709E">
        <w:trPr>
          <w:cantSplit/>
        </w:trPr>
        <w:tc>
          <w:tcPr>
            <w:tcW w:w="1871" w:type="dxa"/>
            <w:tcMar>
              <w:top w:w="91" w:type="dxa"/>
              <w:left w:w="0" w:type="dxa"/>
              <w:bottom w:w="91" w:type="dxa"/>
              <w:right w:w="0" w:type="dxa"/>
            </w:tcMar>
          </w:tcPr>
          <w:p w14:paraId="19E256D1" w14:textId="77777777" w:rsidR="0012709E" w:rsidRDefault="0012709E" w:rsidP="003D4044">
            <w:pPr>
              <w:pStyle w:val="TableSideHeading"/>
              <w:rPr>
                <w:sz w:val="26"/>
                <w:rtl/>
              </w:rPr>
            </w:pPr>
          </w:p>
        </w:tc>
        <w:tc>
          <w:tcPr>
            <w:tcW w:w="622" w:type="dxa"/>
            <w:tcMar>
              <w:top w:w="91" w:type="dxa"/>
              <w:left w:w="0" w:type="dxa"/>
              <w:bottom w:w="91" w:type="dxa"/>
              <w:right w:w="0" w:type="dxa"/>
            </w:tcMar>
          </w:tcPr>
          <w:p w14:paraId="1B293DDC" w14:textId="77777777" w:rsidR="0012709E" w:rsidRDefault="0012709E" w:rsidP="003D4044">
            <w:pPr>
              <w:pStyle w:val="TableText"/>
              <w:rPr>
                <w:sz w:val="26"/>
                <w:rtl/>
              </w:rPr>
            </w:pPr>
          </w:p>
        </w:tc>
        <w:tc>
          <w:tcPr>
            <w:tcW w:w="1871" w:type="dxa"/>
            <w:gridSpan w:val="3"/>
            <w:tcMar>
              <w:top w:w="91" w:type="dxa"/>
              <w:left w:w="0" w:type="dxa"/>
              <w:bottom w:w="91" w:type="dxa"/>
              <w:right w:w="0" w:type="dxa"/>
            </w:tcMar>
            <w:hideMark/>
          </w:tcPr>
          <w:p w14:paraId="1836E1AA" w14:textId="77777777" w:rsidR="0012709E" w:rsidRDefault="0012709E" w:rsidP="003D4044">
            <w:pPr>
              <w:pStyle w:val="TableInnerSideHeading"/>
              <w:rPr>
                <w:sz w:val="26"/>
                <w:rtl/>
              </w:rPr>
            </w:pPr>
            <w:r>
              <w:rPr>
                <w:rFonts w:hint="cs"/>
                <w:sz w:val="26"/>
                <w:rtl/>
              </w:rPr>
              <w:t>הוראות לבורסה לעניין הבחנה</w:t>
            </w:r>
            <w:r>
              <w:rPr>
                <w:rFonts w:hint="cs"/>
                <w:sz w:val="26"/>
                <w:rtl/>
              </w:rPr>
              <w:br/>
              <w:t>וגילוי מידע</w:t>
            </w:r>
          </w:p>
        </w:tc>
        <w:tc>
          <w:tcPr>
            <w:tcW w:w="624" w:type="dxa"/>
            <w:tcMar>
              <w:top w:w="91" w:type="dxa"/>
              <w:left w:w="0" w:type="dxa"/>
              <w:bottom w:w="91" w:type="dxa"/>
              <w:right w:w="0" w:type="dxa"/>
            </w:tcMar>
            <w:hideMark/>
          </w:tcPr>
          <w:p w14:paraId="0C7BE7D7" w14:textId="77777777" w:rsidR="0012709E" w:rsidRDefault="0012709E" w:rsidP="003D4044">
            <w:pPr>
              <w:pStyle w:val="TableText"/>
              <w:ind w:right="0"/>
              <w:jc w:val="both"/>
              <w:rPr>
                <w:rtl/>
              </w:rPr>
            </w:pPr>
            <w:r>
              <w:rPr>
                <w:rFonts w:hint="cs"/>
                <w:rtl/>
              </w:rPr>
              <w:t>35לג4.</w:t>
            </w:r>
          </w:p>
        </w:tc>
        <w:tc>
          <w:tcPr>
            <w:tcW w:w="4650" w:type="dxa"/>
            <w:gridSpan w:val="3"/>
            <w:tcMar>
              <w:top w:w="91" w:type="dxa"/>
              <w:left w:w="0" w:type="dxa"/>
              <w:bottom w:w="91" w:type="dxa"/>
              <w:right w:w="0" w:type="dxa"/>
            </w:tcMar>
            <w:hideMark/>
          </w:tcPr>
          <w:p w14:paraId="0879D59C" w14:textId="77777777" w:rsidR="0012709E" w:rsidRDefault="0012709E" w:rsidP="0012709E">
            <w:pPr>
              <w:pStyle w:val="TableBlock"/>
              <w:rPr>
                <w:sz w:val="26"/>
                <w:rtl/>
              </w:rPr>
            </w:pPr>
            <w:r>
              <w:rPr>
                <w:rFonts w:hint="cs"/>
                <w:sz w:val="26"/>
                <w:rtl/>
              </w:rPr>
              <w:t>(א)</w:t>
            </w:r>
            <w:r>
              <w:rPr>
                <w:rFonts w:hint="cs"/>
                <w:sz w:val="26"/>
                <w:rtl/>
              </w:rPr>
              <w:tab/>
              <w:t xml:space="preserve">הרשות תורה לבורסה בדבר אופן ההבחנה וגילוי המידע למשקיעים לפי הוראות סעיף 35לג1(ג); הוראות לפי סעיף קטן זה יכול שיינתנו, בין השאר, לעניין הגישה למסחר, מועד גילוי המידע, הדרך שבה יינתן המידע, תוכנו וכל עניין אחר הדרוש לדעת הרשות </w:t>
            </w:r>
            <w:r w:rsidRPr="003572B6">
              <w:rPr>
                <w:rFonts w:hint="eastAsia"/>
                <w:sz w:val="26"/>
                <w:rtl/>
              </w:rPr>
              <w:t>ל</w:t>
            </w:r>
            <w:r>
              <w:rPr>
                <w:rFonts w:hint="cs"/>
                <w:sz w:val="26"/>
                <w:rtl/>
              </w:rPr>
              <w:t>צורך הבחנה וגילוי מידע לפי סעיף זה.</w:t>
            </w:r>
          </w:p>
        </w:tc>
      </w:tr>
      <w:tr w:rsidR="0012709E" w14:paraId="2C051132" w14:textId="77777777" w:rsidTr="0012709E">
        <w:trPr>
          <w:cantSplit/>
        </w:trPr>
        <w:tc>
          <w:tcPr>
            <w:tcW w:w="1871" w:type="dxa"/>
            <w:tcMar>
              <w:top w:w="91" w:type="dxa"/>
              <w:left w:w="0" w:type="dxa"/>
              <w:bottom w:w="91" w:type="dxa"/>
              <w:right w:w="0" w:type="dxa"/>
            </w:tcMar>
          </w:tcPr>
          <w:p w14:paraId="5981A848" w14:textId="77777777" w:rsidR="0012709E" w:rsidRDefault="0012709E" w:rsidP="003D4044">
            <w:pPr>
              <w:pStyle w:val="TableSideHeading"/>
              <w:rPr>
                <w:sz w:val="26"/>
                <w:rtl/>
              </w:rPr>
            </w:pPr>
          </w:p>
        </w:tc>
        <w:tc>
          <w:tcPr>
            <w:tcW w:w="622" w:type="dxa"/>
            <w:tcMar>
              <w:top w:w="91" w:type="dxa"/>
              <w:left w:w="0" w:type="dxa"/>
              <w:bottom w:w="91" w:type="dxa"/>
              <w:right w:w="0" w:type="dxa"/>
            </w:tcMar>
          </w:tcPr>
          <w:p w14:paraId="5E21C1DF" w14:textId="77777777" w:rsidR="0012709E" w:rsidRDefault="0012709E" w:rsidP="003D4044">
            <w:pPr>
              <w:pStyle w:val="TableText"/>
              <w:rPr>
                <w:sz w:val="26"/>
                <w:rtl/>
              </w:rPr>
            </w:pPr>
          </w:p>
        </w:tc>
        <w:tc>
          <w:tcPr>
            <w:tcW w:w="623" w:type="dxa"/>
            <w:tcMar>
              <w:top w:w="91" w:type="dxa"/>
              <w:left w:w="0" w:type="dxa"/>
              <w:bottom w:w="91" w:type="dxa"/>
              <w:right w:w="0" w:type="dxa"/>
            </w:tcMar>
          </w:tcPr>
          <w:p w14:paraId="5017818B" w14:textId="77777777" w:rsidR="0012709E" w:rsidRDefault="0012709E" w:rsidP="003D4044">
            <w:pPr>
              <w:pStyle w:val="TableText"/>
              <w:rPr>
                <w:sz w:val="26"/>
                <w:rtl/>
              </w:rPr>
            </w:pPr>
          </w:p>
        </w:tc>
        <w:tc>
          <w:tcPr>
            <w:tcW w:w="624" w:type="dxa"/>
            <w:tcMar>
              <w:top w:w="91" w:type="dxa"/>
              <w:left w:w="0" w:type="dxa"/>
              <w:bottom w:w="91" w:type="dxa"/>
              <w:right w:w="0" w:type="dxa"/>
            </w:tcMar>
          </w:tcPr>
          <w:p w14:paraId="30D1A32A" w14:textId="77777777" w:rsidR="0012709E" w:rsidRDefault="0012709E" w:rsidP="003D4044">
            <w:pPr>
              <w:pStyle w:val="TableText"/>
              <w:rPr>
                <w:sz w:val="26"/>
                <w:rtl/>
              </w:rPr>
            </w:pPr>
          </w:p>
        </w:tc>
        <w:tc>
          <w:tcPr>
            <w:tcW w:w="624" w:type="dxa"/>
            <w:tcMar>
              <w:top w:w="91" w:type="dxa"/>
              <w:left w:w="0" w:type="dxa"/>
              <w:bottom w:w="91" w:type="dxa"/>
              <w:right w:w="0" w:type="dxa"/>
            </w:tcMar>
          </w:tcPr>
          <w:p w14:paraId="756D4AC9" w14:textId="77777777" w:rsidR="0012709E" w:rsidRDefault="0012709E" w:rsidP="003D4044">
            <w:pPr>
              <w:pStyle w:val="TableText"/>
              <w:rPr>
                <w:sz w:val="26"/>
                <w:rtl/>
              </w:rPr>
            </w:pPr>
          </w:p>
        </w:tc>
        <w:tc>
          <w:tcPr>
            <w:tcW w:w="624" w:type="dxa"/>
            <w:tcMar>
              <w:top w:w="91" w:type="dxa"/>
              <w:left w:w="0" w:type="dxa"/>
              <w:bottom w:w="91" w:type="dxa"/>
              <w:right w:w="0" w:type="dxa"/>
            </w:tcMar>
          </w:tcPr>
          <w:p w14:paraId="7CDAFAA0" w14:textId="77777777" w:rsidR="0012709E" w:rsidRDefault="0012709E" w:rsidP="003D4044">
            <w:pPr>
              <w:pStyle w:val="TableText"/>
              <w:ind w:right="0"/>
              <w:jc w:val="both"/>
              <w:rPr>
                <w:rtl/>
              </w:rPr>
            </w:pPr>
          </w:p>
        </w:tc>
        <w:tc>
          <w:tcPr>
            <w:tcW w:w="4650" w:type="dxa"/>
            <w:gridSpan w:val="3"/>
            <w:tcMar>
              <w:top w:w="91" w:type="dxa"/>
              <w:left w:w="0" w:type="dxa"/>
              <w:bottom w:w="91" w:type="dxa"/>
              <w:right w:w="0" w:type="dxa"/>
            </w:tcMar>
            <w:hideMark/>
          </w:tcPr>
          <w:p w14:paraId="77CDC4D5" w14:textId="77777777" w:rsidR="0012709E" w:rsidRDefault="0012709E" w:rsidP="0012709E">
            <w:pPr>
              <w:pStyle w:val="TableBlock"/>
              <w:rPr>
                <w:sz w:val="26"/>
                <w:rtl/>
              </w:rPr>
            </w:pPr>
            <w:r>
              <w:rPr>
                <w:rFonts w:hint="cs"/>
                <w:sz w:val="26"/>
                <w:rtl/>
              </w:rPr>
              <w:t>(ב)</w:t>
            </w:r>
            <w:r>
              <w:rPr>
                <w:rFonts w:hint="cs"/>
                <w:sz w:val="26"/>
                <w:rtl/>
              </w:rPr>
              <w:tab/>
              <w:t>הוראות שנתנה הרשות לפי סעיף קטן (א) יפורסמו באתר האינטרנט של הרשות, והודעה על פרסומן ומועד תחילתן תפורסם ברשומות.</w:t>
            </w:r>
          </w:p>
        </w:tc>
      </w:tr>
      <w:tr w:rsidR="0012709E" w14:paraId="2D81BCF0" w14:textId="77777777" w:rsidTr="0012709E">
        <w:trPr>
          <w:cantSplit/>
        </w:trPr>
        <w:tc>
          <w:tcPr>
            <w:tcW w:w="1871" w:type="dxa"/>
            <w:tcMar>
              <w:top w:w="91" w:type="dxa"/>
              <w:left w:w="0" w:type="dxa"/>
              <w:bottom w:w="91" w:type="dxa"/>
              <w:right w:w="0" w:type="dxa"/>
            </w:tcMar>
          </w:tcPr>
          <w:p w14:paraId="597181B4" w14:textId="77777777" w:rsidR="0012709E" w:rsidRDefault="0012709E" w:rsidP="003D4044">
            <w:pPr>
              <w:pStyle w:val="TableSideHeading"/>
              <w:rPr>
                <w:sz w:val="26"/>
                <w:rtl/>
              </w:rPr>
            </w:pPr>
          </w:p>
        </w:tc>
        <w:tc>
          <w:tcPr>
            <w:tcW w:w="622" w:type="dxa"/>
            <w:tcMar>
              <w:top w:w="91" w:type="dxa"/>
              <w:left w:w="0" w:type="dxa"/>
              <w:bottom w:w="91" w:type="dxa"/>
              <w:right w:w="0" w:type="dxa"/>
            </w:tcMar>
          </w:tcPr>
          <w:p w14:paraId="7289CEB9" w14:textId="77777777" w:rsidR="0012709E" w:rsidRDefault="0012709E" w:rsidP="003D4044">
            <w:pPr>
              <w:pStyle w:val="TableText"/>
              <w:rPr>
                <w:sz w:val="26"/>
                <w:rtl/>
              </w:rPr>
            </w:pPr>
          </w:p>
        </w:tc>
        <w:tc>
          <w:tcPr>
            <w:tcW w:w="1871" w:type="dxa"/>
            <w:gridSpan w:val="3"/>
            <w:tcMar>
              <w:top w:w="91" w:type="dxa"/>
              <w:left w:w="0" w:type="dxa"/>
              <w:bottom w:w="91" w:type="dxa"/>
              <w:right w:w="0" w:type="dxa"/>
            </w:tcMar>
            <w:hideMark/>
          </w:tcPr>
          <w:p w14:paraId="2BCC8479" w14:textId="77777777" w:rsidR="0012709E" w:rsidRDefault="0012709E" w:rsidP="003D4044">
            <w:pPr>
              <w:pStyle w:val="TableInnerSideHeading"/>
              <w:rPr>
                <w:sz w:val="26"/>
                <w:rtl/>
              </w:rPr>
            </w:pPr>
            <w:r>
              <w:rPr>
                <w:rFonts w:hint="cs"/>
                <w:sz w:val="26"/>
                <w:rtl/>
              </w:rPr>
              <w:t>אגרות בעד רישום מניות למסחר לפי פרק ה'3א והמסחר בהן</w:t>
            </w:r>
          </w:p>
        </w:tc>
        <w:tc>
          <w:tcPr>
            <w:tcW w:w="624" w:type="dxa"/>
            <w:tcMar>
              <w:top w:w="91" w:type="dxa"/>
              <w:left w:w="0" w:type="dxa"/>
              <w:bottom w:w="91" w:type="dxa"/>
              <w:right w:w="0" w:type="dxa"/>
            </w:tcMar>
            <w:hideMark/>
          </w:tcPr>
          <w:p w14:paraId="6002D3C5" w14:textId="77777777" w:rsidR="0012709E" w:rsidRDefault="0012709E" w:rsidP="003D4044">
            <w:pPr>
              <w:pStyle w:val="TableText"/>
              <w:ind w:right="0"/>
              <w:jc w:val="both"/>
              <w:rPr>
                <w:rtl/>
              </w:rPr>
            </w:pPr>
            <w:r>
              <w:rPr>
                <w:rFonts w:hint="cs"/>
                <w:rtl/>
              </w:rPr>
              <w:t>35לג5.</w:t>
            </w:r>
          </w:p>
        </w:tc>
        <w:tc>
          <w:tcPr>
            <w:tcW w:w="4650" w:type="dxa"/>
            <w:gridSpan w:val="3"/>
            <w:tcMar>
              <w:top w:w="91" w:type="dxa"/>
              <w:left w:w="0" w:type="dxa"/>
              <w:bottom w:w="91" w:type="dxa"/>
              <w:right w:w="0" w:type="dxa"/>
            </w:tcMar>
            <w:hideMark/>
          </w:tcPr>
          <w:p w14:paraId="67832726" w14:textId="77777777" w:rsidR="0012709E" w:rsidRDefault="0012709E" w:rsidP="0012709E">
            <w:pPr>
              <w:pStyle w:val="TableBlock"/>
              <w:rPr>
                <w:sz w:val="26"/>
                <w:rtl/>
              </w:rPr>
            </w:pPr>
            <w:r>
              <w:rPr>
                <w:rFonts w:hint="cs"/>
                <w:sz w:val="26"/>
                <w:rtl/>
              </w:rPr>
              <w:t>שר האוצר, לפי הצעת הרשות או בהתייעצות עמה ובאישור ועדת הכספים של הכנסת, רשאי לקבוע הוראות לעניין אגרות שתשלם בורסה בעד רישום מניות למסחר לפי פרק זה והמסחר במניות הרשומות כאמור."</w:t>
            </w:r>
          </w:p>
        </w:tc>
      </w:tr>
      <w:tr w:rsidR="0012709E" w14:paraId="439D7967" w14:textId="77777777" w:rsidTr="0012709E">
        <w:trPr>
          <w:cantSplit/>
        </w:trPr>
        <w:tc>
          <w:tcPr>
            <w:tcW w:w="1871" w:type="dxa"/>
            <w:tcMar>
              <w:top w:w="91" w:type="dxa"/>
              <w:left w:w="0" w:type="dxa"/>
              <w:bottom w:w="91" w:type="dxa"/>
              <w:right w:w="0" w:type="dxa"/>
            </w:tcMar>
            <w:hideMark/>
          </w:tcPr>
          <w:p w14:paraId="653A1EBF" w14:textId="77777777" w:rsidR="0012709E" w:rsidRDefault="0012709E" w:rsidP="003D4044">
            <w:pPr>
              <w:pStyle w:val="TableSideHeading"/>
              <w:rPr>
                <w:sz w:val="26"/>
                <w:rtl/>
              </w:rPr>
            </w:pPr>
            <w:r>
              <w:rPr>
                <w:rFonts w:hint="cs"/>
                <w:sz w:val="26"/>
                <w:rtl/>
              </w:rPr>
              <w:t>תיקון סעיף 46ב</w:t>
            </w:r>
          </w:p>
        </w:tc>
        <w:tc>
          <w:tcPr>
            <w:tcW w:w="622" w:type="dxa"/>
            <w:tcMar>
              <w:top w:w="91" w:type="dxa"/>
              <w:left w:w="0" w:type="dxa"/>
              <w:bottom w:w="91" w:type="dxa"/>
              <w:right w:w="0" w:type="dxa"/>
            </w:tcMar>
            <w:hideMark/>
          </w:tcPr>
          <w:p w14:paraId="01BA843F" w14:textId="77777777" w:rsidR="0012709E" w:rsidRDefault="0012709E" w:rsidP="003D4044">
            <w:pPr>
              <w:pStyle w:val="TableText"/>
              <w:rPr>
                <w:sz w:val="26"/>
                <w:rtl/>
              </w:rPr>
            </w:pPr>
            <w:r>
              <w:rPr>
                <w:rFonts w:hint="cs"/>
                <w:sz w:val="26"/>
                <w:rtl/>
              </w:rPr>
              <w:t>3.</w:t>
            </w:r>
            <w:r>
              <w:rPr>
                <w:rFonts w:hint="cs"/>
                <w:sz w:val="26"/>
                <w:rtl/>
              </w:rPr>
              <w:tab/>
            </w:r>
          </w:p>
        </w:tc>
        <w:tc>
          <w:tcPr>
            <w:tcW w:w="7145" w:type="dxa"/>
            <w:gridSpan w:val="7"/>
            <w:tcMar>
              <w:top w:w="91" w:type="dxa"/>
              <w:left w:w="0" w:type="dxa"/>
              <w:bottom w:w="91" w:type="dxa"/>
              <w:right w:w="0" w:type="dxa"/>
            </w:tcMar>
            <w:hideMark/>
          </w:tcPr>
          <w:p w14:paraId="6B7005DA" w14:textId="77777777" w:rsidR="0012709E" w:rsidRDefault="0012709E" w:rsidP="0012709E">
            <w:pPr>
              <w:pStyle w:val="TableBlock"/>
              <w:rPr>
                <w:sz w:val="26"/>
                <w:rtl/>
              </w:rPr>
            </w:pPr>
            <w:r>
              <w:rPr>
                <w:rFonts w:hint="cs"/>
                <w:sz w:val="26"/>
                <w:rtl/>
              </w:rPr>
              <w:t>בסעיף 46ב לחוק העיקרי, אחרי סעיף קטן (א) יבוא:</w:t>
            </w:r>
          </w:p>
        </w:tc>
      </w:tr>
      <w:tr w:rsidR="0012709E" w14:paraId="6C166F75" w14:textId="77777777" w:rsidTr="0012709E">
        <w:trPr>
          <w:cantSplit/>
        </w:trPr>
        <w:tc>
          <w:tcPr>
            <w:tcW w:w="1871" w:type="dxa"/>
            <w:tcMar>
              <w:top w:w="91" w:type="dxa"/>
              <w:left w:w="0" w:type="dxa"/>
              <w:bottom w:w="91" w:type="dxa"/>
              <w:right w:w="0" w:type="dxa"/>
            </w:tcMar>
          </w:tcPr>
          <w:p w14:paraId="0B4742E8" w14:textId="77777777" w:rsidR="0012709E" w:rsidRDefault="0012709E" w:rsidP="003D4044">
            <w:pPr>
              <w:pStyle w:val="TableSideHeading"/>
              <w:rPr>
                <w:sz w:val="26"/>
                <w:rtl/>
              </w:rPr>
            </w:pPr>
          </w:p>
        </w:tc>
        <w:tc>
          <w:tcPr>
            <w:tcW w:w="622" w:type="dxa"/>
            <w:tcMar>
              <w:top w:w="91" w:type="dxa"/>
              <w:left w:w="0" w:type="dxa"/>
              <w:bottom w:w="91" w:type="dxa"/>
              <w:right w:w="0" w:type="dxa"/>
            </w:tcMar>
          </w:tcPr>
          <w:p w14:paraId="47DE73A1" w14:textId="77777777" w:rsidR="0012709E" w:rsidRDefault="0012709E" w:rsidP="003D4044">
            <w:pPr>
              <w:pStyle w:val="TableText"/>
              <w:rPr>
                <w:sz w:val="26"/>
                <w:rtl/>
              </w:rPr>
            </w:pPr>
          </w:p>
        </w:tc>
        <w:tc>
          <w:tcPr>
            <w:tcW w:w="7145" w:type="dxa"/>
            <w:gridSpan w:val="7"/>
            <w:tcMar>
              <w:top w:w="91" w:type="dxa"/>
              <w:left w:w="0" w:type="dxa"/>
              <w:bottom w:w="91" w:type="dxa"/>
              <w:right w:w="0" w:type="dxa"/>
            </w:tcMar>
            <w:hideMark/>
          </w:tcPr>
          <w:p w14:paraId="3C06CDEA" w14:textId="77777777" w:rsidR="0012709E" w:rsidRDefault="0012709E" w:rsidP="0012709E">
            <w:pPr>
              <w:pStyle w:val="TableBlock"/>
              <w:rPr>
                <w:sz w:val="26"/>
                <w:rtl/>
              </w:rPr>
            </w:pPr>
            <w:r>
              <w:rPr>
                <w:rFonts w:hint="cs"/>
                <w:sz w:val="26"/>
                <w:rtl/>
              </w:rPr>
              <w:t>"(א1)</w:t>
            </w:r>
            <w:r>
              <w:rPr>
                <w:rFonts w:hint="cs"/>
                <w:sz w:val="26"/>
                <w:rtl/>
              </w:rPr>
              <w:tab/>
              <w:t>הוראות סעיף זה לא יחולו על רישום מניות למסחר בידי בורסה, לפי הוראות פרק ה'3א."</w:t>
            </w:r>
          </w:p>
        </w:tc>
      </w:tr>
      <w:tr w:rsidR="0012709E" w14:paraId="1210F1F2" w14:textId="77777777" w:rsidTr="0012709E">
        <w:trPr>
          <w:cantSplit/>
        </w:trPr>
        <w:tc>
          <w:tcPr>
            <w:tcW w:w="1871" w:type="dxa"/>
            <w:tcMar>
              <w:top w:w="91" w:type="dxa"/>
              <w:left w:w="0" w:type="dxa"/>
              <w:bottom w:w="91" w:type="dxa"/>
              <w:right w:w="0" w:type="dxa"/>
            </w:tcMar>
            <w:hideMark/>
          </w:tcPr>
          <w:p w14:paraId="33BED976" w14:textId="77777777" w:rsidR="0012709E" w:rsidRDefault="0012709E" w:rsidP="003D4044">
            <w:pPr>
              <w:pStyle w:val="TableSideHeading"/>
              <w:rPr>
                <w:sz w:val="26"/>
                <w:rtl/>
              </w:rPr>
            </w:pPr>
            <w:r>
              <w:rPr>
                <w:rFonts w:hint="cs"/>
                <w:sz w:val="26"/>
                <w:rtl/>
              </w:rPr>
              <w:t>הוספת תוספת שנייה א'</w:t>
            </w:r>
          </w:p>
        </w:tc>
        <w:tc>
          <w:tcPr>
            <w:tcW w:w="622" w:type="dxa"/>
            <w:tcMar>
              <w:top w:w="91" w:type="dxa"/>
              <w:left w:w="0" w:type="dxa"/>
              <w:bottom w:w="91" w:type="dxa"/>
              <w:right w:w="0" w:type="dxa"/>
            </w:tcMar>
            <w:hideMark/>
          </w:tcPr>
          <w:p w14:paraId="3BA94462" w14:textId="77777777" w:rsidR="0012709E" w:rsidRDefault="0012709E" w:rsidP="003D4044">
            <w:pPr>
              <w:pStyle w:val="TableText"/>
              <w:rPr>
                <w:sz w:val="26"/>
                <w:rtl/>
              </w:rPr>
            </w:pPr>
            <w:r>
              <w:rPr>
                <w:rFonts w:hint="cs"/>
                <w:sz w:val="26"/>
                <w:rtl/>
              </w:rPr>
              <w:t>4.</w:t>
            </w:r>
            <w:r>
              <w:rPr>
                <w:rFonts w:hint="cs"/>
                <w:sz w:val="26"/>
                <w:rtl/>
              </w:rPr>
              <w:tab/>
            </w:r>
          </w:p>
        </w:tc>
        <w:tc>
          <w:tcPr>
            <w:tcW w:w="7145" w:type="dxa"/>
            <w:gridSpan w:val="7"/>
            <w:tcMar>
              <w:top w:w="91" w:type="dxa"/>
              <w:left w:w="0" w:type="dxa"/>
              <w:bottom w:w="91" w:type="dxa"/>
              <w:right w:w="0" w:type="dxa"/>
            </w:tcMar>
            <w:hideMark/>
          </w:tcPr>
          <w:p w14:paraId="67B12623" w14:textId="709FD1AF" w:rsidR="0012709E" w:rsidRDefault="0012709E" w:rsidP="0012709E">
            <w:pPr>
              <w:pStyle w:val="TableBlock"/>
              <w:rPr>
                <w:sz w:val="26"/>
                <w:rtl/>
              </w:rPr>
            </w:pPr>
            <w:r>
              <w:rPr>
                <w:rFonts w:hint="cs"/>
                <w:sz w:val="26"/>
                <w:rtl/>
              </w:rPr>
              <w:t>אחרי התוספת השנייה לחוק העיקרי יבוא:</w:t>
            </w:r>
          </w:p>
        </w:tc>
      </w:tr>
      <w:tr w:rsidR="0012709E" w14:paraId="05238AB8" w14:textId="77777777" w:rsidTr="0012709E">
        <w:trPr>
          <w:cantSplit/>
        </w:trPr>
        <w:tc>
          <w:tcPr>
            <w:tcW w:w="1871" w:type="dxa"/>
          </w:tcPr>
          <w:p w14:paraId="2F1E939A" w14:textId="77777777" w:rsidR="0012709E" w:rsidRDefault="0012709E" w:rsidP="003D4044">
            <w:pPr>
              <w:pStyle w:val="TableSideHeading"/>
              <w:ind w:right="0"/>
              <w:rPr>
                <w:sz w:val="26"/>
                <w:rtl/>
              </w:rPr>
            </w:pPr>
          </w:p>
        </w:tc>
        <w:tc>
          <w:tcPr>
            <w:tcW w:w="622" w:type="dxa"/>
            <w:tcMar>
              <w:top w:w="91" w:type="dxa"/>
              <w:left w:w="0" w:type="dxa"/>
              <w:bottom w:w="91" w:type="dxa"/>
              <w:right w:w="0" w:type="dxa"/>
            </w:tcMar>
          </w:tcPr>
          <w:p w14:paraId="431147BF" w14:textId="77777777" w:rsidR="0012709E" w:rsidRDefault="0012709E" w:rsidP="003D4044">
            <w:pPr>
              <w:pStyle w:val="TableText"/>
              <w:rPr>
                <w:sz w:val="26"/>
                <w:rtl/>
              </w:rPr>
            </w:pPr>
          </w:p>
        </w:tc>
        <w:tc>
          <w:tcPr>
            <w:tcW w:w="7145" w:type="dxa"/>
            <w:gridSpan w:val="7"/>
            <w:tcMar>
              <w:top w:w="91" w:type="dxa"/>
              <w:left w:w="0" w:type="dxa"/>
              <w:bottom w:w="91" w:type="dxa"/>
              <w:right w:w="0" w:type="dxa"/>
            </w:tcMar>
            <w:hideMark/>
          </w:tcPr>
          <w:p w14:paraId="08FA4B33" w14:textId="77777777" w:rsidR="0012709E" w:rsidRDefault="0012709E" w:rsidP="0012709E">
            <w:pPr>
              <w:pStyle w:val="TableHead"/>
              <w:rPr>
                <w:rtl/>
              </w:rPr>
            </w:pPr>
            <w:r>
              <w:rPr>
                <w:rFonts w:hint="cs"/>
                <w:rtl/>
              </w:rPr>
              <w:t xml:space="preserve">"תוספת שנייה א' </w:t>
            </w:r>
          </w:p>
        </w:tc>
      </w:tr>
      <w:tr w:rsidR="0012709E" w14:paraId="5DBA04FF" w14:textId="77777777" w:rsidTr="0012709E">
        <w:trPr>
          <w:cantSplit/>
        </w:trPr>
        <w:tc>
          <w:tcPr>
            <w:tcW w:w="1871" w:type="dxa"/>
            <w:tcMar>
              <w:top w:w="91" w:type="dxa"/>
              <w:left w:w="0" w:type="dxa"/>
              <w:bottom w:w="91" w:type="dxa"/>
              <w:right w:w="0" w:type="dxa"/>
            </w:tcMar>
          </w:tcPr>
          <w:p w14:paraId="3F8D683F" w14:textId="77777777" w:rsidR="0012709E" w:rsidRDefault="0012709E" w:rsidP="003D4044">
            <w:pPr>
              <w:pStyle w:val="TableSideHeading"/>
              <w:rPr>
                <w:sz w:val="26"/>
                <w:rtl/>
              </w:rPr>
            </w:pPr>
          </w:p>
        </w:tc>
        <w:tc>
          <w:tcPr>
            <w:tcW w:w="622" w:type="dxa"/>
            <w:tcMar>
              <w:top w:w="91" w:type="dxa"/>
              <w:left w:w="0" w:type="dxa"/>
              <w:bottom w:w="91" w:type="dxa"/>
              <w:right w:w="0" w:type="dxa"/>
            </w:tcMar>
          </w:tcPr>
          <w:p w14:paraId="2EE50397" w14:textId="77777777" w:rsidR="0012709E" w:rsidRDefault="0012709E" w:rsidP="003D4044">
            <w:pPr>
              <w:pStyle w:val="TableText"/>
              <w:rPr>
                <w:sz w:val="26"/>
                <w:rtl/>
              </w:rPr>
            </w:pPr>
          </w:p>
        </w:tc>
        <w:tc>
          <w:tcPr>
            <w:tcW w:w="7145" w:type="dxa"/>
            <w:gridSpan w:val="7"/>
            <w:tcMar>
              <w:top w:w="91" w:type="dxa"/>
              <w:left w:w="0" w:type="dxa"/>
              <w:bottom w:w="91" w:type="dxa"/>
              <w:right w:w="0" w:type="dxa"/>
            </w:tcMar>
            <w:hideMark/>
          </w:tcPr>
          <w:p w14:paraId="22C7955E" w14:textId="77777777" w:rsidR="0012709E" w:rsidRDefault="0012709E" w:rsidP="0012709E">
            <w:pPr>
              <w:pStyle w:val="TableHead"/>
              <w:rPr>
                <w:b w:val="0"/>
                <w:bCs w:val="0"/>
                <w:sz w:val="26"/>
                <w:rtl/>
              </w:rPr>
            </w:pPr>
            <w:r>
              <w:rPr>
                <w:rFonts w:hint="cs"/>
                <w:b w:val="0"/>
                <w:bCs w:val="0"/>
                <w:sz w:val="26"/>
                <w:rtl/>
              </w:rPr>
              <w:t xml:space="preserve">(סעיף 35לג1) </w:t>
            </w:r>
          </w:p>
        </w:tc>
      </w:tr>
      <w:tr w:rsidR="0012709E" w14:paraId="33AB5D36" w14:textId="77777777" w:rsidTr="0012709E">
        <w:trPr>
          <w:cantSplit/>
        </w:trPr>
        <w:tc>
          <w:tcPr>
            <w:tcW w:w="1871" w:type="dxa"/>
            <w:tcMar>
              <w:top w:w="91" w:type="dxa"/>
              <w:left w:w="0" w:type="dxa"/>
              <w:bottom w:w="91" w:type="dxa"/>
              <w:right w:w="0" w:type="dxa"/>
            </w:tcMar>
          </w:tcPr>
          <w:p w14:paraId="445EA046" w14:textId="77777777" w:rsidR="0012709E" w:rsidRDefault="0012709E" w:rsidP="003D4044">
            <w:pPr>
              <w:pStyle w:val="TableSideHeading"/>
              <w:rPr>
                <w:sz w:val="26"/>
                <w:rtl/>
              </w:rPr>
            </w:pPr>
          </w:p>
        </w:tc>
        <w:tc>
          <w:tcPr>
            <w:tcW w:w="622" w:type="dxa"/>
            <w:tcMar>
              <w:top w:w="91" w:type="dxa"/>
              <w:left w:w="0" w:type="dxa"/>
              <w:bottom w:w="91" w:type="dxa"/>
              <w:right w:w="0" w:type="dxa"/>
            </w:tcMar>
          </w:tcPr>
          <w:p w14:paraId="7D377E02" w14:textId="77777777" w:rsidR="0012709E" w:rsidRDefault="0012709E" w:rsidP="003D4044">
            <w:pPr>
              <w:pStyle w:val="TableText"/>
              <w:rPr>
                <w:sz w:val="26"/>
                <w:rtl/>
              </w:rPr>
            </w:pPr>
          </w:p>
        </w:tc>
        <w:tc>
          <w:tcPr>
            <w:tcW w:w="7145" w:type="dxa"/>
            <w:gridSpan w:val="7"/>
            <w:tcMar>
              <w:top w:w="91" w:type="dxa"/>
              <w:left w:w="0" w:type="dxa"/>
              <w:bottom w:w="91" w:type="dxa"/>
              <w:right w:w="0" w:type="dxa"/>
            </w:tcMar>
            <w:hideMark/>
          </w:tcPr>
          <w:p w14:paraId="54EA1819" w14:textId="77777777" w:rsidR="0012709E" w:rsidRDefault="0012709E" w:rsidP="0012709E">
            <w:pPr>
              <w:pStyle w:val="TableHead"/>
              <w:rPr>
                <w:sz w:val="26"/>
                <w:rtl/>
              </w:rPr>
            </w:pPr>
            <w:r>
              <w:rPr>
                <w:rFonts w:hint="cs"/>
                <w:sz w:val="26"/>
                <w:rtl/>
              </w:rPr>
              <w:t>בורסה זרה</w:t>
            </w:r>
          </w:p>
        </w:tc>
      </w:tr>
      <w:tr w:rsidR="0012709E" w14:paraId="2F4A4BE3" w14:textId="77777777" w:rsidTr="0012709E">
        <w:trPr>
          <w:cantSplit/>
        </w:trPr>
        <w:tc>
          <w:tcPr>
            <w:tcW w:w="1871" w:type="dxa"/>
            <w:tcMar>
              <w:top w:w="91" w:type="dxa"/>
              <w:left w:w="0" w:type="dxa"/>
              <w:bottom w:w="91" w:type="dxa"/>
              <w:right w:w="0" w:type="dxa"/>
            </w:tcMar>
          </w:tcPr>
          <w:p w14:paraId="5023AA32" w14:textId="77777777" w:rsidR="0012709E" w:rsidRDefault="0012709E" w:rsidP="003D4044">
            <w:pPr>
              <w:pStyle w:val="TableSideHeading"/>
              <w:rPr>
                <w:sz w:val="26"/>
                <w:rtl/>
              </w:rPr>
            </w:pPr>
          </w:p>
        </w:tc>
        <w:tc>
          <w:tcPr>
            <w:tcW w:w="622" w:type="dxa"/>
            <w:tcMar>
              <w:top w:w="91" w:type="dxa"/>
              <w:left w:w="0" w:type="dxa"/>
              <w:bottom w:w="91" w:type="dxa"/>
              <w:right w:w="0" w:type="dxa"/>
            </w:tcMar>
          </w:tcPr>
          <w:p w14:paraId="0345283E" w14:textId="77777777" w:rsidR="0012709E" w:rsidRDefault="0012709E" w:rsidP="003D4044">
            <w:pPr>
              <w:pStyle w:val="TableText"/>
              <w:rPr>
                <w:sz w:val="26"/>
                <w:rtl/>
              </w:rPr>
            </w:pPr>
          </w:p>
        </w:tc>
        <w:tc>
          <w:tcPr>
            <w:tcW w:w="7145" w:type="dxa"/>
            <w:gridSpan w:val="7"/>
            <w:tcMar>
              <w:top w:w="91" w:type="dxa"/>
              <w:left w:w="0" w:type="dxa"/>
              <w:bottom w:w="91" w:type="dxa"/>
              <w:right w:w="0" w:type="dxa"/>
            </w:tcMar>
            <w:hideMark/>
          </w:tcPr>
          <w:p w14:paraId="0F259177" w14:textId="3E3C1984" w:rsidR="0012709E" w:rsidRDefault="0012709E" w:rsidP="000E566D">
            <w:pPr>
              <w:pStyle w:val="TableBlock"/>
              <w:rPr>
                <w:rFonts w:hint="cs"/>
                <w:sz w:val="26"/>
                <w:rtl/>
              </w:rPr>
            </w:pPr>
            <w:r>
              <w:rPr>
                <w:rFonts w:hint="cs"/>
                <w:sz w:val="26"/>
                <w:rtl/>
              </w:rPr>
              <w:t>(1)</w:t>
            </w:r>
            <w:r>
              <w:rPr>
                <w:rFonts w:hint="cs"/>
                <w:sz w:val="26"/>
                <w:rtl/>
              </w:rPr>
              <w:tab/>
            </w:r>
            <w:r>
              <w:rPr>
                <w:rFonts w:ascii="Times New Roman" w:hAnsi="Times New Roman" w:cs="Times New Roman"/>
                <w:sz w:val="26"/>
              </w:rPr>
              <w:t>New York Stock Exchange (NYSE)</w:t>
            </w:r>
            <w:r w:rsidR="000E566D">
              <w:rPr>
                <w:rFonts w:hint="cs"/>
                <w:sz w:val="26"/>
                <w:rtl/>
              </w:rPr>
              <w:t>;</w:t>
            </w:r>
          </w:p>
        </w:tc>
      </w:tr>
      <w:tr w:rsidR="0012709E" w14:paraId="3F232DF1" w14:textId="77777777" w:rsidTr="0012709E">
        <w:trPr>
          <w:cantSplit/>
        </w:trPr>
        <w:tc>
          <w:tcPr>
            <w:tcW w:w="1871" w:type="dxa"/>
            <w:tcMar>
              <w:top w:w="91" w:type="dxa"/>
              <w:left w:w="0" w:type="dxa"/>
              <w:bottom w:w="91" w:type="dxa"/>
              <w:right w:w="0" w:type="dxa"/>
            </w:tcMar>
          </w:tcPr>
          <w:p w14:paraId="504E2326" w14:textId="77777777" w:rsidR="0012709E" w:rsidRDefault="0012709E" w:rsidP="003D4044">
            <w:pPr>
              <w:pStyle w:val="TableSideHeading"/>
              <w:rPr>
                <w:sz w:val="26"/>
                <w:rtl/>
              </w:rPr>
            </w:pPr>
          </w:p>
        </w:tc>
        <w:tc>
          <w:tcPr>
            <w:tcW w:w="622" w:type="dxa"/>
            <w:tcMar>
              <w:top w:w="91" w:type="dxa"/>
              <w:left w:w="0" w:type="dxa"/>
              <w:bottom w:w="91" w:type="dxa"/>
              <w:right w:w="0" w:type="dxa"/>
            </w:tcMar>
          </w:tcPr>
          <w:p w14:paraId="60A740EB" w14:textId="77777777" w:rsidR="0012709E" w:rsidRDefault="0012709E" w:rsidP="003D4044">
            <w:pPr>
              <w:pStyle w:val="TableText"/>
              <w:rPr>
                <w:sz w:val="26"/>
                <w:rtl/>
              </w:rPr>
            </w:pPr>
          </w:p>
        </w:tc>
        <w:tc>
          <w:tcPr>
            <w:tcW w:w="7145" w:type="dxa"/>
            <w:gridSpan w:val="7"/>
            <w:tcMar>
              <w:top w:w="91" w:type="dxa"/>
              <w:left w:w="0" w:type="dxa"/>
              <w:bottom w:w="91" w:type="dxa"/>
              <w:right w:w="0" w:type="dxa"/>
            </w:tcMar>
            <w:hideMark/>
          </w:tcPr>
          <w:p w14:paraId="0B726897" w14:textId="2E7F7337" w:rsidR="0012709E" w:rsidRDefault="0012709E" w:rsidP="0012709E">
            <w:pPr>
              <w:pStyle w:val="TableBlock"/>
              <w:rPr>
                <w:sz w:val="26"/>
                <w:rtl/>
              </w:rPr>
            </w:pPr>
            <w:r>
              <w:rPr>
                <w:rFonts w:hint="cs"/>
                <w:sz w:val="26"/>
                <w:rtl/>
              </w:rPr>
              <w:t>(2)</w:t>
            </w:r>
            <w:r>
              <w:rPr>
                <w:rFonts w:hint="cs"/>
                <w:sz w:val="26"/>
                <w:rtl/>
              </w:rPr>
              <w:tab/>
            </w:r>
            <w:r>
              <w:rPr>
                <w:rFonts w:ascii="Times New Roman" w:hAnsi="Times New Roman" w:cs="Times New Roman"/>
                <w:sz w:val="26"/>
              </w:rPr>
              <w:t>National Association of Securities Dealers Automated Quota</w:t>
            </w:r>
            <w:bookmarkStart w:id="6" w:name="_GoBack"/>
            <w:bookmarkEnd w:id="6"/>
            <w:r>
              <w:rPr>
                <w:rFonts w:ascii="Times New Roman" w:hAnsi="Times New Roman" w:cs="Times New Roman"/>
                <w:sz w:val="26"/>
              </w:rPr>
              <w:t>tion Global Select Market (NASDAQ)</w:t>
            </w:r>
            <w:r w:rsidR="000E566D">
              <w:rPr>
                <w:rFonts w:hint="cs"/>
                <w:sz w:val="26"/>
                <w:rtl/>
              </w:rPr>
              <w:t>.</w:t>
            </w:r>
            <w:r>
              <w:rPr>
                <w:rFonts w:hint="cs"/>
                <w:sz w:val="26"/>
                <w:rtl/>
              </w:rPr>
              <w:t>"</w:t>
            </w:r>
          </w:p>
        </w:tc>
      </w:tr>
      <w:tr w:rsidR="0012709E" w14:paraId="0F2A56CF" w14:textId="77777777" w:rsidTr="0012709E">
        <w:trPr>
          <w:cantSplit/>
        </w:trPr>
        <w:tc>
          <w:tcPr>
            <w:tcW w:w="1871" w:type="dxa"/>
            <w:tcMar>
              <w:top w:w="91" w:type="dxa"/>
              <w:left w:w="0" w:type="dxa"/>
              <w:bottom w:w="91" w:type="dxa"/>
              <w:right w:w="0" w:type="dxa"/>
            </w:tcMar>
            <w:hideMark/>
          </w:tcPr>
          <w:p w14:paraId="43A63C29" w14:textId="77777777" w:rsidR="0012709E" w:rsidRDefault="0012709E" w:rsidP="003D4044">
            <w:pPr>
              <w:pStyle w:val="TableSideHeading"/>
              <w:rPr>
                <w:sz w:val="26"/>
              </w:rPr>
            </w:pPr>
            <w:r>
              <w:rPr>
                <w:rFonts w:hint="cs"/>
                <w:sz w:val="26"/>
                <w:rtl/>
              </w:rPr>
              <w:t>תחילה</w:t>
            </w:r>
          </w:p>
        </w:tc>
        <w:tc>
          <w:tcPr>
            <w:tcW w:w="622" w:type="dxa"/>
            <w:tcMar>
              <w:top w:w="91" w:type="dxa"/>
              <w:left w:w="0" w:type="dxa"/>
              <w:bottom w:w="91" w:type="dxa"/>
              <w:right w:w="0" w:type="dxa"/>
            </w:tcMar>
            <w:hideMark/>
          </w:tcPr>
          <w:p w14:paraId="5B5EC0EB" w14:textId="77777777" w:rsidR="0012709E" w:rsidRDefault="0012709E" w:rsidP="003D4044">
            <w:pPr>
              <w:pStyle w:val="TableText"/>
              <w:rPr>
                <w:sz w:val="26"/>
                <w:rtl/>
              </w:rPr>
            </w:pPr>
            <w:r>
              <w:rPr>
                <w:rFonts w:hint="cs"/>
                <w:sz w:val="26"/>
                <w:rtl/>
              </w:rPr>
              <w:t>5.</w:t>
            </w:r>
          </w:p>
        </w:tc>
        <w:tc>
          <w:tcPr>
            <w:tcW w:w="7145" w:type="dxa"/>
            <w:gridSpan w:val="7"/>
            <w:tcMar>
              <w:top w:w="91" w:type="dxa"/>
              <w:left w:w="0" w:type="dxa"/>
              <w:bottom w:w="91" w:type="dxa"/>
              <w:right w:w="0" w:type="dxa"/>
            </w:tcMar>
            <w:hideMark/>
          </w:tcPr>
          <w:p w14:paraId="5D1BD0E9" w14:textId="77777777" w:rsidR="0012709E" w:rsidRDefault="0012709E" w:rsidP="0012709E">
            <w:pPr>
              <w:pStyle w:val="TableBlock"/>
              <w:rPr>
                <w:sz w:val="26"/>
                <w:rtl/>
              </w:rPr>
            </w:pPr>
            <w:r>
              <w:rPr>
                <w:rFonts w:hint="cs"/>
                <w:sz w:val="26"/>
                <w:rtl/>
              </w:rPr>
              <w:t>תחילתו של חוק זה ביום תחילתן של תקנות לפי סעיפים 35לג3 ו-35לג5 לחוק העיקרי, כנוסחם בסעיף 2 לחוק זה.</w:t>
            </w:r>
          </w:p>
        </w:tc>
      </w:tr>
    </w:tbl>
    <w:p w14:paraId="0A18A548" w14:textId="77777777" w:rsidR="0012709E" w:rsidRPr="0012709E" w:rsidRDefault="0012709E" w:rsidP="0012709E">
      <w:pPr>
        <w:spacing w:before="0"/>
        <w:jc w:val="center"/>
        <w:rPr>
          <w:b/>
          <w:bCs/>
          <w:sz w:val="28"/>
          <w:szCs w:val="28"/>
          <w:rtl/>
        </w:rPr>
      </w:pPr>
    </w:p>
    <w:p w14:paraId="11F1CEA9" w14:textId="77777777" w:rsidR="008525E2" w:rsidRDefault="008525E2" w:rsidP="008525E2">
      <w:pPr>
        <w:spacing w:before="0"/>
        <w:rPr>
          <w:sz w:val="26"/>
          <w:szCs w:val="26"/>
          <w:rtl/>
        </w:rPr>
      </w:pPr>
    </w:p>
    <w:p w14:paraId="11F1CEAE" w14:textId="77777777" w:rsidR="008525E2" w:rsidRPr="00E125CC" w:rsidRDefault="008525E2" w:rsidP="008525E2">
      <w:pPr>
        <w:pStyle w:val="Noparagraphstyle"/>
        <w:rPr>
          <w:sz w:val="26"/>
          <w:rtl/>
        </w:rPr>
      </w:pPr>
    </w:p>
    <w:p w14:paraId="11F1CEAF" w14:textId="77777777" w:rsidR="008525E2" w:rsidRPr="00E125CC" w:rsidRDefault="008525E2" w:rsidP="008525E2">
      <w:pPr>
        <w:pStyle w:val="Noparagraphstyle"/>
        <w:rPr>
          <w:sz w:val="26"/>
          <w:rtl/>
        </w:rPr>
      </w:pPr>
    </w:p>
    <w:p w14:paraId="11F1CEB0" w14:textId="77777777" w:rsidR="008525E2" w:rsidRPr="00E125CC" w:rsidRDefault="008525E2" w:rsidP="008525E2">
      <w:pPr>
        <w:pStyle w:val="Noparagraphstyle"/>
        <w:rPr>
          <w:sz w:val="26"/>
          <w:rtl/>
        </w:rPr>
      </w:pPr>
    </w:p>
    <w:p w14:paraId="11F1CEB1" w14:textId="77777777" w:rsidR="008525E2" w:rsidRPr="00E125CC" w:rsidRDefault="008525E2" w:rsidP="008525E2">
      <w:pPr>
        <w:pStyle w:val="Noparagraphstyle"/>
        <w:rPr>
          <w:sz w:val="26"/>
          <w:rtl/>
        </w:rPr>
      </w:pPr>
    </w:p>
    <w:p w14:paraId="11F1CEB2" w14:textId="77777777" w:rsidR="008525E2" w:rsidRPr="00E125CC" w:rsidRDefault="008525E2" w:rsidP="008525E2">
      <w:pPr>
        <w:pStyle w:val="Noparagraphstyle"/>
        <w:rPr>
          <w:sz w:val="26"/>
          <w:rtl/>
        </w:rPr>
      </w:pPr>
    </w:p>
    <w:tbl>
      <w:tblPr>
        <w:bidiVisual/>
        <w:tblW w:w="9639" w:type="dxa"/>
        <w:tblLook w:val="00A0" w:firstRow="1" w:lastRow="0" w:firstColumn="1" w:lastColumn="0" w:noHBand="0" w:noVBand="0"/>
      </w:tblPr>
      <w:tblGrid>
        <w:gridCol w:w="2409"/>
        <w:gridCol w:w="2410"/>
        <w:gridCol w:w="2410"/>
        <w:gridCol w:w="2410"/>
      </w:tblGrid>
      <w:tr w:rsidR="008525E2" w:rsidRPr="00D466D4" w14:paraId="11F1CEB9" w14:textId="77777777" w:rsidTr="006F3CC7">
        <w:tc>
          <w:tcPr>
            <w:tcW w:w="2410" w:type="dxa"/>
            <w:shd w:val="clear" w:color="auto" w:fill="auto"/>
          </w:tcPr>
          <w:p w14:paraId="11F1CEB3"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B4" w14:textId="77777777" w:rsidR="008525E2" w:rsidRPr="00D466D4" w:rsidRDefault="00220CAF" w:rsidP="006F3CC7">
            <w:pPr>
              <w:spacing w:before="0" w:line="360" w:lineRule="auto"/>
              <w:ind w:firstLine="0"/>
              <w:jc w:val="center"/>
              <w:rPr>
                <w:rFonts w:cs="David"/>
                <w:sz w:val="26"/>
                <w:szCs w:val="26"/>
                <w:rtl/>
              </w:rPr>
            </w:pPr>
            <w:bookmarkStart w:id="7" w:name="PrimeMinistryName"/>
            <w:r>
              <w:rPr>
                <w:rFonts w:cs="David" w:hint="cs"/>
                <w:sz w:val="26"/>
                <w:szCs w:val="26"/>
                <w:rtl/>
              </w:rPr>
              <w:t>בנימין נתניהו</w:t>
            </w:r>
            <w:bookmarkEnd w:id="7"/>
          </w:p>
          <w:p w14:paraId="11F1CEB5" w14:textId="77777777" w:rsidR="008525E2" w:rsidRPr="00D466D4" w:rsidRDefault="008525E2" w:rsidP="006F3CC7">
            <w:pPr>
              <w:spacing w:before="0" w:line="360" w:lineRule="auto"/>
              <w:ind w:firstLine="0"/>
              <w:jc w:val="center"/>
              <w:rPr>
                <w:rFonts w:cs="David"/>
                <w:sz w:val="26"/>
                <w:szCs w:val="26"/>
                <w:rtl/>
              </w:rPr>
            </w:pPr>
            <w:r w:rsidRPr="00D466D4">
              <w:rPr>
                <w:rFonts w:cs="David" w:hint="cs"/>
                <w:sz w:val="26"/>
                <w:szCs w:val="26"/>
                <w:rtl/>
              </w:rPr>
              <w:t>ראש הממשלה</w:t>
            </w:r>
          </w:p>
        </w:tc>
        <w:tc>
          <w:tcPr>
            <w:tcW w:w="2410" w:type="dxa"/>
            <w:shd w:val="clear" w:color="auto" w:fill="auto"/>
          </w:tcPr>
          <w:p w14:paraId="11F1CEB6"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B7" w14:textId="36548B4D" w:rsidR="008525E2" w:rsidRPr="00D466D4" w:rsidRDefault="0012709E" w:rsidP="006F3CC7">
            <w:pPr>
              <w:spacing w:before="0" w:line="360" w:lineRule="auto"/>
              <w:ind w:firstLine="0"/>
              <w:jc w:val="center"/>
              <w:rPr>
                <w:rFonts w:cs="David"/>
                <w:sz w:val="26"/>
                <w:szCs w:val="26"/>
                <w:rtl/>
              </w:rPr>
            </w:pPr>
            <w:r>
              <w:rPr>
                <w:rFonts w:cs="David" w:hint="cs"/>
                <w:sz w:val="26"/>
                <w:szCs w:val="26"/>
                <w:rtl/>
              </w:rPr>
              <w:t>משה כחלון</w:t>
            </w:r>
          </w:p>
          <w:p w14:paraId="11F1CEB8" w14:textId="3920DD3C" w:rsidR="008525E2" w:rsidRPr="00D466D4" w:rsidRDefault="008525E2" w:rsidP="006F3CC7">
            <w:pPr>
              <w:spacing w:before="0" w:line="360" w:lineRule="auto"/>
              <w:ind w:firstLine="0"/>
              <w:jc w:val="center"/>
              <w:rPr>
                <w:rFonts w:cs="David"/>
                <w:sz w:val="26"/>
                <w:szCs w:val="26"/>
                <w:rtl/>
              </w:rPr>
            </w:pPr>
            <w:r w:rsidRPr="00D466D4">
              <w:rPr>
                <w:rFonts w:cs="David" w:hint="cs"/>
                <w:sz w:val="26"/>
                <w:szCs w:val="26"/>
                <w:rtl/>
              </w:rPr>
              <w:t>שר ה</w:t>
            </w:r>
            <w:r w:rsidR="0012709E">
              <w:rPr>
                <w:rFonts w:cs="David" w:hint="cs"/>
                <w:sz w:val="26"/>
                <w:szCs w:val="26"/>
                <w:rtl/>
              </w:rPr>
              <w:t>אוצר</w:t>
            </w:r>
          </w:p>
        </w:tc>
      </w:tr>
      <w:tr w:rsidR="008525E2" w:rsidRPr="00D466D4" w14:paraId="11F1CEC0" w14:textId="77777777" w:rsidTr="006F3CC7">
        <w:tc>
          <w:tcPr>
            <w:tcW w:w="2410" w:type="dxa"/>
            <w:shd w:val="clear" w:color="auto" w:fill="auto"/>
          </w:tcPr>
          <w:p w14:paraId="11F1CEBA" w14:textId="77777777" w:rsidR="008525E2" w:rsidRPr="00D466D4" w:rsidRDefault="008525E2" w:rsidP="006F3CC7">
            <w:pPr>
              <w:spacing w:before="0" w:line="360" w:lineRule="auto"/>
              <w:ind w:firstLine="0"/>
              <w:jc w:val="center"/>
              <w:rPr>
                <w:rFonts w:cs="David"/>
                <w:sz w:val="26"/>
                <w:szCs w:val="26"/>
                <w:rtl/>
              </w:rPr>
            </w:pPr>
          </w:p>
          <w:p w14:paraId="11F1CEBB"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BC"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BD"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BE" w14:textId="77777777" w:rsidR="008525E2" w:rsidRPr="00D466D4" w:rsidRDefault="008525E2" w:rsidP="006F3CC7">
            <w:pPr>
              <w:spacing w:before="0" w:line="360" w:lineRule="auto"/>
              <w:ind w:firstLine="0"/>
              <w:jc w:val="center"/>
              <w:rPr>
                <w:rFonts w:cs="David"/>
                <w:sz w:val="26"/>
                <w:szCs w:val="26"/>
                <w:rtl/>
              </w:rPr>
            </w:pPr>
          </w:p>
          <w:p w14:paraId="11F1CEBF" w14:textId="77777777" w:rsidR="008525E2" w:rsidRPr="00D466D4" w:rsidRDefault="008525E2" w:rsidP="006F3CC7">
            <w:pPr>
              <w:spacing w:before="0" w:line="360" w:lineRule="auto"/>
              <w:ind w:firstLine="0"/>
              <w:jc w:val="center"/>
              <w:rPr>
                <w:rFonts w:cs="David"/>
                <w:sz w:val="26"/>
                <w:szCs w:val="26"/>
                <w:rtl/>
              </w:rPr>
            </w:pPr>
          </w:p>
        </w:tc>
      </w:tr>
      <w:tr w:rsidR="008525E2" w:rsidRPr="00D466D4" w14:paraId="11F1CEC7" w14:textId="77777777" w:rsidTr="006F3CC7">
        <w:tc>
          <w:tcPr>
            <w:tcW w:w="2410" w:type="dxa"/>
            <w:shd w:val="clear" w:color="auto" w:fill="auto"/>
          </w:tcPr>
          <w:p w14:paraId="11F1CEC1" w14:textId="77777777" w:rsidR="008525E2" w:rsidRPr="00D466D4" w:rsidRDefault="008525E2" w:rsidP="006F3CC7">
            <w:pPr>
              <w:spacing w:before="0" w:line="360" w:lineRule="auto"/>
              <w:ind w:firstLine="0"/>
              <w:jc w:val="center"/>
              <w:rPr>
                <w:rFonts w:cs="David"/>
                <w:sz w:val="26"/>
                <w:szCs w:val="26"/>
                <w:rtl/>
              </w:rPr>
            </w:pPr>
            <w:r w:rsidRPr="003710E7">
              <w:rPr>
                <w:rFonts w:cs="David" w:hint="cs"/>
                <w:sz w:val="26"/>
                <w:szCs w:val="26"/>
                <w:rtl/>
              </w:rPr>
              <w:t>ראובן ריבלין</w:t>
            </w:r>
          </w:p>
          <w:p w14:paraId="11F1CEC2" w14:textId="77777777" w:rsidR="008525E2" w:rsidRPr="00D466D4" w:rsidRDefault="008525E2" w:rsidP="006F3CC7">
            <w:pPr>
              <w:spacing w:before="0" w:line="360" w:lineRule="auto"/>
              <w:ind w:firstLine="0"/>
              <w:jc w:val="center"/>
              <w:rPr>
                <w:rFonts w:cs="David"/>
                <w:sz w:val="26"/>
                <w:szCs w:val="26"/>
                <w:rtl/>
              </w:rPr>
            </w:pPr>
            <w:r w:rsidRPr="00D466D4">
              <w:rPr>
                <w:rFonts w:cs="David" w:hint="cs"/>
                <w:sz w:val="26"/>
                <w:szCs w:val="26"/>
                <w:rtl/>
              </w:rPr>
              <w:t>נשיא המדינה</w:t>
            </w:r>
          </w:p>
        </w:tc>
        <w:tc>
          <w:tcPr>
            <w:tcW w:w="2410" w:type="dxa"/>
            <w:shd w:val="clear" w:color="auto" w:fill="auto"/>
          </w:tcPr>
          <w:p w14:paraId="11F1CEC3"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C4" w14:textId="77777777" w:rsidR="008525E2" w:rsidRPr="00D466D4" w:rsidRDefault="00220CAF" w:rsidP="006F3CC7">
            <w:pPr>
              <w:spacing w:before="0" w:line="360" w:lineRule="auto"/>
              <w:ind w:firstLine="0"/>
              <w:jc w:val="center"/>
              <w:rPr>
                <w:rFonts w:cs="David"/>
                <w:sz w:val="26"/>
                <w:szCs w:val="26"/>
                <w:rtl/>
              </w:rPr>
            </w:pPr>
            <w:bookmarkStart w:id="8" w:name="HeadKnessetName"/>
            <w:r>
              <w:rPr>
                <w:rFonts w:cs="David" w:hint="cs"/>
                <w:sz w:val="26"/>
                <w:szCs w:val="26"/>
                <w:rtl/>
              </w:rPr>
              <w:t>יולי יואל אדלשטיין</w:t>
            </w:r>
            <w:bookmarkEnd w:id="8"/>
          </w:p>
          <w:p w14:paraId="11F1CEC5" w14:textId="77777777" w:rsidR="008525E2" w:rsidRPr="00D466D4" w:rsidRDefault="008525E2" w:rsidP="006F3CC7">
            <w:pPr>
              <w:spacing w:before="0" w:line="360" w:lineRule="auto"/>
              <w:ind w:firstLine="0"/>
              <w:jc w:val="center"/>
              <w:rPr>
                <w:rFonts w:cs="David"/>
                <w:sz w:val="26"/>
                <w:szCs w:val="26"/>
                <w:rtl/>
              </w:rPr>
            </w:pPr>
            <w:r w:rsidRPr="00D466D4">
              <w:rPr>
                <w:rFonts w:cs="David" w:hint="cs"/>
                <w:sz w:val="26"/>
                <w:szCs w:val="26"/>
                <w:rtl/>
              </w:rPr>
              <w:t>יושב ראש הכנסת</w:t>
            </w:r>
          </w:p>
        </w:tc>
        <w:tc>
          <w:tcPr>
            <w:tcW w:w="2410" w:type="dxa"/>
            <w:shd w:val="clear" w:color="auto" w:fill="auto"/>
          </w:tcPr>
          <w:p w14:paraId="11F1CEC6" w14:textId="77777777" w:rsidR="008525E2" w:rsidRPr="00D466D4" w:rsidRDefault="008525E2" w:rsidP="006F3CC7">
            <w:pPr>
              <w:spacing w:before="0" w:line="360" w:lineRule="auto"/>
              <w:ind w:firstLine="0"/>
              <w:jc w:val="center"/>
              <w:rPr>
                <w:rFonts w:cs="David"/>
                <w:sz w:val="26"/>
                <w:szCs w:val="26"/>
                <w:rtl/>
              </w:rPr>
            </w:pPr>
          </w:p>
        </w:tc>
      </w:tr>
    </w:tbl>
    <w:p w14:paraId="11F1CEC8" w14:textId="77777777" w:rsidR="008525E2" w:rsidRDefault="008525E2" w:rsidP="008525E2">
      <w:pPr>
        <w:pStyle w:val="Hesber"/>
        <w:rPr>
          <w:rtl/>
        </w:rPr>
      </w:pPr>
    </w:p>
    <w:p w14:paraId="11F1CEC9" w14:textId="77777777" w:rsidR="008525E2" w:rsidRPr="00FD6E55" w:rsidRDefault="008525E2" w:rsidP="008525E2">
      <w:pPr>
        <w:rPr>
          <w:rtl/>
        </w:rPr>
      </w:pPr>
    </w:p>
    <w:p w14:paraId="11F1CECA" w14:textId="77777777" w:rsidR="002137F8" w:rsidRPr="008525E2" w:rsidRDefault="002137F8" w:rsidP="008525E2">
      <w:pPr>
        <w:rPr>
          <w:rtl/>
        </w:rPr>
      </w:pPr>
    </w:p>
    <w:sectPr w:rsidR="002137F8" w:rsidRPr="008525E2" w:rsidSect="004E77B7">
      <w:headerReference w:type="even" r:id="rId13"/>
      <w:headerReference w:type="default" r:id="rId14"/>
      <w:footerReference w:type="even" r:id="rId15"/>
      <w:pgSz w:w="11906" w:h="16838"/>
      <w:pgMar w:top="1440" w:right="1134" w:bottom="1440" w:left="1134" w:header="709"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1CECF" w14:textId="77777777" w:rsidR="00707F31" w:rsidRDefault="00707F31" w:rsidP="00B416AF">
      <w:pPr>
        <w:pStyle w:val="HeadHatzaotHok"/>
      </w:pPr>
      <w:r>
        <w:separator/>
      </w:r>
    </w:p>
  </w:endnote>
  <w:endnote w:type="continuationSeparator" w:id="0">
    <w:p w14:paraId="11F1CED0" w14:textId="77777777" w:rsidR="00707F31" w:rsidRDefault="00707F31" w:rsidP="00B416AF">
      <w:pPr>
        <w:pStyle w:val="HeadHatzaotHok"/>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adasa Roso SL">
    <w:altName w:val="Times New Roman"/>
    <w:charset w:val="00"/>
    <w:family w:val="roman"/>
    <w:pitch w:val="variable"/>
    <w:sig w:usb0="80001827" w:usb1="5000004A" w:usb2="00000020" w:usb3="00000000" w:csb0="00000021" w:csb1="00000000"/>
  </w:font>
  <w:font w:name="MS Mincho">
    <w:altName w:val="ＭＳ 明朝"/>
    <w:panose1 w:val="02020609040205080304"/>
    <w:charset w:val="80"/>
    <w:family w:val="modern"/>
    <w:pitch w:val="fixed"/>
    <w:sig w:usb0="E00002FF" w:usb1="6AC7FDFB" w:usb2="00000012" w:usb3="00000000" w:csb0="0002009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1CED5" w14:textId="77777777" w:rsidR="002137F8" w:rsidRDefault="002137F8" w:rsidP="00B416AF">
    <w:pPr>
      <w:pStyle w:val="a7"/>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end"/>
    </w:r>
  </w:p>
  <w:p w14:paraId="11F1CED6" w14:textId="77777777" w:rsidR="002137F8" w:rsidRDefault="002137F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1CECD" w14:textId="77777777" w:rsidR="00707F31" w:rsidRDefault="00707F31" w:rsidP="00696C5E">
      <w:pPr>
        <w:pStyle w:val="HeadHatzaotHok"/>
        <w:spacing w:before="0"/>
        <w:jc w:val="left"/>
      </w:pPr>
      <w:r>
        <w:separator/>
      </w:r>
    </w:p>
  </w:footnote>
  <w:footnote w:type="continuationSeparator" w:id="0">
    <w:p w14:paraId="11F1CECE" w14:textId="77777777" w:rsidR="00707F31" w:rsidRPr="00696C5E" w:rsidRDefault="00707F31" w:rsidP="00696C5E">
      <w:pPr>
        <w:pStyle w:val="HeadHatzaotHok"/>
        <w:spacing w:before="0"/>
        <w:jc w:val="left"/>
      </w:pPr>
      <w:r>
        <w:separator/>
      </w:r>
    </w:p>
  </w:footnote>
  <w:footnote w:id="1">
    <w:p w14:paraId="11F1CED7" w14:textId="3C36A825" w:rsidR="008525E2" w:rsidRDefault="008525E2" w:rsidP="0024044E">
      <w:pPr>
        <w:pStyle w:val="a9"/>
        <w:rPr>
          <w:rtl/>
        </w:rPr>
      </w:pPr>
      <w:r>
        <w:rPr>
          <w:rStyle w:val="a8"/>
        </w:rPr>
        <w:t>*</w:t>
      </w:r>
      <w:r>
        <w:rPr>
          <w:rFonts w:hint="cs"/>
          <w:rtl/>
        </w:rPr>
        <w:t xml:space="preserve"> התקבל בכנסת ביום </w:t>
      </w:r>
      <w:bookmarkStart w:id="1" w:name="LGSVote3Date"/>
      <w:r w:rsidR="0012709E">
        <w:rPr>
          <w:rFonts w:hint="cs"/>
          <w:rtl/>
        </w:rPr>
        <w:t>כ"ב באדר התשע"ז (20 במרס 2017)</w:t>
      </w:r>
      <w:bookmarkEnd w:id="1"/>
      <w:r>
        <w:rPr>
          <w:rFonts w:hint="cs"/>
          <w:rtl/>
        </w:rPr>
        <w:t xml:space="preserve">; הצעת החוק ודברי הסבר פורסמו בהצעות חוק </w:t>
      </w:r>
      <w:bookmarkStart w:id="2" w:name="LGSType"/>
      <w:r>
        <w:rPr>
          <w:rFonts w:hint="cs"/>
          <w:rtl/>
        </w:rPr>
        <w:t>הממשלה</w:t>
      </w:r>
      <w:bookmarkEnd w:id="2"/>
      <w:r>
        <w:rPr>
          <w:rFonts w:hint="cs"/>
          <w:rtl/>
        </w:rPr>
        <w:t xml:space="preserve"> </w:t>
      </w:r>
      <w:r>
        <w:rPr>
          <w:rFonts w:hint="eastAsia"/>
          <w:rtl/>
        </w:rPr>
        <w:t>–</w:t>
      </w:r>
      <w:r>
        <w:rPr>
          <w:rFonts w:hint="cs"/>
          <w:rtl/>
        </w:rPr>
        <w:t xml:space="preserve"> </w:t>
      </w:r>
      <w:bookmarkStart w:id="3" w:name="LGSNum"/>
      <w:r>
        <w:rPr>
          <w:rFonts w:hint="cs"/>
          <w:rtl/>
        </w:rPr>
        <w:t>1062</w:t>
      </w:r>
      <w:bookmarkEnd w:id="3"/>
      <w:r>
        <w:rPr>
          <w:rFonts w:hint="eastAsia"/>
          <w:rtl/>
        </w:rPr>
        <w:t xml:space="preserve">, מיום </w:t>
      </w:r>
      <w:bookmarkStart w:id="4" w:name="HebDate"/>
      <w:r>
        <w:rPr>
          <w:rFonts w:hint="cs"/>
          <w:rtl/>
        </w:rPr>
        <w:t>ז' בתמוז התשע"ו</w:t>
      </w:r>
      <w:bookmarkEnd w:id="4"/>
      <w:r w:rsidRPr="00827E61">
        <w:rPr>
          <w:rFonts w:hint="cs"/>
          <w:rtl/>
        </w:rPr>
        <w:t xml:space="preserve"> (</w:t>
      </w:r>
      <w:bookmarkStart w:id="5" w:name="EngDate"/>
      <w:r>
        <w:rPr>
          <w:rFonts w:hint="cs"/>
          <w:rtl/>
        </w:rPr>
        <w:t>13 ביולי 2016</w:t>
      </w:r>
      <w:bookmarkEnd w:id="5"/>
      <w:r w:rsidRPr="00827E61">
        <w:rPr>
          <w:rFonts w:hint="cs"/>
          <w:rtl/>
        </w:rPr>
        <w:t>), עמ'</w:t>
      </w:r>
      <w:r w:rsidR="0012709E">
        <w:rPr>
          <w:rFonts w:hint="cs"/>
          <w:rtl/>
        </w:rPr>
        <w:t xml:space="preserve"> 1205</w:t>
      </w:r>
      <w:r>
        <w:rPr>
          <w:rFonts w:hint="cs"/>
          <w:rtl/>
        </w:rPr>
        <w:t>.</w:t>
      </w:r>
    </w:p>
  </w:footnote>
  <w:footnote w:id="2">
    <w:p w14:paraId="665106B5" w14:textId="51914290" w:rsidR="0012709E" w:rsidRDefault="0012709E" w:rsidP="0012709E">
      <w:pPr>
        <w:pStyle w:val="a9"/>
        <w:rPr>
          <w:rtl/>
        </w:rPr>
      </w:pPr>
      <w:r w:rsidRPr="00D66B35">
        <w:rPr>
          <w:rStyle w:val="a8"/>
        </w:rPr>
        <w:footnoteRef/>
      </w:r>
      <w:r w:rsidR="000E566D">
        <w:rPr>
          <w:rFonts w:hint="cs"/>
          <w:rtl/>
        </w:rPr>
        <w:t xml:space="preserve"> ס"ח התשכ"ח, עמ' 234; התשע"ז, עמ'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1CED1" w14:textId="77777777" w:rsidR="002137F8" w:rsidRDefault="002137F8">
    <w:pPr>
      <w:pStyle w:val="ab"/>
      <w:framePr w:wrap="around" w:vAnchor="text" w:hAnchor="margin" w:xAlign="center" w:y="1"/>
      <w:rPr>
        <w:rStyle w:val="ac"/>
        <w:rtl/>
      </w:rPr>
    </w:pPr>
    <w:r>
      <w:rPr>
        <w:rStyle w:val="ac"/>
        <w:rtl/>
      </w:rPr>
      <w:fldChar w:fldCharType="begin"/>
    </w:r>
    <w:r>
      <w:rPr>
        <w:rStyle w:val="ac"/>
      </w:rPr>
      <w:instrText xml:space="preserve">PAGE  </w:instrText>
    </w:r>
    <w:r>
      <w:rPr>
        <w:rStyle w:val="ac"/>
        <w:rtl/>
      </w:rPr>
      <w:fldChar w:fldCharType="end"/>
    </w:r>
  </w:p>
  <w:p w14:paraId="11F1CED2" w14:textId="77777777" w:rsidR="002137F8" w:rsidRDefault="002137F8">
    <w:pPr>
      <w:pStyle w:val="ab"/>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1CED3" w14:textId="77777777" w:rsidR="002137F8" w:rsidRPr="00E125CC" w:rsidRDefault="002137F8">
    <w:pPr>
      <w:pStyle w:val="ab"/>
      <w:framePr w:wrap="around" w:vAnchor="text" w:hAnchor="margin" w:xAlign="center" w:y="1"/>
      <w:rPr>
        <w:rStyle w:val="ac"/>
        <w:rFonts w:cs="David"/>
        <w:sz w:val="24"/>
        <w:szCs w:val="24"/>
        <w:rtl/>
      </w:rPr>
    </w:pPr>
    <w:r>
      <w:rPr>
        <w:rStyle w:val="ac"/>
        <w:rFonts w:cs="David" w:hint="cs"/>
        <w:sz w:val="24"/>
        <w:szCs w:val="24"/>
        <w:rtl/>
      </w:rPr>
      <w:t xml:space="preserve">- </w:t>
    </w:r>
    <w:r w:rsidRPr="00E125CC">
      <w:rPr>
        <w:rStyle w:val="ac"/>
        <w:rFonts w:cs="David"/>
        <w:sz w:val="24"/>
        <w:szCs w:val="24"/>
        <w:rtl/>
      </w:rPr>
      <w:fldChar w:fldCharType="begin"/>
    </w:r>
    <w:r w:rsidRPr="00E125CC">
      <w:rPr>
        <w:rStyle w:val="ac"/>
        <w:rFonts w:cs="David"/>
        <w:sz w:val="24"/>
        <w:szCs w:val="24"/>
      </w:rPr>
      <w:instrText xml:space="preserve">PAGE  </w:instrText>
    </w:r>
    <w:r w:rsidRPr="00E125CC">
      <w:rPr>
        <w:rStyle w:val="ac"/>
        <w:rFonts w:cs="David"/>
        <w:sz w:val="24"/>
        <w:szCs w:val="24"/>
        <w:rtl/>
      </w:rPr>
      <w:fldChar w:fldCharType="separate"/>
    </w:r>
    <w:r w:rsidR="000E566D">
      <w:rPr>
        <w:rStyle w:val="ac"/>
        <w:rFonts w:cs="David"/>
        <w:noProof/>
        <w:sz w:val="24"/>
        <w:szCs w:val="24"/>
        <w:rtl/>
      </w:rPr>
      <w:t>4</w:t>
    </w:r>
    <w:r w:rsidRPr="00E125CC">
      <w:rPr>
        <w:rStyle w:val="ac"/>
        <w:rFonts w:cs="David"/>
        <w:sz w:val="24"/>
        <w:szCs w:val="24"/>
        <w:rtl/>
      </w:rPr>
      <w:fldChar w:fldCharType="end"/>
    </w:r>
    <w:r>
      <w:rPr>
        <w:rStyle w:val="ac"/>
        <w:rFonts w:cs="David" w:hint="cs"/>
        <w:sz w:val="24"/>
        <w:szCs w:val="24"/>
        <w:rtl/>
      </w:rPr>
      <w:t xml:space="preserve"> -</w:t>
    </w:r>
  </w:p>
  <w:p w14:paraId="11F1CED4" w14:textId="77777777" w:rsidR="002137F8" w:rsidRDefault="002137F8">
    <w:pPr>
      <w:pStyle w:val="ab"/>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0DA52957"/>
    <w:multiLevelType w:val="multilevel"/>
    <w:tmpl w:val="D20A7DD6"/>
    <w:lvl w:ilvl="0">
      <w:start w:val="1"/>
      <w:numFmt w:val="decimal"/>
      <w:lvlRestart w:val="0"/>
      <w:suff w:val="nothing"/>
      <w:lvlText w:val=".%1"/>
      <w:lvlJc w:val="left"/>
      <w:pPr>
        <w:ind w:left="0" w:firstLine="0"/>
      </w:pPr>
      <w:rPr>
        <w:rFonts w:hint="default"/>
      </w:rPr>
    </w:lvl>
    <w:lvl w:ilvl="1">
      <w:start w:val="1"/>
      <w:numFmt w:val="hebrew2"/>
      <w:lvlText w:val="(%2)"/>
      <w:lvlJc w:val="left"/>
      <w:pPr>
        <w:tabs>
          <w:tab w:val="num" w:pos="0"/>
        </w:tabs>
        <w:ind w:left="0" w:firstLine="0"/>
      </w:pPr>
      <w:rPr>
        <w:rFonts w:hint="default"/>
      </w:rPr>
    </w:lvl>
    <w:lvl w:ilvl="2">
      <w:start w:val="1"/>
      <w:numFmt w:val="decimal"/>
      <w:lvlText w:val="(%3)"/>
      <w:lvlJc w:val="left"/>
      <w:pPr>
        <w:tabs>
          <w:tab w:val="num" w:pos="624"/>
        </w:tabs>
        <w:ind w:left="0" w:firstLine="0"/>
      </w:pPr>
      <w:rPr>
        <w:rFonts w:hint="default"/>
      </w:rPr>
    </w:lvl>
    <w:lvl w:ilvl="3">
      <w:start w:val="1"/>
      <w:numFmt w:val="hebrew1"/>
      <w:lvlText w:val="(%4)"/>
      <w:lvlJc w:val="left"/>
      <w:pPr>
        <w:tabs>
          <w:tab w:val="num" w:pos="624"/>
        </w:tabs>
        <w:ind w:left="0" w:firstLine="0"/>
      </w:pPr>
      <w:rPr>
        <w:rFonts w:hint="default"/>
      </w:rPr>
    </w:lvl>
    <w:lvl w:ilvl="4">
      <w:start w:val="1"/>
      <w:numFmt w:val="decimal"/>
      <w:lvlText w:val="(%5)"/>
      <w:lvlJc w:val="left"/>
      <w:pPr>
        <w:tabs>
          <w:tab w:val="num" w:pos="624"/>
        </w:tabs>
        <w:ind w:left="0" w:firstLine="0"/>
      </w:pPr>
      <w:rPr>
        <w:rFonts w:hint="default"/>
      </w:rPr>
    </w:lvl>
    <w:lvl w:ilvl="5">
      <w:start w:val="1"/>
      <w:numFmt w:val="hebrew1"/>
      <w:lvlText w:val="(%6)"/>
      <w:lvlJc w:val="left"/>
      <w:pPr>
        <w:tabs>
          <w:tab w:val="num" w:pos="0"/>
        </w:tabs>
        <w:ind w:left="0" w:firstLine="0"/>
      </w:pPr>
      <w:rPr>
        <w:rFonts w:hint="default"/>
      </w:rPr>
    </w:lvl>
    <w:lvl w:ilvl="6">
      <w:start w:val="1"/>
      <w:numFmt w:val="decimal"/>
      <w:lvlRestart w:val="0"/>
      <w:lvlText w:val="(%7)"/>
      <w:lvlJc w:val="left"/>
      <w:pPr>
        <w:tabs>
          <w:tab w:val="num" w:pos="0"/>
        </w:tabs>
        <w:ind w:left="0" w:firstLine="0"/>
      </w:pPr>
      <w:rPr>
        <w:rFonts w:hint="default"/>
      </w:rPr>
    </w:lvl>
    <w:lvl w:ilvl="7">
      <w:start w:val="1"/>
      <w:numFmt w:val="bullet"/>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743"/>
    <w:rsid w:val="00022EBF"/>
    <w:rsid w:val="0002643E"/>
    <w:rsid w:val="0002757A"/>
    <w:rsid w:val="00027E2D"/>
    <w:rsid w:val="00033033"/>
    <w:rsid w:val="00047882"/>
    <w:rsid w:val="00077AF1"/>
    <w:rsid w:val="00097925"/>
    <w:rsid w:val="000B3A00"/>
    <w:rsid w:val="000E3B18"/>
    <w:rsid w:val="000E4563"/>
    <w:rsid w:val="000E566D"/>
    <w:rsid w:val="000E7E08"/>
    <w:rsid w:val="000F6D7C"/>
    <w:rsid w:val="001253F6"/>
    <w:rsid w:val="0012709E"/>
    <w:rsid w:val="00135743"/>
    <w:rsid w:val="001C4A6C"/>
    <w:rsid w:val="002000B0"/>
    <w:rsid w:val="00205DFF"/>
    <w:rsid w:val="0020610D"/>
    <w:rsid w:val="0020793A"/>
    <w:rsid w:val="002137F8"/>
    <w:rsid w:val="00220CAF"/>
    <w:rsid w:val="00222DA1"/>
    <w:rsid w:val="0024044E"/>
    <w:rsid w:val="00280B87"/>
    <w:rsid w:val="002C4285"/>
    <w:rsid w:val="002C4FF8"/>
    <w:rsid w:val="002E1F11"/>
    <w:rsid w:val="002E6458"/>
    <w:rsid w:val="00331786"/>
    <w:rsid w:val="0034385F"/>
    <w:rsid w:val="00352E82"/>
    <w:rsid w:val="003710E7"/>
    <w:rsid w:val="0037452B"/>
    <w:rsid w:val="003948C0"/>
    <w:rsid w:val="003B4BC6"/>
    <w:rsid w:val="003C03C8"/>
    <w:rsid w:val="003C1215"/>
    <w:rsid w:val="003D27C5"/>
    <w:rsid w:val="003D58F4"/>
    <w:rsid w:val="004239B4"/>
    <w:rsid w:val="004265E2"/>
    <w:rsid w:val="00443D7D"/>
    <w:rsid w:val="004B1418"/>
    <w:rsid w:val="004B1FDD"/>
    <w:rsid w:val="004C68A2"/>
    <w:rsid w:val="004D7542"/>
    <w:rsid w:val="004E5E15"/>
    <w:rsid w:val="004E77B7"/>
    <w:rsid w:val="0052521E"/>
    <w:rsid w:val="005527D3"/>
    <w:rsid w:val="005652C2"/>
    <w:rsid w:val="0057628C"/>
    <w:rsid w:val="005A2EB8"/>
    <w:rsid w:val="005B6107"/>
    <w:rsid w:val="005C5383"/>
    <w:rsid w:val="005D1A36"/>
    <w:rsid w:val="005F20ED"/>
    <w:rsid w:val="00606368"/>
    <w:rsid w:val="00696C5E"/>
    <w:rsid w:val="006B4B3F"/>
    <w:rsid w:val="006C2108"/>
    <w:rsid w:val="006D0910"/>
    <w:rsid w:val="006F219C"/>
    <w:rsid w:val="006F3CC7"/>
    <w:rsid w:val="00707F31"/>
    <w:rsid w:val="00732EFC"/>
    <w:rsid w:val="007428E7"/>
    <w:rsid w:val="00765153"/>
    <w:rsid w:val="00787D9C"/>
    <w:rsid w:val="007C2914"/>
    <w:rsid w:val="007C4213"/>
    <w:rsid w:val="007E362D"/>
    <w:rsid w:val="00827E61"/>
    <w:rsid w:val="0083056F"/>
    <w:rsid w:val="00847132"/>
    <w:rsid w:val="008525E2"/>
    <w:rsid w:val="00854E28"/>
    <w:rsid w:val="00855A92"/>
    <w:rsid w:val="00861CDE"/>
    <w:rsid w:val="008836D8"/>
    <w:rsid w:val="00885A35"/>
    <w:rsid w:val="00890350"/>
    <w:rsid w:val="008A5C70"/>
    <w:rsid w:val="008B055C"/>
    <w:rsid w:val="009579F7"/>
    <w:rsid w:val="009B1679"/>
    <w:rsid w:val="009C37CC"/>
    <w:rsid w:val="009C7FC7"/>
    <w:rsid w:val="009E19BF"/>
    <w:rsid w:val="009F0EF8"/>
    <w:rsid w:val="00A03A03"/>
    <w:rsid w:val="00A15945"/>
    <w:rsid w:val="00A54DE5"/>
    <w:rsid w:val="00A9474C"/>
    <w:rsid w:val="00AA5399"/>
    <w:rsid w:val="00AC4CCE"/>
    <w:rsid w:val="00B16515"/>
    <w:rsid w:val="00B416AF"/>
    <w:rsid w:val="00B4412A"/>
    <w:rsid w:val="00B6418A"/>
    <w:rsid w:val="00BA09A3"/>
    <w:rsid w:val="00BA2FCA"/>
    <w:rsid w:val="00BD0880"/>
    <w:rsid w:val="00C0211F"/>
    <w:rsid w:val="00C35CC5"/>
    <w:rsid w:val="00C61EBB"/>
    <w:rsid w:val="00C63E8C"/>
    <w:rsid w:val="00C7276B"/>
    <w:rsid w:val="00C72DFC"/>
    <w:rsid w:val="00CA7AA2"/>
    <w:rsid w:val="00CA7D8A"/>
    <w:rsid w:val="00CA7E27"/>
    <w:rsid w:val="00CC515F"/>
    <w:rsid w:val="00CD1A3B"/>
    <w:rsid w:val="00CD2734"/>
    <w:rsid w:val="00CD5774"/>
    <w:rsid w:val="00D24673"/>
    <w:rsid w:val="00D4588A"/>
    <w:rsid w:val="00D82284"/>
    <w:rsid w:val="00D92FDC"/>
    <w:rsid w:val="00D9552D"/>
    <w:rsid w:val="00DF5CB6"/>
    <w:rsid w:val="00E26850"/>
    <w:rsid w:val="00E36A7E"/>
    <w:rsid w:val="00E449A1"/>
    <w:rsid w:val="00E61062"/>
    <w:rsid w:val="00EC7E05"/>
    <w:rsid w:val="00EE492B"/>
    <w:rsid w:val="00F05158"/>
    <w:rsid w:val="00F93ADC"/>
    <w:rsid w:val="00FD1D3D"/>
    <w:rsid w:val="00FD6E55"/>
    <w:rsid w:val="00FF00E5"/>
    <w:rsid w:val="00FF0DFF"/>
    <w:rsid w:val="00FF38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1CEA6"/>
  <w15:docId w15:val="{DBB6920E-602B-4DCC-B59C-69A2EAADF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709E"/>
    <w:pPr>
      <w:widowControl w:val="0"/>
      <w:autoSpaceDE w:val="0"/>
      <w:autoSpaceDN w:val="0"/>
      <w:bidi/>
      <w:adjustRightInd w:val="0"/>
      <w:spacing w:before="102" w:line="204" w:lineRule="atLeast"/>
      <w:ind w:firstLine="340"/>
      <w:jc w:val="both"/>
      <w:textAlignment w:val="center"/>
    </w:pPr>
    <w:rPr>
      <w:rFonts w:ascii="Hadasa Roso SL" w:eastAsia="MS Mincho" w:hAnsi="Hadasa Roso SL" w:cs="Hadasa Roso SL"/>
      <w:color w:val="000000"/>
      <w:spacing w:val="1"/>
      <w:sz w:val="17"/>
      <w:szCs w:val="17"/>
      <w:lang w:eastAsia="ja-JP"/>
    </w:rPr>
  </w:style>
  <w:style w:type="paragraph" w:styleId="1">
    <w:name w:val="heading 1"/>
    <w:basedOn w:val="a"/>
    <w:next w:val="a"/>
    <w:qFormat/>
    <w:rsid w:val="009579F7"/>
    <w:pPr>
      <w:keepNext/>
      <w:jc w:val="center"/>
      <w:outlineLvl w:val="0"/>
    </w:pPr>
    <w:rPr>
      <w:rFonts w:cs="David"/>
      <w:b/>
      <w:bCs/>
      <w:sz w:val="28"/>
      <w:szCs w:val="28"/>
      <w:u w:val="single"/>
    </w:rPr>
  </w:style>
  <w:style w:type="paragraph" w:styleId="2">
    <w:name w:val="heading 2"/>
    <w:basedOn w:val="a"/>
    <w:next w:val="a"/>
    <w:qFormat/>
    <w:rsid w:val="009579F7"/>
    <w:pPr>
      <w:keepNext/>
      <w:jc w:val="center"/>
      <w:outlineLvl w:val="1"/>
    </w:pPr>
    <w:rPr>
      <w:rFonts w:cs="David"/>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9579F7"/>
    <w:rPr>
      <w:sz w:val="16"/>
      <w:szCs w:val="16"/>
    </w:rPr>
  </w:style>
  <w:style w:type="paragraph" w:styleId="a4">
    <w:name w:val="annotation text"/>
    <w:basedOn w:val="a"/>
    <w:semiHidden/>
    <w:rsid w:val="009579F7"/>
    <w:rPr>
      <w:sz w:val="20"/>
      <w:szCs w:val="20"/>
    </w:rPr>
  </w:style>
  <w:style w:type="paragraph" w:customStyle="1" w:styleId="Cover1-Reshumot">
    <w:name w:val="Cover 1-Reshumot"/>
    <w:basedOn w:val="a"/>
    <w:rsid w:val="0012709E"/>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12709E"/>
    <w:rPr>
      <w:sz w:val="36"/>
      <w:szCs w:val="52"/>
    </w:rPr>
  </w:style>
  <w:style w:type="paragraph" w:customStyle="1" w:styleId="Cover3-Haknesset">
    <w:name w:val="Cover 3-Haknesset"/>
    <w:basedOn w:val="Cover1-Reshumot"/>
    <w:rsid w:val="0012709E"/>
    <w:rPr>
      <w:b/>
      <w:bCs/>
      <w:spacing w:val="60"/>
    </w:rPr>
  </w:style>
  <w:style w:type="paragraph" w:customStyle="1" w:styleId="Cover4-Date">
    <w:name w:val="Cover 4-Date"/>
    <w:basedOn w:val="a"/>
    <w:rsid w:val="0012709E"/>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character" w:styleId="a5">
    <w:name w:val="endnote reference"/>
    <w:basedOn w:val="a0"/>
    <w:semiHidden/>
    <w:rsid w:val="0012709E"/>
    <w:rPr>
      <w:vertAlign w:val="superscript"/>
    </w:rPr>
  </w:style>
  <w:style w:type="paragraph" w:customStyle="1" w:styleId="Ragil">
    <w:name w:val="Ragil"/>
    <w:basedOn w:val="a"/>
    <w:rsid w:val="0012709E"/>
    <w:pPr>
      <w:snapToGrid w:val="0"/>
      <w:spacing w:before="0" w:line="360" w:lineRule="auto"/>
      <w:jc w:val="left"/>
    </w:pPr>
    <w:rPr>
      <w:rFonts w:ascii="Arial" w:eastAsia="Arial Unicode MS" w:hAnsi="Arial" w:cs="David"/>
      <w:snapToGrid w:val="0"/>
      <w:spacing w:val="0"/>
      <w:sz w:val="20"/>
      <w:szCs w:val="26"/>
    </w:rPr>
  </w:style>
  <w:style w:type="paragraph" w:styleId="a6">
    <w:name w:val="endnote text"/>
    <w:basedOn w:val="a"/>
    <w:semiHidden/>
    <w:rsid w:val="0012709E"/>
    <w:pPr>
      <w:ind w:left="227" w:hanging="227"/>
    </w:pPr>
    <w:rPr>
      <w:sz w:val="14"/>
      <w:szCs w:val="22"/>
    </w:rPr>
  </w:style>
  <w:style w:type="paragraph" w:styleId="a7">
    <w:name w:val="footer"/>
    <w:basedOn w:val="a"/>
    <w:rsid w:val="0012709E"/>
    <w:pPr>
      <w:tabs>
        <w:tab w:val="center" w:pos="4153"/>
        <w:tab w:val="right" w:pos="8306"/>
      </w:tabs>
    </w:pPr>
  </w:style>
  <w:style w:type="character" w:styleId="a8">
    <w:name w:val="footnote reference"/>
    <w:aliases w:val="Footnote Reference"/>
    <w:basedOn w:val="a0"/>
    <w:semiHidden/>
    <w:rsid w:val="0012709E"/>
    <w:rPr>
      <w:vertAlign w:val="superscript"/>
    </w:rPr>
  </w:style>
  <w:style w:type="paragraph" w:styleId="a9">
    <w:name w:val="footnote text"/>
    <w:basedOn w:val="a"/>
    <w:link w:val="aa"/>
    <w:autoRedefine/>
    <w:semiHidden/>
    <w:rsid w:val="0012709E"/>
    <w:pPr>
      <w:snapToGrid w:val="0"/>
      <w:spacing w:before="0" w:line="240" w:lineRule="auto"/>
      <w:ind w:left="227" w:hanging="227"/>
      <w:jc w:val="left"/>
    </w:pPr>
    <w:rPr>
      <w:rFonts w:ascii="Arial" w:eastAsia="Arial Unicode MS" w:hAnsi="Arial" w:cs="David"/>
      <w:snapToGrid w:val="0"/>
      <w:spacing w:val="0"/>
      <w:sz w:val="14"/>
      <w:szCs w:val="20"/>
    </w:rPr>
  </w:style>
  <w:style w:type="paragraph" w:customStyle="1" w:styleId="HeadDivreiHesber">
    <w:name w:val="Head DivreiHesber"/>
    <w:basedOn w:val="a"/>
    <w:rsid w:val="0012709E"/>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HeadHatzaotHok">
    <w:name w:val="Head HatzaotHok"/>
    <w:basedOn w:val="a"/>
    <w:link w:val="HeadHatzaotHok0"/>
    <w:rsid w:val="0012709E"/>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12709E"/>
    <w:pPr>
      <w:spacing w:before="120" w:after="120"/>
    </w:pPr>
    <w:rPr>
      <w:color w:val="FF0000"/>
      <w:w w:val="80"/>
    </w:rPr>
  </w:style>
  <w:style w:type="paragraph" w:customStyle="1" w:styleId="HeadMitparsemetBaze">
    <w:name w:val="Head MitparsemetBaze"/>
    <w:basedOn w:val="a"/>
    <w:rsid w:val="0012709E"/>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styleId="ab">
    <w:name w:val="header"/>
    <w:basedOn w:val="a"/>
    <w:rsid w:val="0012709E"/>
    <w:pPr>
      <w:tabs>
        <w:tab w:val="center" w:pos="4153"/>
        <w:tab w:val="right" w:pos="8306"/>
      </w:tabs>
    </w:pPr>
  </w:style>
  <w:style w:type="paragraph" w:customStyle="1" w:styleId="Hesber">
    <w:name w:val="Hesber"/>
    <w:basedOn w:val="a"/>
    <w:rsid w:val="0012709E"/>
    <w:pPr>
      <w:snapToGrid w:val="0"/>
      <w:spacing w:before="0" w:line="360" w:lineRule="auto"/>
    </w:pPr>
    <w:rPr>
      <w:rFonts w:ascii="Arial" w:eastAsia="Arial Unicode MS" w:hAnsi="Arial" w:cs="David"/>
      <w:snapToGrid w:val="0"/>
      <w:spacing w:val="0"/>
      <w:sz w:val="20"/>
      <w:szCs w:val="26"/>
    </w:rPr>
  </w:style>
  <w:style w:type="paragraph" w:customStyle="1" w:styleId="Hesber1st">
    <w:name w:val="Hesber 1st"/>
    <w:basedOn w:val="Hesber"/>
    <w:rsid w:val="0012709E"/>
    <w:pPr>
      <w:tabs>
        <w:tab w:val="left" w:pos="680"/>
        <w:tab w:val="left" w:pos="1020"/>
      </w:tabs>
      <w:ind w:firstLine="0"/>
    </w:pPr>
  </w:style>
  <w:style w:type="paragraph" w:customStyle="1" w:styleId="HesberHeading">
    <w:name w:val="Hesber Heading"/>
    <w:basedOn w:val="Hesber"/>
    <w:rsid w:val="0012709E"/>
    <w:pPr>
      <w:tabs>
        <w:tab w:val="left" w:pos="624"/>
        <w:tab w:val="left" w:pos="1247"/>
      </w:tabs>
      <w:ind w:firstLine="0"/>
    </w:pPr>
    <w:rPr>
      <w:b/>
      <w:bCs/>
    </w:rPr>
  </w:style>
  <w:style w:type="paragraph" w:customStyle="1" w:styleId="HesberWriters">
    <w:name w:val="Hesber Writers"/>
    <w:basedOn w:val="Hesber"/>
    <w:rsid w:val="0012709E"/>
    <w:pPr>
      <w:spacing w:before="120" w:after="6000"/>
      <w:ind w:left="1418" w:firstLine="0"/>
      <w:jc w:val="right"/>
    </w:pPr>
    <w:rPr>
      <w:b/>
      <w:bCs/>
    </w:rPr>
  </w:style>
  <w:style w:type="character" w:styleId="Hyperlink">
    <w:name w:val="Hyperlink"/>
    <w:rsid w:val="009579F7"/>
    <w:rPr>
      <w:color w:val="0000FF"/>
      <w:u w:val="single"/>
    </w:rPr>
  </w:style>
  <w:style w:type="character" w:styleId="ac">
    <w:name w:val="page number"/>
    <w:basedOn w:val="a0"/>
    <w:rsid w:val="0012709E"/>
  </w:style>
  <w:style w:type="paragraph" w:customStyle="1" w:styleId="TableText">
    <w:name w:val="Table Text"/>
    <w:basedOn w:val="a"/>
    <w:rsid w:val="0012709E"/>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Block">
    <w:name w:val="Table Block"/>
    <w:basedOn w:val="TableText"/>
    <w:rsid w:val="0012709E"/>
    <w:pPr>
      <w:ind w:right="0"/>
      <w:jc w:val="both"/>
    </w:pPr>
  </w:style>
  <w:style w:type="paragraph" w:customStyle="1" w:styleId="TableBlockOutdent">
    <w:name w:val="Table BlockOutdent"/>
    <w:basedOn w:val="TableBlock"/>
    <w:rsid w:val="0012709E"/>
    <w:pPr>
      <w:ind w:left="624" w:hanging="624"/>
    </w:pPr>
  </w:style>
  <w:style w:type="table" w:customStyle="1" w:styleId="10">
    <w:name w:val="טבלת רשת1"/>
    <w:basedOn w:val="a1"/>
    <w:rsid w:val="009579F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Text"/>
    <w:rsid w:val="0012709E"/>
    <w:pPr>
      <w:ind w:right="0"/>
      <w:jc w:val="center"/>
    </w:pPr>
    <w:rPr>
      <w:b/>
      <w:bCs/>
    </w:rPr>
  </w:style>
  <w:style w:type="paragraph" w:customStyle="1" w:styleId="TableSideHeading">
    <w:name w:val="Table SideHeading"/>
    <w:basedOn w:val="TableText"/>
    <w:rsid w:val="0012709E"/>
  </w:style>
  <w:style w:type="paragraph" w:customStyle="1" w:styleId="TableInnerSideHeading">
    <w:name w:val="Table InnerSideHeading"/>
    <w:basedOn w:val="TableSideHeading"/>
    <w:rsid w:val="0012709E"/>
  </w:style>
  <w:style w:type="paragraph" w:customStyle="1" w:styleId="TableText2">
    <w:name w:val="Table Text2"/>
    <w:basedOn w:val="TableText"/>
    <w:rsid w:val="009579F7"/>
  </w:style>
  <w:style w:type="paragraph" w:styleId="ad">
    <w:name w:val="Title"/>
    <w:basedOn w:val="a"/>
    <w:qFormat/>
    <w:rsid w:val="009579F7"/>
    <w:pPr>
      <w:jc w:val="center"/>
    </w:pPr>
    <w:rPr>
      <w:rFonts w:cs="David"/>
      <w:b/>
      <w:bCs/>
      <w:sz w:val="28"/>
      <w:szCs w:val="28"/>
      <w:u w:val="single"/>
    </w:rPr>
  </w:style>
  <w:style w:type="paragraph" w:customStyle="1" w:styleId="TOC">
    <w:name w:val="TOC"/>
    <w:basedOn w:val="a"/>
    <w:rsid w:val="009579F7"/>
    <w:pPr>
      <w:tabs>
        <w:tab w:val="left" w:leader="dot" w:pos="8789"/>
      </w:tabs>
      <w:snapToGrid w:val="0"/>
      <w:spacing w:before="120" w:line="360" w:lineRule="auto"/>
      <w:ind w:left="284" w:right="284"/>
    </w:pPr>
    <w:rPr>
      <w:rFonts w:ascii="Arial" w:eastAsia="Arial Unicode MS" w:hAnsi="Arial" w:cs="David"/>
      <w:snapToGrid w:val="0"/>
      <w:sz w:val="20"/>
      <w:szCs w:val="26"/>
    </w:rPr>
  </w:style>
  <w:style w:type="paragraph" w:customStyle="1" w:styleId="TOCpg">
    <w:name w:val="TOC pg"/>
    <w:basedOn w:val="TOC"/>
    <w:rsid w:val="009579F7"/>
    <w:pPr>
      <w:spacing w:after="120"/>
      <w:ind w:right="567"/>
      <w:jc w:val="right"/>
    </w:pPr>
  </w:style>
  <w:style w:type="paragraph" w:customStyle="1" w:styleId="Noparagraphstyle">
    <w:name w:val="[No paragraph style]"/>
    <w:rsid w:val="00B416AF"/>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character" w:customStyle="1" w:styleId="HeadHatzaotHok0">
    <w:name w:val="Head HatzaotHok תו"/>
    <w:link w:val="HeadHatzaotHok"/>
    <w:rsid w:val="00B16515"/>
    <w:rPr>
      <w:rFonts w:ascii="Arial" w:eastAsia="Arial Unicode MS" w:hAnsi="Arial" w:cs="David"/>
      <w:b/>
      <w:bCs/>
      <w:snapToGrid w:val="0"/>
      <w:color w:val="000000"/>
      <w:szCs w:val="26"/>
      <w:lang w:eastAsia="ja-JP"/>
    </w:rPr>
  </w:style>
  <w:style w:type="character" w:customStyle="1" w:styleId="aa">
    <w:name w:val="טקסט הערת שוליים תו"/>
    <w:link w:val="a9"/>
    <w:semiHidden/>
    <w:rsid w:val="008525E2"/>
    <w:rPr>
      <w:rFonts w:ascii="Arial" w:eastAsia="Arial Unicode MS" w:hAnsi="Arial" w:cs="David"/>
      <w:snapToGrid w:val="0"/>
      <w:color w:val="000000"/>
      <w:sz w:val="14"/>
      <w:lang w:eastAsia="ja-JP"/>
    </w:rPr>
  </w:style>
  <w:style w:type="paragraph" w:styleId="ae">
    <w:name w:val="Balloon Text"/>
    <w:basedOn w:val="a"/>
    <w:link w:val="af"/>
    <w:rsid w:val="0024044E"/>
    <w:pPr>
      <w:spacing w:before="0" w:line="240" w:lineRule="auto"/>
    </w:pPr>
    <w:rPr>
      <w:rFonts w:ascii="Tahoma" w:hAnsi="Tahoma" w:cs="Tahoma"/>
      <w:sz w:val="16"/>
      <w:szCs w:val="16"/>
    </w:rPr>
  </w:style>
  <w:style w:type="character" w:customStyle="1" w:styleId="af">
    <w:name w:val="טקסט בלונים תו"/>
    <w:basedOn w:val="a0"/>
    <w:link w:val="ae"/>
    <w:rsid w:val="0024044E"/>
    <w:rPr>
      <w:rFonts w:ascii="Tahoma" w:eastAsia="MS Mincho"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מסמך" ma:contentTypeID="0x010100EC742974F56E924593CB5002DD638E7D" ma:contentTypeVersion="21" ma:contentTypeDescription="צור מסמך חדש." ma:contentTypeScope="" ma:versionID="3383ab7b66353bced35c20f98365f8a8">
  <xsd:schema xmlns:xsd="http://www.w3.org/2001/XMLSchema" xmlns:xs="http://www.w3.org/2001/XMLSchema" xmlns:p="http://schemas.microsoft.com/office/2006/metadata/properties" xmlns:ns2="f380af25-22dd-4a89-bd18-c5bf793c562b" xmlns:ns3="e860c347-3c75-42f3-9b43-fe3c3ef9805f" xmlns:ns4="c8ce1d4b-e1f6-446e-84c0-71ee544e8fe0" targetNamespace="http://schemas.microsoft.com/office/2006/metadata/properties" ma:root="true" ma:fieldsID="f4ed2c4b512e5fc9d8f795dd98a028c7" ns2:_="" ns3:_="" ns4:_="">
    <xsd:import namespace="f380af25-22dd-4a89-bd18-c5bf793c562b"/>
    <xsd:import namespace="e860c347-3c75-42f3-9b43-fe3c3ef9805f"/>
    <xsd:import namespace="c8ce1d4b-e1f6-446e-84c0-71ee544e8fe0"/>
    <xsd:element name="properties">
      <xsd:complexType>
        <xsd:sequence>
          <xsd:element name="documentManagement">
            <xsd:complexType>
              <xsd:all>
                <xsd:element ref="ns2:DocumentType" minOccurs="0"/>
                <xsd:element ref="ns2:SystemSource" minOccurs="0"/>
                <xsd:element ref="ns3:ITEMID" minOccurs="0"/>
                <xsd:element ref="ns4:KnessetID" minOccurs="0"/>
                <xsd:element ref="ns4:PrivateNumber" minOccurs="0"/>
                <xsd:element ref="ns4:CommitteeName" minOccurs="0"/>
                <xsd:element ref="ns4:CommitteeID" minOccurs="0"/>
                <xsd:element ref="ns4:ItemNumber" minOccurs="0"/>
                <xsd:element ref="ns4:ItemName" minOccurs="0"/>
                <xsd:element ref="ns3:_dlc_DocId" minOccurs="0"/>
                <xsd:element ref="ns3:_dlc_DocIdUrl" minOccurs="0"/>
                <xsd:element ref="ns3:_dlc_DocIdPersistId" minOccurs="0"/>
                <xsd:element ref="ns2:DocEdit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0af25-22dd-4a89-bd18-c5bf793c562b" elementFormDefault="qualified">
    <xsd:import namespace="http://schemas.microsoft.com/office/2006/documentManagement/types"/>
    <xsd:import namespace="http://schemas.microsoft.com/office/infopath/2007/PartnerControls"/>
    <xsd:element name="DocumentType" ma:index="1" nillable="true" ma:displayName="סוג מסמך" ma:description="סוג מסמך" ma:internalName="DocumentType">
      <xsd:simpleType>
        <xsd:restriction base="dms:Text">
          <xsd:maxLength value="255"/>
        </xsd:restriction>
      </xsd:simpleType>
    </xsd:element>
    <xsd:element name="SystemSource" ma:index="2" nillable="true" ma:displayName="מקור מסמך" ma:default="אחר" ma:description="מקור" ma:format="Dropdown" ma:internalName="SystemSource">
      <xsd:simpleType>
        <xsd:restriction base="dms:Choice">
          <xsd:enumeration value="אחר"/>
          <xsd:enumeration value="תבנית סנהדרין"/>
        </xsd:restriction>
      </xsd:simpleType>
    </xsd:element>
    <xsd:element name="DocEditor" ma:index="20" nillable="true" ma:displayName="מחבר" ma:list="UserInfo" ma:SharePointGroup="0" ma:internalName="DocEdi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0c347-3c75-42f3-9b43-fe3c3ef9805f" elementFormDefault="qualified">
    <xsd:import namespace="http://schemas.microsoft.com/office/2006/documentManagement/types"/>
    <xsd:import namespace="http://schemas.microsoft.com/office/infopath/2007/PartnerControls"/>
    <xsd:element name="ITEMID" ma:index="3" nillable="true" ma:displayName="מספר פנימי" ma:description="מספר פנימי" ma:internalName="ITEMID">
      <xsd:simpleType>
        <xsd:restriction base="dms:Text">
          <xsd:maxLength value="255"/>
        </xsd:restriction>
      </xsd:simpleType>
    </xsd:element>
    <xsd:element name="_dlc_DocId" ma:index="13" nillable="true" ma:displayName="ערך של מזהה מסמך" ma:description="הערך של מזהה המסמך שהוקצה לפריט זה." ma:internalName="_dlc_DocId" ma:readOnly="true">
      <xsd:simpleType>
        <xsd:restriction base="dms:Text"/>
      </xsd:simpleType>
    </xsd:element>
    <xsd:element name="_dlc_DocIdUrl" ma:index="14" nillable="true" ma:displayName="מזהה מסמך" ma:description="קישור קבוע למסמך זה."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מזהה תמידי" ma:description="השאר מזהה בעת הוספה."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8ce1d4b-e1f6-446e-84c0-71ee544e8fe0" elementFormDefault="qualified">
    <xsd:import namespace="http://schemas.microsoft.com/office/2006/documentManagement/types"/>
    <xsd:import namespace="http://schemas.microsoft.com/office/infopath/2007/PartnerControls"/>
    <xsd:element name="KnessetID" ma:index="4" nillable="true" ma:displayName="כנסת" ma:decimals="0" ma:description="מספר כנסת" ma:internalName="KnessetID" ma:percentage="FALSE">
      <xsd:simpleType>
        <xsd:restriction base="dms:Number"/>
      </xsd:simpleType>
    </xsd:element>
    <xsd:element name="PrivateNumber" ma:index="5" nillable="true" ma:displayName="מספר פרטי" ma:description="מספר פרטי" ma:internalName="PrivateNumber">
      <xsd:simpleType>
        <xsd:restriction base="dms:Text">
          <xsd:maxLength value="255"/>
        </xsd:restriction>
      </xsd:simpleType>
    </xsd:element>
    <xsd:element name="CommitteeName" ma:index="6" nillable="true" ma:displayName="ועדה מטפלת" ma:description="ועדה מטפלת" ma:internalName="CommitteeName">
      <xsd:simpleType>
        <xsd:restriction base="dms:Note">
          <xsd:maxLength value="255"/>
        </xsd:restriction>
      </xsd:simpleType>
    </xsd:element>
    <xsd:element name="CommitteeID" ma:index="7" nillable="true" ma:displayName="קוד ועדה מטפלת" ma:decimals="0" ma:internalName="CommitteeID" ma:percentage="FALSE">
      <xsd:simpleType>
        <xsd:restriction base="dms:Number"/>
      </xsd:simpleType>
    </xsd:element>
    <xsd:element name="ItemNumber" ma:index="11" nillable="true" ma:displayName="חוברת" ma:description="מספר חוברת הצ&quot;ח" ma:internalName="ItemNumber">
      <xsd:simpleType>
        <xsd:restriction base="dms:Text">
          <xsd:maxLength value="255"/>
        </xsd:restriction>
      </xsd:simpleType>
    </xsd:element>
    <xsd:element name="ItemName" ma:index="12" nillable="true" ma:displayName="שם הצ&quot;ח" ma:description="שם הצ&quot;ח" ma:internalName="Item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סוג תוכן"/>
        <xsd:element ref="dc:title" minOccurs="0" maxOccurs="1" ma:index="9"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4DDADC-B7DD-45F7-B39A-9567064D83E5}"/>
</file>

<file path=customXml/itemProps2.xml><?xml version="1.0" encoding="utf-8"?>
<ds:datastoreItem xmlns:ds="http://schemas.openxmlformats.org/officeDocument/2006/customXml" ds:itemID="{5C990E72-2A10-47B5-8633-F22511D80AB8}">
  <ds:schemaRefs>
    <ds:schemaRef ds:uri="http://schemas.microsoft.com/sharepoint/v3/contenttype/forms"/>
  </ds:schemaRefs>
</ds:datastoreItem>
</file>

<file path=customXml/itemProps3.xml><?xml version="1.0" encoding="utf-8"?>
<ds:datastoreItem xmlns:ds="http://schemas.openxmlformats.org/officeDocument/2006/customXml" ds:itemID="{C3E1657D-317C-48BB-A872-2C64BBB17B1B}">
  <ds:schemaRefs>
    <ds:schemaRef ds:uri="http://schemas.microsoft.com/office/2006/metadata/longProperties"/>
  </ds:schemaRefs>
</ds:datastoreItem>
</file>

<file path=customXml/itemProps4.xml><?xml version="1.0" encoding="utf-8"?>
<ds:datastoreItem xmlns:ds="http://schemas.openxmlformats.org/officeDocument/2006/customXml" ds:itemID="{9AAD3E59-1685-4866-88AE-10917921A27A}">
  <ds:schemaRefs>
    <ds:schemaRef ds:uri="http://www.w3.org/XML/1998/namespace"/>
    <ds:schemaRef ds:uri="http://schemas.openxmlformats.org/package/2006/metadata/core-properties"/>
    <ds:schemaRef ds:uri="e860c347-3c75-42f3-9b43-fe3c3ef9805f"/>
    <ds:schemaRef ds:uri="c8ce1d4b-e1f6-446e-84c0-71ee544e8fe0"/>
    <ds:schemaRef ds:uri="http://schemas.microsoft.com/office/2006/documentManagement/types"/>
    <ds:schemaRef ds:uri="f380af25-22dd-4a89-bd18-c5bf793c562b"/>
    <ds:schemaRef ds:uri="http://purl.org/dc/dcmitype/"/>
    <ds:schemaRef ds:uri="http://schemas.microsoft.com/office/2006/metadata/properties"/>
    <ds:schemaRef ds:uri="http://schemas.microsoft.com/office/infopath/2007/PartnerControls"/>
    <ds:schemaRef ds:uri="http://purl.org/dc/terms/"/>
    <ds:schemaRef ds:uri="http://purl.org/dc/elements/1.1/"/>
  </ds:schemaRefs>
</ds:datastoreItem>
</file>

<file path=customXml/itemProps5.xml><?xml version="1.0" encoding="utf-8"?>
<ds:datastoreItem xmlns:ds="http://schemas.openxmlformats.org/officeDocument/2006/customXml" ds:itemID="{D6A52526-75C1-4496-BB1D-54D6E7A9D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0af25-22dd-4a89-bd18-c5bf793c562b"/>
    <ds:schemaRef ds:uri="e860c347-3c75-42f3-9b43-fe3c3ef9805f"/>
    <ds:schemaRef ds:uri="c8ce1d4b-e1f6-446e-84c0-71ee544e8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631</Words>
  <Characters>3160</Characters>
  <Application>Microsoft Office Word</Application>
  <DocSecurity>0</DocSecurity>
  <Lines>26</Lines>
  <Paragraphs>7</Paragraphs>
  <ScaleCrop>false</ScaleCrop>
  <HeadingPairs>
    <vt:vector size="2" baseType="variant">
      <vt:variant>
        <vt:lpstr>שם</vt:lpstr>
      </vt:variant>
      <vt:variant>
        <vt:i4>1</vt:i4>
      </vt:variant>
    </vt:vector>
  </HeadingPairs>
  <TitlesOfParts>
    <vt:vector size="1" baseType="lpstr">
      <vt:lpstr>תבנית חוק שהתקבל</vt:lpstr>
    </vt:vector>
  </TitlesOfParts>
  <Company>knesset</Company>
  <LinksUpToDate>false</LinksUpToDate>
  <CharactersWithSpaces>3784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תבנית חוק שהתקבל</dc:title>
  <dc:creator>דפנה - כנסת</dc:creator>
  <cp:lastModifiedBy>לילך יעיש</cp:lastModifiedBy>
  <cp:revision>5</cp:revision>
  <cp:lastPrinted>2017-03-27T11:23:00Z</cp:lastPrinted>
  <dcterms:created xsi:type="dcterms:W3CDTF">2015-06-14T12:44:00Z</dcterms:created>
  <dcterms:modified xsi:type="dcterms:W3CDTF">2017-03-28T09:42:00Z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ContentType">
    <vt:lpwstr>הלשכה המשפטית - נוסח חוק שהתקבל בכנסת</vt:lpwstr>
  </property>
  <property fmtid="{D5CDD505-2E9C-101B-9397-08002B2CF9AE}" pid="4" name="MisHatzaatChok">
    <vt:lpwstr/>
  </property>
  <property fmtid="{D5CDD505-2E9C-101B-9397-08002B2CF9AE}" pid="5" name="To1">
    <vt:lpwstr/>
  </property>
  <property fmtid="{D5CDD505-2E9C-101B-9397-08002B2CF9AE}" pid="6" name="YozemHatzaa_ChakList">
    <vt:lpwstr/>
  </property>
  <property fmtid="{D5CDD505-2E9C-101B-9397-08002B2CF9AE}" pid="7" name="מספר חוברת">
    <vt:lpwstr/>
  </property>
  <property fmtid="{D5CDD505-2E9C-101B-9397-08002B2CF9AE}" pid="8" name="FileNum">
    <vt:lpwstr/>
  </property>
  <property fmtid="{D5CDD505-2E9C-101B-9397-08002B2CF9AE}" pid="9" name="HanchayaNum">
    <vt:lpwstr/>
  </property>
  <property fmtid="{D5CDD505-2E9C-101B-9397-08002B2CF9AE}" pid="10" name="מספר הצח">
    <vt:lpwstr/>
  </property>
  <property fmtid="{D5CDD505-2E9C-101B-9397-08002B2CF9AE}" pid="11" name="Writer_UserList">
    <vt:lpwstr/>
  </property>
  <property fmtid="{D5CDD505-2E9C-101B-9397-08002B2CF9AE}" pid="12" name="body">
    <vt:lpwstr/>
  </property>
  <property fmtid="{D5CDD505-2E9C-101B-9397-08002B2CF9AE}" pid="13" name="Cc">
    <vt:lpwstr/>
  </property>
  <property fmtid="{D5CDD505-2E9C-101B-9397-08002B2CF9AE}" pid="14" name="From">
    <vt:lpwstr/>
  </property>
  <property fmtid="{D5CDD505-2E9C-101B-9397-08002B2CF9AE}" pid="15" name="To">
    <vt:lpwstr/>
  </property>
  <property fmtid="{D5CDD505-2E9C-101B-9397-08002B2CF9AE}" pid="16" name="Sides">
    <vt:lpwstr/>
  </property>
  <property fmtid="{D5CDD505-2E9C-101B-9397-08002B2CF9AE}" pid="17" name="Approved">
    <vt:lpwstr/>
  </property>
  <property fmtid="{D5CDD505-2E9C-101B-9397-08002B2CF9AE}" pid="18" name="SDToList">
    <vt:lpwstr/>
  </property>
  <property fmtid="{D5CDD505-2E9C-101B-9397-08002B2CF9AE}" pid="19" name="_dlc_DocIdItemGuid">
    <vt:lpwstr>ebaa6baf-28e9-4146-8ec5-7692d11832c1</vt:lpwstr>
  </property>
  <property fmtid="{D5CDD505-2E9C-101B-9397-08002B2CF9AE}" pid="20" name="_docset_NoMedatataSyncRequired">
    <vt:lpwstr>False</vt:lpwstr>
  </property>
  <property fmtid="{D5CDD505-2E9C-101B-9397-08002B2CF9AE}" pid="21" name="SanhedrinItemID">
    <vt:r8>2005800</vt:r8>
  </property>
  <property fmtid="{D5CDD505-2E9C-101B-9397-08002B2CF9AE}" pid="22" name="SanhedrinDocumentType">
    <vt:r8>42</vt:r8>
  </property>
</Properties>
</file>