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spacing w:before="0"/>
        <w:jc w:val="center"/>
        <w:rPr>
          <w:b/>
          <w:bCs/>
          <w:sz w:val="28"/>
          <w:szCs w:val="28"/>
          <w:rtl/>
        </w:rPr>
      </w:pPr>
      <w:r>
        <w:rPr>
          <w:noProof/>
          <w:lang w:eastAsia="en-US"/>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spacing w:before="0"/>
        <w:jc w:val="center"/>
        <w:rPr>
          <w:b/>
          <w:bCs/>
          <w:sz w:val="28"/>
          <w:szCs w:val="28"/>
          <w:rtl/>
        </w:rPr>
      </w:pPr>
    </w:p>
    <w:p w14:paraId="11F1CEA8" w14:textId="5987FCA9" w:rsidR="008525E2" w:rsidRDefault="00CE0AB3" w:rsidP="007C563F">
      <w:pPr>
        <w:spacing w:before="0"/>
        <w:jc w:val="center"/>
        <w:rPr>
          <w:b/>
          <w:bCs/>
          <w:sz w:val="28"/>
          <w:szCs w:val="28"/>
          <w:rtl/>
        </w:rPr>
      </w:pPr>
      <w:bookmarkStart w:id="0" w:name="LGSName"/>
      <w:r>
        <w:rPr>
          <w:rStyle w:val="HeadHatzaotHok0"/>
          <w:rFonts w:hint="cs"/>
          <w:rtl/>
        </w:rPr>
        <w:t xml:space="preserve">חוק </w:t>
      </w:r>
      <w:r w:rsidR="00220CAF">
        <w:rPr>
          <w:rStyle w:val="HeadHatzaotHok0"/>
          <w:rFonts w:hint="cs"/>
          <w:rtl/>
        </w:rPr>
        <w:t xml:space="preserve">שדה התעופה דב הוז (הוראות מיוחדות), </w:t>
      </w:r>
      <w:proofErr w:type="spellStart"/>
      <w:r w:rsidR="00220CAF">
        <w:rPr>
          <w:rStyle w:val="HeadHatzaotHok0"/>
          <w:rFonts w:hint="cs"/>
          <w:rtl/>
        </w:rPr>
        <w:t>התשע"ז</w:t>
      </w:r>
      <w:proofErr w:type="spellEnd"/>
      <w:r w:rsidR="007C563F">
        <w:rPr>
          <w:rStyle w:val="HeadHatzaotHok0"/>
          <w:rFonts w:hint="eastAsia"/>
          <w:b w:val="0"/>
          <w:bCs w:val="0"/>
          <w:rtl/>
        </w:rPr>
        <w:t>–</w:t>
      </w:r>
      <w:r w:rsidR="00220CAF">
        <w:rPr>
          <w:rStyle w:val="HeadHatzaotHok0"/>
          <w:rFonts w:hint="cs"/>
          <w:rtl/>
        </w:rPr>
        <w:t>2017</w:t>
      </w:r>
      <w:bookmarkEnd w:id="0"/>
      <w:r w:rsidR="008525E2">
        <w:rPr>
          <w:rStyle w:val="a8"/>
          <w:b/>
          <w:bCs/>
          <w:sz w:val="28"/>
          <w:szCs w:val="28"/>
          <w:rtl/>
        </w:rPr>
        <w:footnoteReference w:customMarkFollows="1" w:id="1"/>
        <w:t>*</w:t>
      </w:r>
    </w:p>
    <w:p w14:paraId="11F1CEA9" w14:textId="77777777" w:rsidR="008525E2" w:rsidRDefault="008525E2" w:rsidP="008525E2">
      <w:pPr>
        <w:spacing w:before="0"/>
        <w:rPr>
          <w:sz w:val="26"/>
          <w:szCs w:val="26"/>
          <w:rtl/>
        </w:rPr>
      </w:pPr>
    </w:p>
    <w:tbl>
      <w:tblPr>
        <w:bidiVisual/>
        <w:tblW w:w="9637" w:type="dxa"/>
        <w:tblLayout w:type="fixed"/>
        <w:tblCellMar>
          <w:top w:w="57" w:type="dxa"/>
          <w:left w:w="0" w:type="dxa"/>
          <w:bottom w:w="57" w:type="dxa"/>
          <w:right w:w="0" w:type="dxa"/>
        </w:tblCellMar>
        <w:tblLook w:val="0000" w:firstRow="0" w:lastRow="0" w:firstColumn="0" w:lastColumn="0" w:noHBand="0" w:noVBand="0"/>
      </w:tblPr>
      <w:tblGrid>
        <w:gridCol w:w="1870"/>
        <w:gridCol w:w="624"/>
        <w:gridCol w:w="7143"/>
      </w:tblGrid>
      <w:tr w:rsidR="00596FEE" w:rsidRPr="00596FEE" w14:paraId="2B1E3525" w14:textId="77777777" w:rsidTr="00986F5D">
        <w:trPr>
          <w:cantSplit/>
        </w:trPr>
        <w:tc>
          <w:tcPr>
            <w:tcW w:w="1870" w:type="dxa"/>
            <w:shd w:val="clear" w:color="auto" w:fill="auto"/>
            <w:tcMar>
              <w:top w:w="91" w:type="dxa"/>
              <w:left w:w="0" w:type="dxa"/>
              <w:bottom w:w="91" w:type="dxa"/>
              <w:right w:w="0" w:type="dxa"/>
            </w:tcMar>
          </w:tcPr>
          <w:p w14:paraId="1BACFDBF" w14:textId="77777777" w:rsidR="00596FEE" w:rsidRPr="00986F5D" w:rsidRDefault="00596FEE" w:rsidP="00986F5D">
            <w:pPr>
              <w:pStyle w:val="TableSideHeading"/>
              <w:ind w:right="0"/>
              <w:rPr>
                <w:rtl/>
              </w:rPr>
            </w:pPr>
            <w:r w:rsidRPr="00986F5D">
              <w:rPr>
                <w:rtl/>
              </w:rPr>
              <w:t>הגדרות</w:t>
            </w:r>
          </w:p>
        </w:tc>
        <w:tc>
          <w:tcPr>
            <w:tcW w:w="624" w:type="dxa"/>
            <w:shd w:val="clear" w:color="auto" w:fill="auto"/>
            <w:tcMar>
              <w:top w:w="91" w:type="dxa"/>
              <w:left w:w="0" w:type="dxa"/>
              <w:bottom w:w="91" w:type="dxa"/>
              <w:right w:w="0" w:type="dxa"/>
            </w:tcMar>
          </w:tcPr>
          <w:p w14:paraId="568F56C3" w14:textId="77777777" w:rsidR="00596FEE" w:rsidRPr="00986F5D" w:rsidRDefault="00596FEE" w:rsidP="00986F5D">
            <w:pPr>
              <w:pStyle w:val="TableText"/>
              <w:ind w:right="0"/>
              <w:jc w:val="both"/>
              <w:rPr>
                <w:rtl/>
              </w:rPr>
            </w:pPr>
            <w:r w:rsidRPr="00986F5D">
              <w:rPr>
                <w:rtl/>
              </w:rPr>
              <w:t xml:space="preserve">1. </w:t>
            </w:r>
          </w:p>
        </w:tc>
        <w:tc>
          <w:tcPr>
            <w:tcW w:w="7143" w:type="dxa"/>
            <w:shd w:val="clear" w:color="auto" w:fill="auto"/>
            <w:tcMar>
              <w:top w:w="91" w:type="dxa"/>
              <w:left w:w="0" w:type="dxa"/>
              <w:bottom w:w="91" w:type="dxa"/>
              <w:right w:w="0" w:type="dxa"/>
            </w:tcMar>
          </w:tcPr>
          <w:p w14:paraId="54005087" w14:textId="77777777" w:rsidR="00596FEE" w:rsidRPr="00986F5D" w:rsidRDefault="00596FEE" w:rsidP="00986F5D">
            <w:pPr>
              <w:pStyle w:val="TableBlock"/>
              <w:rPr>
                <w:rtl/>
              </w:rPr>
            </w:pPr>
            <w:r w:rsidRPr="00986F5D">
              <w:rPr>
                <w:rtl/>
              </w:rPr>
              <w:t xml:space="preserve">בחוק זה – </w:t>
            </w:r>
          </w:p>
        </w:tc>
      </w:tr>
      <w:tr w:rsidR="00596FEE" w:rsidRPr="00596FEE" w14:paraId="505DE847" w14:textId="77777777" w:rsidTr="00986F5D">
        <w:trPr>
          <w:cantSplit/>
        </w:trPr>
        <w:tc>
          <w:tcPr>
            <w:tcW w:w="1870" w:type="dxa"/>
            <w:shd w:val="clear" w:color="auto" w:fill="auto"/>
            <w:tcMar>
              <w:top w:w="91" w:type="dxa"/>
              <w:left w:w="0" w:type="dxa"/>
              <w:bottom w:w="91" w:type="dxa"/>
              <w:right w:w="0" w:type="dxa"/>
            </w:tcMar>
          </w:tcPr>
          <w:p w14:paraId="40E987B6" w14:textId="77777777" w:rsidR="00596FEE" w:rsidRPr="00986F5D" w:rsidRDefault="00596FEE" w:rsidP="00986F5D">
            <w:pPr>
              <w:pStyle w:val="TableSideHeading"/>
              <w:ind w:right="0"/>
              <w:rPr>
                <w:rtl/>
              </w:rPr>
            </w:pPr>
          </w:p>
        </w:tc>
        <w:tc>
          <w:tcPr>
            <w:tcW w:w="624" w:type="dxa"/>
            <w:shd w:val="clear" w:color="auto" w:fill="auto"/>
            <w:tcMar>
              <w:top w:w="91" w:type="dxa"/>
              <w:left w:w="0" w:type="dxa"/>
              <w:bottom w:w="91" w:type="dxa"/>
              <w:right w:w="0" w:type="dxa"/>
            </w:tcMar>
          </w:tcPr>
          <w:p w14:paraId="5A081E97" w14:textId="77777777" w:rsidR="00596FEE" w:rsidRPr="00986F5D" w:rsidRDefault="00596FEE" w:rsidP="00986F5D">
            <w:pPr>
              <w:pStyle w:val="TableText"/>
              <w:ind w:right="0"/>
              <w:jc w:val="both"/>
              <w:rPr>
                <w:rtl/>
              </w:rPr>
            </w:pPr>
          </w:p>
        </w:tc>
        <w:tc>
          <w:tcPr>
            <w:tcW w:w="7143" w:type="dxa"/>
            <w:shd w:val="clear" w:color="auto" w:fill="auto"/>
            <w:tcMar>
              <w:top w:w="91" w:type="dxa"/>
              <w:left w:w="0" w:type="dxa"/>
              <w:bottom w:w="91" w:type="dxa"/>
              <w:right w:w="0" w:type="dxa"/>
            </w:tcMar>
          </w:tcPr>
          <w:p w14:paraId="048A8005" w14:textId="77777777" w:rsidR="00596FEE" w:rsidRPr="00986F5D" w:rsidRDefault="00596FEE" w:rsidP="00986F5D">
            <w:pPr>
              <w:pStyle w:val="TableBlockOutdent"/>
              <w:rPr>
                <w:rtl/>
              </w:rPr>
            </w:pPr>
            <w:r w:rsidRPr="00986F5D">
              <w:rPr>
                <w:rtl/>
              </w:rPr>
              <w:t xml:space="preserve">"חוק רשות שדות התעופה" – חוק רשות שדות התעופה, </w:t>
            </w:r>
            <w:proofErr w:type="spellStart"/>
            <w:r w:rsidRPr="00986F5D">
              <w:rPr>
                <w:rtl/>
              </w:rPr>
              <w:t>התשל"ז</w:t>
            </w:r>
            <w:proofErr w:type="spellEnd"/>
            <w:r w:rsidRPr="00986F5D">
              <w:rPr>
                <w:rtl/>
              </w:rPr>
              <w:t>–1977‏</w:t>
            </w:r>
            <w:r w:rsidRPr="00E84D99">
              <w:rPr>
                <w:vertAlign w:val="superscript"/>
                <w:rtl/>
              </w:rPr>
              <w:footnoteReference w:id="2"/>
            </w:r>
            <w:r w:rsidRPr="00986F5D">
              <w:rPr>
                <w:rtl/>
              </w:rPr>
              <w:t>;</w:t>
            </w:r>
          </w:p>
        </w:tc>
      </w:tr>
      <w:tr w:rsidR="00596FEE" w:rsidRPr="00596FEE" w14:paraId="526F70C3" w14:textId="77777777" w:rsidTr="00986F5D">
        <w:trPr>
          <w:cantSplit/>
        </w:trPr>
        <w:tc>
          <w:tcPr>
            <w:tcW w:w="1870" w:type="dxa"/>
            <w:shd w:val="clear" w:color="auto" w:fill="auto"/>
            <w:tcMar>
              <w:top w:w="91" w:type="dxa"/>
              <w:left w:w="0" w:type="dxa"/>
              <w:bottom w:w="91" w:type="dxa"/>
              <w:right w:w="0" w:type="dxa"/>
            </w:tcMar>
          </w:tcPr>
          <w:p w14:paraId="3DA4C8EE" w14:textId="77777777" w:rsidR="00596FEE" w:rsidRPr="00986F5D" w:rsidRDefault="00596FEE" w:rsidP="00986F5D">
            <w:pPr>
              <w:pStyle w:val="TableSideHeading"/>
              <w:ind w:right="0"/>
              <w:rPr>
                <w:rtl/>
              </w:rPr>
            </w:pPr>
          </w:p>
        </w:tc>
        <w:tc>
          <w:tcPr>
            <w:tcW w:w="624" w:type="dxa"/>
            <w:shd w:val="clear" w:color="auto" w:fill="auto"/>
            <w:tcMar>
              <w:top w:w="91" w:type="dxa"/>
              <w:left w:w="0" w:type="dxa"/>
              <w:bottom w:w="91" w:type="dxa"/>
              <w:right w:w="0" w:type="dxa"/>
            </w:tcMar>
          </w:tcPr>
          <w:p w14:paraId="75BD23D5" w14:textId="77777777" w:rsidR="00596FEE" w:rsidRPr="00986F5D" w:rsidRDefault="00596FEE" w:rsidP="00986F5D">
            <w:pPr>
              <w:pStyle w:val="TableText"/>
              <w:ind w:right="0"/>
              <w:jc w:val="both"/>
              <w:rPr>
                <w:rtl/>
              </w:rPr>
            </w:pPr>
          </w:p>
        </w:tc>
        <w:tc>
          <w:tcPr>
            <w:tcW w:w="7143" w:type="dxa"/>
            <w:shd w:val="clear" w:color="auto" w:fill="auto"/>
            <w:tcMar>
              <w:top w:w="91" w:type="dxa"/>
              <w:left w:w="0" w:type="dxa"/>
              <w:bottom w:w="91" w:type="dxa"/>
              <w:right w:w="0" w:type="dxa"/>
            </w:tcMar>
          </w:tcPr>
          <w:p w14:paraId="74148641" w14:textId="77777777" w:rsidR="00596FEE" w:rsidRPr="00986F5D" w:rsidRDefault="00596FEE" w:rsidP="00986F5D">
            <w:pPr>
              <w:pStyle w:val="TableBlockOutdent"/>
              <w:rPr>
                <w:rtl/>
              </w:rPr>
            </w:pPr>
            <w:r w:rsidRPr="00986F5D">
              <w:rPr>
                <w:rtl/>
              </w:rPr>
              <w:t>"צו רשות שדות התעופה" – צו רשות שדות התעופה (מתן שירותים בשדה התעופה דב הוז</w:t>
            </w:r>
            <w:r w:rsidRPr="00986F5D">
              <w:rPr>
                <w:rFonts w:hint="cs"/>
                <w:rtl/>
              </w:rPr>
              <w:t xml:space="preserve"> </w:t>
            </w:r>
            <w:r w:rsidRPr="00986F5D">
              <w:rPr>
                <w:rtl/>
              </w:rPr>
              <w:t>(</w:t>
            </w:r>
            <w:proofErr w:type="spellStart"/>
            <w:r w:rsidRPr="00986F5D">
              <w:rPr>
                <w:rtl/>
              </w:rPr>
              <w:t>תל־אביב</w:t>
            </w:r>
            <w:proofErr w:type="spellEnd"/>
            <w:r w:rsidRPr="00986F5D">
              <w:rPr>
                <w:rtl/>
              </w:rPr>
              <w:t xml:space="preserve">)), </w:t>
            </w:r>
            <w:proofErr w:type="spellStart"/>
            <w:r w:rsidRPr="00986F5D">
              <w:rPr>
                <w:rtl/>
              </w:rPr>
              <w:t>התש"ן</w:t>
            </w:r>
            <w:proofErr w:type="spellEnd"/>
            <w:r w:rsidRPr="00986F5D">
              <w:rPr>
                <w:rtl/>
              </w:rPr>
              <w:t>–1989‏</w:t>
            </w:r>
            <w:r w:rsidRPr="00E84D99">
              <w:rPr>
                <w:vertAlign w:val="superscript"/>
                <w:rtl/>
              </w:rPr>
              <w:footnoteReference w:id="3"/>
            </w:r>
            <w:r w:rsidRPr="00986F5D">
              <w:rPr>
                <w:rtl/>
              </w:rPr>
              <w:t>, כנוסחו ערב פרסומו של חוק זה;</w:t>
            </w:r>
          </w:p>
        </w:tc>
      </w:tr>
      <w:tr w:rsidR="00596FEE" w:rsidRPr="00596FEE" w14:paraId="751041E1" w14:textId="77777777" w:rsidTr="00986F5D">
        <w:trPr>
          <w:cantSplit/>
        </w:trPr>
        <w:tc>
          <w:tcPr>
            <w:tcW w:w="1870" w:type="dxa"/>
            <w:shd w:val="clear" w:color="auto" w:fill="auto"/>
            <w:tcMar>
              <w:top w:w="91" w:type="dxa"/>
              <w:left w:w="0" w:type="dxa"/>
              <w:bottom w:w="91" w:type="dxa"/>
              <w:right w:w="0" w:type="dxa"/>
            </w:tcMar>
          </w:tcPr>
          <w:p w14:paraId="1845BA24" w14:textId="77777777" w:rsidR="00596FEE" w:rsidRPr="00986F5D" w:rsidRDefault="00596FEE" w:rsidP="00986F5D">
            <w:pPr>
              <w:pStyle w:val="TableSideHeading"/>
              <w:ind w:right="0"/>
              <w:rPr>
                <w:rtl/>
              </w:rPr>
            </w:pPr>
          </w:p>
        </w:tc>
        <w:tc>
          <w:tcPr>
            <w:tcW w:w="624" w:type="dxa"/>
            <w:shd w:val="clear" w:color="auto" w:fill="auto"/>
            <w:tcMar>
              <w:top w:w="91" w:type="dxa"/>
              <w:left w:w="0" w:type="dxa"/>
              <w:bottom w:w="91" w:type="dxa"/>
              <w:right w:w="0" w:type="dxa"/>
            </w:tcMar>
          </w:tcPr>
          <w:p w14:paraId="4602ADA0" w14:textId="77777777" w:rsidR="00596FEE" w:rsidRPr="00986F5D" w:rsidRDefault="00596FEE" w:rsidP="00986F5D">
            <w:pPr>
              <w:pStyle w:val="TableText"/>
              <w:ind w:right="0"/>
              <w:jc w:val="both"/>
              <w:rPr>
                <w:rtl/>
              </w:rPr>
            </w:pPr>
          </w:p>
        </w:tc>
        <w:tc>
          <w:tcPr>
            <w:tcW w:w="7143" w:type="dxa"/>
            <w:shd w:val="clear" w:color="auto" w:fill="auto"/>
            <w:tcMar>
              <w:top w:w="91" w:type="dxa"/>
              <w:left w:w="0" w:type="dxa"/>
              <w:bottom w:w="91" w:type="dxa"/>
              <w:right w:w="0" w:type="dxa"/>
            </w:tcMar>
          </w:tcPr>
          <w:p w14:paraId="6FCBB5F4" w14:textId="77777777" w:rsidR="00596FEE" w:rsidRPr="00986F5D" w:rsidRDefault="00596FEE" w:rsidP="00986F5D">
            <w:pPr>
              <w:pStyle w:val="TableBlockOutdent"/>
              <w:rPr>
                <w:rtl/>
              </w:rPr>
            </w:pPr>
            <w:r w:rsidRPr="00986F5D">
              <w:rPr>
                <w:rtl/>
              </w:rPr>
              <w:t xml:space="preserve">"רשות </w:t>
            </w:r>
            <w:r w:rsidRPr="00986F5D">
              <w:rPr>
                <w:rFonts w:hint="eastAsia"/>
                <w:rtl/>
              </w:rPr>
              <w:t>שדות</w:t>
            </w:r>
            <w:r w:rsidRPr="00986F5D">
              <w:rPr>
                <w:rtl/>
              </w:rPr>
              <w:t xml:space="preserve"> </w:t>
            </w:r>
            <w:r w:rsidRPr="00986F5D">
              <w:rPr>
                <w:rFonts w:hint="eastAsia"/>
                <w:rtl/>
              </w:rPr>
              <w:t>התעופה</w:t>
            </w:r>
            <w:r w:rsidRPr="00986F5D">
              <w:rPr>
                <w:rtl/>
              </w:rPr>
              <w:t xml:space="preserve">" </w:t>
            </w:r>
            <w:r w:rsidRPr="00986F5D">
              <w:rPr>
                <w:rFonts w:hint="eastAsia"/>
                <w:rtl/>
              </w:rPr>
              <w:t>–</w:t>
            </w:r>
            <w:r w:rsidRPr="00986F5D">
              <w:rPr>
                <w:rtl/>
              </w:rPr>
              <w:t xml:space="preserve"> </w:t>
            </w:r>
            <w:r w:rsidRPr="00986F5D">
              <w:rPr>
                <w:rFonts w:hint="eastAsia"/>
                <w:rtl/>
              </w:rPr>
              <w:t>רשות</w:t>
            </w:r>
            <w:r w:rsidRPr="00986F5D">
              <w:rPr>
                <w:rtl/>
              </w:rPr>
              <w:t xml:space="preserve"> שדות התעופה שהוקמה לפי חוק רשות שדות התעופה;</w:t>
            </w:r>
          </w:p>
        </w:tc>
      </w:tr>
      <w:tr w:rsidR="00596FEE" w:rsidRPr="00596FEE" w14:paraId="1BA0E0BF" w14:textId="77777777" w:rsidTr="00986F5D">
        <w:trPr>
          <w:cantSplit/>
        </w:trPr>
        <w:tc>
          <w:tcPr>
            <w:tcW w:w="1870" w:type="dxa"/>
            <w:shd w:val="clear" w:color="auto" w:fill="auto"/>
            <w:tcMar>
              <w:top w:w="91" w:type="dxa"/>
              <w:left w:w="0" w:type="dxa"/>
              <w:bottom w:w="91" w:type="dxa"/>
              <w:right w:w="0" w:type="dxa"/>
            </w:tcMar>
          </w:tcPr>
          <w:p w14:paraId="0BBC58D7" w14:textId="77777777" w:rsidR="00596FEE" w:rsidRPr="00986F5D" w:rsidRDefault="00596FEE" w:rsidP="00986F5D">
            <w:pPr>
              <w:pStyle w:val="TableSideHeading"/>
              <w:ind w:right="0"/>
              <w:rPr>
                <w:rtl/>
              </w:rPr>
            </w:pPr>
          </w:p>
        </w:tc>
        <w:tc>
          <w:tcPr>
            <w:tcW w:w="624" w:type="dxa"/>
            <w:shd w:val="clear" w:color="auto" w:fill="auto"/>
            <w:tcMar>
              <w:top w:w="91" w:type="dxa"/>
              <w:left w:w="0" w:type="dxa"/>
              <w:bottom w:w="91" w:type="dxa"/>
              <w:right w:w="0" w:type="dxa"/>
            </w:tcMar>
          </w:tcPr>
          <w:p w14:paraId="53A8EC92" w14:textId="77777777" w:rsidR="00596FEE" w:rsidRPr="00986F5D" w:rsidRDefault="00596FEE" w:rsidP="00986F5D">
            <w:pPr>
              <w:pStyle w:val="TableText"/>
              <w:ind w:right="0"/>
              <w:jc w:val="both"/>
              <w:rPr>
                <w:rtl/>
              </w:rPr>
            </w:pPr>
          </w:p>
        </w:tc>
        <w:tc>
          <w:tcPr>
            <w:tcW w:w="7143" w:type="dxa"/>
            <w:shd w:val="clear" w:color="auto" w:fill="auto"/>
            <w:tcMar>
              <w:top w:w="91" w:type="dxa"/>
              <w:left w:w="0" w:type="dxa"/>
              <w:bottom w:w="91" w:type="dxa"/>
              <w:right w:w="0" w:type="dxa"/>
            </w:tcMar>
          </w:tcPr>
          <w:p w14:paraId="12888D49" w14:textId="77777777" w:rsidR="00596FEE" w:rsidRPr="00986F5D" w:rsidRDefault="00596FEE" w:rsidP="00986F5D">
            <w:pPr>
              <w:pStyle w:val="TableBlockOutdent"/>
              <w:rPr>
                <w:rtl/>
              </w:rPr>
            </w:pPr>
            <w:r w:rsidRPr="00986F5D">
              <w:rPr>
                <w:rtl/>
              </w:rPr>
              <w:t>"שדה התעופה דב הוז" – שדה התעופה דב הוז (</w:t>
            </w:r>
            <w:proofErr w:type="spellStart"/>
            <w:r w:rsidRPr="00986F5D">
              <w:rPr>
                <w:rtl/>
              </w:rPr>
              <w:t>תל־אביב</w:t>
            </w:r>
            <w:proofErr w:type="spellEnd"/>
            <w:r w:rsidRPr="00986F5D">
              <w:rPr>
                <w:rtl/>
              </w:rPr>
              <w:t>) כמשמעותו בצו רשות שדות התעופה;</w:t>
            </w:r>
          </w:p>
        </w:tc>
      </w:tr>
      <w:tr w:rsidR="00596FEE" w:rsidRPr="00596FEE" w14:paraId="3A5D6455" w14:textId="77777777" w:rsidTr="00986F5D">
        <w:trPr>
          <w:cantSplit/>
        </w:trPr>
        <w:tc>
          <w:tcPr>
            <w:tcW w:w="1870" w:type="dxa"/>
            <w:shd w:val="clear" w:color="auto" w:fill="auto"/>
            <w:tcMar>
              <w:top w:w="91" w:type="dxa"/>
              <w:left w:w="0" w:type="dxa"/>
              <w:bottom w:w="91" w:type="dxa"/>
              <w:right w:w="0" w:type="dxa"/>
            </w:tcMar>
          </w:tcPr>
          <w:p w14:paraId="05DAADD9" w14:textId="77777777" w:rsidR="00596FEE" w:rsidRPr="00986F5D" w:rsidRDefault="00596FEE" w:rsidP="00986F5D">
            <w:pPr>
              <w:pStyle w:val="TableSideHeading"/>
              <w:ind w:right="0"/>
              <w:rPr>
                <w:rtl/>
              </w:rPr>
            </w:pPr>
          </w:p>
        </w:tc>
        <w:tc>
          <w:tcPr>
            <w:tcW w:w="624" w:type="dxa"/>
            <w:shd w:val="clear" w:color="auto" w:fill="auto"/>
            <w:tcMar>
              <w:top w:w="91" w:type="dxa"/>
              <w:left w:w="0" w:type="dxa"/>
              <w:bottom w:w="91" w:type="dxa"/>
              <w:right w:w="0" w:type="dxa"/>
            </w:tcMar>
          </w:tcPr>
          <w:p w14:paraId="314C02A0" w14:textId="77777777" w:rsidR="00596FEE" w:rsidRPr="00986F5D" w:rsidRDefault="00596FEE" w:rsidP="00986F5D">
            <w:pPr>
              <w:pStyle w:val="TableText"/>
              <w:ind w:right="0"/>
              <w:jc w:val="both"/>
              <w:rPr>
                <w:rtl/>
              </w:rPr>
            </w:pPr>
          </w:p>
        </w:tc>
        <w:tc>
          <w:tcPr>
            <w:tcW w:w="7143" w:type="dxa"/>
            <w:shd w:val="clear" w:color="auto" w:fill="auto"/>
            <w:tcMar>
              <w:top w:w="91" w:type="dxa"/>
              <w:left w:w="0" w:type="dxa"/>
              <w:bottom w:w="91" w:type="dxa"/>
              <w:right w:w="0" w:type="dxa"/>
            </w:tcMar>
          </w:tcPr>
          <w:p w14:paraId="4C0D6EB8" w14:textId="77777777" w:rsidR="00596FEE" w:rsidRPr="00986F5D" w:rsidRDefault="00596FEE" w:rsidP="00986F5D">
            <w:pPr>
              <w:pStyle w:val="TableBlockOutdent"/>
              <w:rPr>
                <w:rtl/>
              </w:rPr>
            </w:pPr>
            <w:r w:rsidRPr="00986F5D">
              <w:rPr>
                <w:rtl/>
              </w:rPr>
              <w:t>"שדה תעופה" – כהגדרתו בחוק רשות שדות התעופה</w:t>
            </w:r>
            <w:r w:rsidRPr="00986F5D">
              <w:rPr>
                <w:rFonts w:hint="cs"/>
                <w:rtl/>
              </w:rPr>
              <w:t>;</w:t>
            </w:r>
          </w:p>
        </w:tc>
      </w:tr>
      <w:tr w:rsidR="00596FEE" w:rsidRPr="00596FEE" w14:paraId="0078CAB1" w14:textId="77777777" w:rsidTr="00986F5D">
        <w:trPr>
          <w:cantSplit/>
        </w:trPr>
        <w:tc>
          <w:tcPr>
            <w:tcW w:w="1870" w:type="dxa"/>
            <w:shd w:val="clear" w:color="auto" w:fill="auto"/>
            <w:tcMar>
              <w:top w:w="91" w:type="dxa"/>
              <w:left w:w="0" w:type="dxa"/>
              <w:bottom w:w="91" w:type="dxa"/>
              <w:right w:w="0" w:type="dxa"/>
            </w:tcMar>
          </w:tcPr>
          <w:p w14:paraId="2BDEE267" w14:textId="77777777" w:rsidR="00596FEE" w:rsidRPr="00986F5D" w:rsidRDefault="00596FEE" w:rsidP="00986F5D">
            <w:pPr>
              <w:pStyle w:val="TableSideHeading"/>
              <w:ind w:right="0"/>
              <w:rPr>
                <w:rtl/>
              </w:rPr>
            </w:pPr>
          </w:p>
        </w:tc>
        <w:tc>
          <w:tcPr>
            <w:tcW w:w="624" w:type="dxa"/>
            <w:shd w:val="clear" w:color="auto" w:fill="auto"/>
            <w:tcMar>
              <w:top w:w="91" w:type="dxa"/>
              <w:left w:w="0" w:type="dxa"/>
              <w:bottom w:w="91" w:type="dxa"/>
              <w:right w:w="0" w:type="dxa"/>
            </w:tcMar>
          </w:tcPr>
          <w:p w14:paraId="20A054DF" w14:textId="77777777" w:rsidR="00596FEE" w:rsidRPr="00986F5D" w:rsidRDefault="00596FEE" w:rsidP="00986F5D">
            <w:pPr>
              <w:pStyle w:val="TableText"/>
              <w:ind w:right="0"/>
              <w:jc w:val="both"/>
              <w:rPr>
                <w:rtl/>
              </w:rPr>
            </w:pPr>
          </w:p>
        </w:tc>
        <w:tc>
          <w:tcPr>
            <w:tcW w:w="7143" w:type="dxa"/>
            <w:shd w:val="clear" w:color="auto" w:fill="auto"/>
            <w:tcMar>
              <w:top w:w="91" w:type="dxa"/>
              <w:left w:w="0" w:type="dxa"/>
              <w:bottom w:w="91" w:type="dxa"/>
              <w:right w:w="0" w:type="dxa"/>
            </w:tcMar>
          </w:tcPr>
          <w:p w14:paraId="41E4C57B" w14:textId="77777777" w:rsidR="00596FEE" w:rsidRPr="00986F5D" w:rsidRDefault="00596FEE" w:rsidP="00986F5D">
            <w:pPr>
              <w:pStyle w:val="TableBlockOutdent"/>
              <w:rPr>
                <w:rtl/>
              </w:rPr>
            </w:pPr>
            <w:r w:rsidRPr="00986F5D">
              <w:rPr>
                <w:rtl/>
              </w:rPr>
              <w:t xml:space="preserve">"שטח המסוף הזמני" </w:t>
            </w:r>
            <w:r w:rsidRPr="00986F5D">
              <w:rPr>
                <w:rFonts w:hint="eastAsia"/>
                <w:rtl/>
              </w:rPr>
              <w:t>–</w:t>
            </w:r>
            <w:r w:rsidRPr="00986F5D">
              <w:rPr>
                <w:rtl/>
              </w:rPr>
              <w:t xml:space="preserve"> השטח המסומן במפה שבתוספת, </w:t>
            </w:r>
            <w:r w:rsidRPr="00986F5D">
              <w:rPr>
                <w:rFonts w:hint="eastAsia"/>
                <w:rtl/>
              </w:rPr>
              <w:t>שישמש</w:t>
            </w:r>
            <w:r w:rsidRPr="00986F5D">
              <w:rPr>
                <w:rtl/>
              </w:rPr>
              <w:t xml:space="preserve"> ל</w:t>
            </w:r>
            <w:r w:rsidRPr="00986F5D">
              <w:rPr>
                <w:rFonts w:hint="eastAsia"/>
                <w:rtl/>
              </w:rPr>
              <w:t>מתן</w:t>
            </w:r>
            <w:r w:rsidRPr="00986F5D">
              <w:rPr>
                <w:rtl/>
              </w:rPr>
              <w:t xml:space="preserve"> </w:t>
            </w:r>
            <w:r w:rsidRPr="00986F5D">
              <w:rPr>
                <w:rFonts w:hint="eastAsia"/>
                <w:rtl/>
              </w:rPr>
              <w:t>שירותי</w:t>
            </w:r>
            <w:r w:rsidRPr="00986F5D">
              <w:rPr>
                <w:rtl/>
              </w:rPr>
              <w:t xml:space="preserve"> </w:t>
            </w:r>
            <w:r w:rsidRPr="00986F5D">
              <w:rPr>
                <w:rFonts w:hint="eastAsia"/>
                <w:rtl/>
              </w:rPr>
              <w:t>תעופה</w:t>
            </w:r>
            <w:r w:rsidRPr="00986F5D">
              <w:rPr>
                <w:rtl/>
              </w:rPr>
              <w:t xml:space="preserve"> </w:t>
            </w:r>
            <w:r w:rsidRPr="00986F5D">
              <w:rPr>
                <w:rFonts w:hint="eastAsia"/>
                <w:rtl/>
              </w:rPr>
              <w:t>אזרחית</w:t>
            </w:r>
            <w:r w:rsidRPr="00986F5D">
              <w:rPr>
                <w:rtl/>
              </w:rPr>
              <w:t xml:space="preserve">, </w:t>
            </w:r>
            <w:r w:rsidRPr="00986F5D">
              <w:rPr>
                <w:rFonts w:hint="cs"/>
                <w:rtl/>
              </w:rPr>
              <w:t xml:space="preserve">ובכלל זה </w:t>
            </w:r>
            <w:r w:rsidRPr="00986F5D">
              <w:rPr>
                <w:rFonts w:hint="eastAsia"/>
                <w:rtl/>
              </w:rPr>
              <w:t>מסוף</w:t>
            </w:r>
            <w:r w:rsidRPr="00986F5D">
              <w:rPr>
                <w:rtl/>
              </w:rPr>
              <w:t xml:space="preserve"> נוסעים </w:t>
            </w:r>
            <w:r w:rsidRPr="00986F5D">
              <w:rPr>
                <w:rFonts w:hint="cs"/>
                <w:rtl/>
              </w:rPr>
              <w:t xml:space="preserve">,מסוף </w:t>
            </w:r>
            <w:r w:rsidRPr="00986F5D">
              <w:rPr>
                <w:rFonts w:hint="eastAsia"/>
                <w:rtl/>
              </w:rPr>
              <w:t>מטען</w:t>
            </w:r>
            <w:r w:rsidRPr="00986F5D">
              <w:rPr>
                <w:rFonts w:hint="cs"/>
                <w:rtl/>
              </w:rPr>
              <w:t>,</w:t>
            </w:r>
            <w:r w:rsidRPr="00986F5D">
              <w:rPr>
                <w:rtl/>
              </w:rPr>
              <w:t xml:space="preserve"> ושירותי</w:t>
            </w:r>
            <w:r w:rsidRPr="00986F5D">
              <w:rPr>
                <w:rFonts w:hint="eastAsia"/>
                <w:rtl/>
              </w:rPr>
              <w:t>ם</w:t>
            </w:r>
            <w:r w:rsidRPr="00986F5D">
              <w:rPr>
                <w:rtl/>
              </w:rPr>
              <w:t xml:space="preserve"> נלווים, </w:t>
            </w:r>
            <w:r w:rsidRPr="00986F5D">
              <w:rPr>
                <w:rFonts w:hint="eastAsia"/>
                <w:rtl/>
              </w:rPr>
              <w:t>לרבות</w:t>
            </w:r>
            <w:r w:rsidRPr="00986F5D">
              <w:rPr>
                <w:rtl/>
              </w:rPr>
              <w:t xml:space="preserve"> דרך הגישה אליו</w:t>
            </w:r>
            <w:r w:rsidRPr="00986F5D">
              <w:rPr>
                <w:rFonts w:hint="cs"/>
                <w:rtl/>
              </w:rPr>
              <w:t>.</w:t>
            </w:r>
          </w:p>
        </w:tc>
      </w:tr>
      <w:tr w:rsidR="00596FEE" w:rsidRPr="00596FEE" w14:paraId="07957830" w14:textId="77777777" w:rsidTr="00986F5D">
        <w:trPr>
          <w:cantSplit/>
        </w:trPr>
        <w:tc>
          <w:tcPr>
            <w:tcW w:w="1870" w:type="dxa"/>
            <w:shd w:val="clear" w:color="auto" w:fill="auto"/>
            <w:tcMar>
              <w:top w:w="91" w:type="dxa"/>
              <w:left w:w="0" w:type="dxa"/>
              <w:bottom w:w="91" w:type="dxa"/>
              <w:right w:w="0" w:type="dxa"/>
            </w:tcMar>
          </w:tcPr>
          <w:p w14:paraId="350494F6" w14:textId="77777777" w:rsidR="00596FEE" w:rsidRPr="00986F5D" w:rsidRDefault="00596FEE" w:rsidP="00986F5D">
            <w:pPr>
              <w:pStyle w:val="TableSideHeading"/>
              <w:ind w:right="0"/>
              <w:rPr>
                <w:rtl/>
              </w:rPr>
            </w:pPr>
            <w:r w:rsidRPr="00986F5D">
              <w:rPr>
                <w:rtl/>
              </w:rPr>
              <w:t>הוראות מיוחדות לעניין המשך פעילותו של שדה התעופה דב הוז</w:t>
            </w:r>
          </w:p>
        </w:tc>
        <w:tc>
          <w:tcPr>
            <w:tcW w:w="624" w:type="dxa"/>
            <w:shd w:val="clear" w:color="auto" w:fill="auto"/>
            <w:tcMar>
              <w:top w:w="91" w:type="dxa"/>
              <w:left w:w="0" w:type="dxa"/>
              <w:bottom w:w="91" w:type="dxa"/>
              <w:right w:w="0" w:type="dxa"/>
            </w:tcMar>
          </w:tcPr>
          <w:p w14:paraId="0BD35EBD" w14:textId="77777777" w:rsidR="00596FEE" w:rsidRPr="00986F5D" w:rsidRDefault="00596FEE" w:rsidP="00986F5D">
            <w:pPr>
              <w:pStyle w:val="TableText"/>
              <w:ind w:right="0"/>
              <w:jc w:val="both"/>
              <w:rPr>
                <w:rtl/>
              </w:rPr>
            </w:pPr>
            <w:r w:rsidRPr="00986F5D">
              <w:rPr>
                <w:rtl/>
              </w:rPr>
              <w:t xml:space="preserve">2. </w:t>
            </w:r>
          </w:p>
        </w:tc>
        <w:tc>
          <w:tcPr>
            <w:tcW w:w="7143" w:type="dxa"/>
            <w:shd w:val="clear" w:color="auto" w:fill="auto"/>
            <w:tcMar>
              <w:top w:w="91" w:type="dxa"/>
              <w:left w:w="0" w:type="dxa"/>
              <w:bottom w:w="91" w:type="dxa"/>
              <w:right w:w="0" w:type="dxa"/>
            </w:tcMar>
          </w:tcPr>
          <w:p w14:paraId="46E62E92" w14:textId="77777777" w:rsidR="00596FEE" w:rsidRPr="00986F5D" w:rsidRDefault="00596FEE" w:rsidP="00986F5D">
            <w:pPr>
              <w:pStyle w:val="TableBlock"/>
              <w:rPr>
                <w:rtl/>
              </w:rPr>
            </w:pPr>
            <w:r w:rsidRPr="00986F5D">
              <w:rPr>
                <w:rtl/>
              </w:rPr>
              <w:t>(א)</w:t>
            </w:r>
            <w:r w:rsidRPr="00986F5D">
              <w:rPr>
                <w:rtl/>
              </w:rPr>
              <w:tab/>
              <w:t>על אף האמור בכל דין או הסכם, שדה התעופה דב הוז יוסיף לשמש כשדה תעופה לתעופה אזרחית ורשות שדות התעופה תמשיך לתת בו שירותים בהתאם לצו רשות שדות התעופה</w:t>
            </w:r>
            <w:r w:rsidRPr="00986F5D">
              <w:rPr>
                <w:rFonts w:hint="cs"/>
                <w:rtl/>
              </w:rPr>
              <w:t xml:space="preserve">, כל עוד משמש שדה התעופה דב הוז כשדה תעופה לתעופה צבאית ומבוצעות ממנו המראות או נחיתות של כלי טיס צבאיים, עד המועד </w:t>
            </w:r>
            <w:r w:rsidRPr="00986F5D">
              <w:rPr>
                <w:rFonts w:hint="eastAsia"/>
                <w:rtl/>
              </w:rPr>
              <w:t>שבו</w:t>
            </w:r>
            <w:r w:rsidRPr="00986F5D">
              <w:rPr>
                <w:rtl/>
              </w:rPr>
              <w:t xml:space="preserve"> </w:t>
            </w:r>
            <w:r w:rsidRPr="00986F5D">
              <w:rPr>
                <w:rFonts w:hint="eastAsia"/>
                <w:rtl/>
              </w:rPr>
              <w:t>יחדל</w:t>
            </w:r>
            <w:r w:rsidRPr="00986F5D">
              <w:rPr>
                <w:rtl/>
              </w:rPr>
              <w:t xml:space="preserve"> </w:t>
            </w:r>
            <w:r w:rsidRPr="00986F5D">
              <w:rPr>
                <w:rFonts w:hint="eastAsia"/>
                <w:rtl/>
              </w:rPr>
              <w:t>לשמש</w:t>
            </w:r>
            <w:r w:rsidRPr="00986F5D">
              <w:rPr>
                <w:rtl/>
              </w:rPr>
              <w:t xml:space="preserve"> </w:t>
            </w:r>
            <w:r w:rsidRPr="00986F5D">
              <w:rPr>
                <w:rFonts w:hint="eastAsia"/>
                <w:rtl/>
              </w:rPr>
              <w:t>כאמור</w:t>
            </w:r>
            <w:r w:rsidRPr="00986F5D">
              <w:rPr>
                <w:rtl/>
              </w:rPr>
              <w:t>,</w:t>
            </w:r>
            <w:r w:rsidRPr="00986F5D">
              <w:rPr>
                <w:rFonts w:hint="cs"/>
                <w:rtl/>
              </w:rPr>
              <w:t xml:space="preserve"> </w:t>
            </w:r>
            <w:r w:rsidRPr="00986F5D">
              <w:rPr>
                <w:rFonts w:hint="eastAsia"/>
                <w:rtl/>
              </w:rPr>
              <w:t>לפי</w:t>
            </w:r>
            <w:r w:rsidRPr="00986F5D">
              <w:rPr>
                <w:rtl/>
              </w:rPr>
              <w:t xml:space="preserve"> הודעת שר הביטחון כאמור בסעיף קטן (ב) (בחוק זה </w:t>
            </w:r>
            <w:r w:rsidRPr="00986F5D">
              <w:rPr>
                <w:rFonts w:hint="eastAsia"/>
                <w:rtl/>
              </w:rPr>
              <w:t>–</w:t>
            </w:r>
            <w:r w:rsidRPr="00986F5D">
              <w:rPr>
                <w:rtl/>
              </w:rPr>
              <w:t xml:space="preserve"> מועד הפסקת הפעילות). </w:t>
            </w:r>
          </w:p>
        </w:tc>
      </w:tr>
      <w:tr w:rsidR="00596FEE" w:rsidRPr="00596FEE" w14:paraId="5E482BF7" w14:textId="77777777" w:rsidTr="00986F5D">
        <w:trPr>
          <w:cantSplit/>
        </w:trPr>
        <w:tc>
          <w:tcPr>
            <w:tcW w:w="1870" w:type="dxa"/>
            <w:shd w:val="clear" w:color="auto" w:fill="auto"/>
          </w:tcPr>
          <w:p w14:paraId="0C307CD8" w14:textId="77777777" w:rsidR="00596FEE" w:rsidRPr="00986F5D" w:rsidRDefault="00596FEE" w:rsidP="00986F5D">
            <w:pPr>
              <w:pStyle w:val="TableSideHeading"/>
              <w:ind w:right="0"/>
              <w:rPr>
                <w:rtl/>
              </w:rPr>
            </w:pPr>
          </w:p>
        </w:tc>
        <w:tc>
          <w:tcPr>
            <w:tcW w:w="624" w:type="dxa"/>
            <w:shd w:val="clear" w:color="auto" w:fill="auto"/>
            <w:tcMar>
              <w:top w:w="91" w:type="dxa"/>
              <w:left w:w="0" w:type="dxa"/>
              <w:bottom w:w="91" w:type="dxa"/>
              <w:right w:w="0" w:type="dxa"/>
            </w:tcMar>
          </w:tcPr>
          <w:p w14:paraId="3B320ECF" w14:textId="77777777" w:rsidR="00596FEE" w:rsidRPr="00986F5D" w:rsidRDefault="00596FEE" w:rsidP="00986F5D">
            <w:pPr>
              <w:pStyle w:val="TableText"/>
              <w:ind w:right="0"/>
              <w:jc w:val="both"/>
              <w:rPr>
                <w:rtl/>
              </w:rPr>
            </w:pPr>
          </w:p>
        </w:tc>
        <w:tc>
          <w:tcPr>
            <w:tcW w:w="7143" w:type="dxa"/>
            <w:shd w:val="clear" w:color="auto" w:fill="auto"/>
            <w:tcMar>
              <w:top w:w="91" w:type="dxa"/>
              <w:left w:w="0" w:type="dxa"/>
              <w:bottom w:w="91" w:type="dxa"/>
              <w:right w:w="0" w:type="dxa"/>
            </w:tcMar>
          </w:tcPr>
          <w:p w14:paraId="0A6EF8B7" w14:textId="77777777" w:rsidR="00596FEE" w:rsidRPr="00986F5D" w:rsidRDefault="00596FEE" w:rsidP="00986F5D">
            <w:pPr>
              <w:pStyle w:val="TableBlock"/>
              <w:rPr>
                <w:rtl/>
              </w:rPr>
            </w:pPr>
            <w:r w:rsidRPr="00986F5D">
              <w:rPr>
                <w:rtl/>
              </w:rPr>
              <w:t>(ב)</w:t>
            </w:r>
            <w:r w:rsidRPr="00986F5D">
              <w:rPr>
                <w:rtl/>
              </w:rPr>
              <w:tab/>
              <w:t xml:space="preserve"> שר הביטחון </w:t>
            </w:r>
            <w:r w:rsidRPr="00986F5D">
              <w:rPr>
                <w:rFonts w:hint="cs"/>
                <w:rtl/>
              </w:rPr>
              <w:t>יודיע לשר התחבורה והבטיחות בדרכים על מועד הפסקת הפעילות 60 ימים לפחות לפני המועד האמור.</w:t>
            </w:r>
            <w:r w:rsidRPr="00986F5D">
              <w:rPr>
                <w:rtl/>
              </w:rPr>
              <w:t xml:space="preserve"> </w:t>
            </w:r>
          </w:p>
        </w:tc>
      </w:tr>
      <w:tr w:rsidR="00596FEE" w:rsidRPr="00596FEE" w14:paraId="7466F5AD" w14:textId="77777777" w:rsidTr="00986F5D">
        <w:trPr>
          <w:cantSplit/>
        </w:trPr>
        <w:tc>
          <w:tcPr>
            <w:tcW w:w="1870" w:type="dxa"/>
            <w:shd w:val="clear" w:color="auto" w:fill="auto"/>
          </w:tcPr>
          <w:p w14:paraId="11CB985F" w14:textId="6B33C6BF" w:rsidR="00596FEE" w:rsidRPr="00986F5D" w:rsidRDefault="00596FEE" w:rsidP="00986F5D">
            <w:pPr>
              <w:pStyle w:val="TableSideHeading"/>
              <w:ind w:right="0"/>
              <w:rPr>
                <w:rtl/>
              </w:rPr>
            </w:pPr>
            <w:r w:rsidRPr="00986F5D">
              <w:rPr>
                <w:rFonts w:hint="cs"/>
                <w:rtl/>
              </w:rPr>
              <w:lastRenderedPageBreak/>
              <w:t>מסוף זמני</w:t>
            </w:r>
          </w:p>
        </w:tc>
        <w:tc>
          <w:tcPr>
            <w:tcW w:w="624" w:type="dxa"/>
            <w:shd w:val="clear" w:color="auto" w:fill="auto"/>
            <w:tcMar>
              <w:top w:w="91" w:type="dxa"/>
              <w:left w:w="0" w:type="dxa"/>
              <w:bottom w:w="91" w:type="dxa"/>
              <w:right w:w="0" w:type="dxa"/>
            </w:tcMar>
          </w:tcPr>
          <w:p w14:paraId="4AA12EBB" w14:textId="77777777" w:rsidR="00596FEE" w:rsidRPr="00986F5D" w:rsidRDefault="00596FEE" w:rsidP="00986F5D">
            <w:pPr>
              <w:pStyle w:val="TableText"/>
              <w:ind w:right="0"/>
              <w:jc w:val="both"/>
              <w:rPr>
                <w:rtl/>
              </w:rPr>
            </w:pPr>
            <w:r w:rsidRPr="00986F5D">
              <w:rPr>
                <w:rFonts w:hint="cs"/>
                <w:rtl/>
              </w:rPr>
              <w:t>3.</w:t>
            </w:r>
          </w:p>
        </w:tc>
        <w:tc>
          <w:tcPr>
            <w:tcW w:w="7143" w:type="dxa"/>
            <w:shd w:val="clear" w:color="auto" w:fill="auto"/>
            <w:tcMar>
              <w:top w:w="91" w:type="dxa"/>
              <w:left w:w="0" w:type="dxa"/>
              <w:bottom w:w="91" w:type="dxa"/>
              <w:right w:w="0" w:type="dxa"/>
            </w:tcMar>
          </w:tcPr>
          <w:p w14:paraId="248A9AF2" w14:textId="77777777" w:rsidR="00596FEE" w:rsidRPr="00986F5D" w:rsidRDefault="00596FEE" w:rsidP="00986F5D">
            <w:pPr>
              <w:pStyle w:val="TableBlock"/>
              <w:rPr>
                <w:rtl/>
              </w:rPr>
            </w:pPr>
            <w:r w:rsidRPr="00986F5D">
              <w:rPr>
                <w:rFonts w:hint="cs"/>
                <w:rtl/>
              </w:rPr>
              <w:t>(א)</w:t>
            </w:r>
            <w:r w:rsidRPr="00986F5D">
              <w:rPr>
                <w:rtl/>
              </w:rPr>
              <w:tab/>
            </w:r>
            <w:r w:rsidRPr="00986F5D">
              <w:rPr>
                <w:rFonts w:hint="cs"/>
                <w:rtl/>
              </w:rPr>
              <w:t xml:space="preserve">בכפוף להוראות כל דין, תחל המדינה או מי מטעמה, ללא דיחוי, בביצוע עבודות והקמת מבנים הנדרשים לצורך המשך הפעלתו הזמנית של שדה התעופה דב הוז כשדה תעופה לתעופה אזרחית, באופן שיבטיח שלא יאוחר מיום י"ג בכסלו </w:t>
            </w:r>
            <w:proofErr w:type="spellStart"/>
            <w:r w:rsidRPr="00986F5D">
              <w:rPr>
                <w:rFonts w:hint="cs"/>
                <w:rtl/>
              </w:rPr>
              <w:t>התשע"ח</w:t>
            </w:r>
            <w:proofErr w:type="spellEnd"/>
            <w:r w:rsidRPr="00986F5D">
              <w:rPr>
                <w:rFonts w:hint="cs"/>
                <w:rtl/>
              </w:rPr>
              <w:t xml:space="preserve"> (1 בדצמבר 2017) (בחוק זה </w:t>
            </w:r>
            <w:r w:rsidRPr="00986F5D">
              <w:rPr>
                <w:rFonts w:hint="eastAsia"/>
                <w:rtl/>
              </w:rPr>
              <w:t>–</w:t>
            </w:r>
            <w:r w:rsidRPr="00986F5D">
              <w:rPr>
                <w:rFonts w:hint="cs"/>
                <w:rtl/>
              </w:rPr>
              <w:t xml:space="preserve"> מועד המעבר), ישמש שטח המסוף הזמני לתעופה אזרחית </w:t>
            </w:r>
            <w:r w:rsidRPr="00986F5D">
              <w:rPr>
                <w:rtl/>
              </w:rPr>
              <w:t xml:space="preserve">ורשות שדות התעופה </w:t>
            </w:r>
            <w:proofErr w:type="spellStart"/>
            <w:r w:rsidRPr="00986F5D">
              <w:rPr>
                <w:rFonts w:hint="cs"/>
                <w:rtl/>
              </w:rPr>
              <w:t>תתן</w:t>
            </w:r>
            <w:proofErr w:type="spellEnd"/>
            <w:r w:rsidRPr="00986F5D">
              <w:rPr>
                <w:rFonts w:hint="cs"/>
                <w:rtl/>
              </w:rPr>
              <w:t xml:space="preserve"> </w:t>
            </w:r>
            <w:r w:rsidRPr="00986F5D">
              <w:rPr>
                <w:rtl/>
              </w:rPr>
              <w:t>בו שירותים בהתאם לצו רשות שדות התעופה</w:t>
            </w:r>
            <w:r w:rsidRPr="00986F5D">
              <w:rPr>
                <w:rFonts w:hint="cs"/>
                <w:rtl/>
              </w:rPr>
              <w:t>; שר האוצר, באישור ועדת הפנים והגנת הסביבה של הכנסת, רשאי, בצו, לשנות את מועד המעבר.</w:t>
            </w:r>
          </w:p>
        </w:tc>
      </w:tr>
      <w:tr w:rsidR="00596FEE" w:rsidRPr="00596FEE" w14:paraId="6A56E1C8" w14:textId="77777777" w:rsidTr="00986F5D">
        <w:trPr>
          <w:cantSplit/>
        </w:trPr>
        <w:tc>
          <w:tcPr>
            <w:tcW w:w="1870" w:type="dxa"/>
            <w:shd w:val="clear" w:color="auto" w:fill="auto"/>
          </w:tcPr>
          <w:p w14:paraId="2CEBDDCB" w14:textId="77777777" w:rsidR="00596FEE" w:rsidRPr="00986F5D" w:rsidRDefault="00596FEE" w:rsidP="00986F5D">
            <w:pPr>
              <w:pStyle w:val="TableSideHeading"/>
              <w:ind w:right="0"/>
              <w:rPr>
                <w:rtl/>
              </w:rPr>
            </w:pPr>
          </w:p>
        </w:tc>
        <w:tc>
          <w:tcPr>
            <w:tcW w:w="624" w:type="dxa"/>
            <w:shd w:val="clear" w:color="auto" w:fill="auto"/>
            <w:tcMar>
              <w:top w:w="91" w:type="dxa"/>
              <w:left w:w="0" w:type="dxa"/>
              <w:bottom w:w="91" w:type="dxa"/>
              <w:right w:w="0" w:type="dxa"/>
            </w:tcMar>
          </w:tcPr>
          <w:p w14:paraId="6FA8769B" w14:textId="77777777" w:rsidR="00596FEE" w:rsidRPr="00986F5D" w:rsidRDefault="00596FEE" w:rsidP="00986F5D">
            <w:pPr>
              <w:pStyle w:val="TableText"/>
              <w:ind w:right="0"/>
              <w:jc w:val="both"/>
              <w:rPr>
                <w:rtl/>
              </w:rPr>
            </w:pPr>
          </w:p>
        </w:tc>
        <w:tc>
          <w:tcPr>
            <w:tcW w:w="7143" w:type="dxa"/>
            <w:shd w:val="clear" w:color="auto" w:fill="auto"/>
            <w:tcMar>
              <w:top w:w="91" w:type="dxa"/>
              <w:left w:w="0" w:type="dxa"/>
              <w:bottom w:w="91" w:type="dxa"/>
              <w:right w:w="0" w:type="dxa"/>
            </w:tcMar>
          </w:tcPr>
          <w:p w14:paraId="2CDB0B8D" w14:textId="77777777" w:rsidR="00596FEE" w:rsidRPr="00986F5D" w:rsidRDefault="00596FEE" w:rsidP="00986F5D">
            <w:pPr>
              <w:pStyle w:val="TableBlock"/>
              <w:rPr>
                <w:rtl/>
              </w:rPr>
            </w:pPr>
            <w:r w:rsidRPr="00986F5D">
              <w:rPr>
                <w:rFonts w:hint="cs"/>
                <w:rtl/>
              </w:rPr>
              <w:t>(ב)</w:t>
            </w:r>
            <w:r w:rsidRPr="00986F5D">
              <w:rPr>
                <w:rtl/>
              </w:rPr>
              <w:tab/>
            </w:r>
            <w:r w:rsidRPr="00986F5D">
              <w:rPr>
                <w:rFonts w:hint="cs"/>
                <w:rtl/>
              </w:rPr>
              <w:t xml:space="preserve">החל במועד המעבר ישמש שטח המסוף הזמני לתעופה אזרחית </w:t>
            </w:r>
            <w:r w:rsidRPr="00986F5D">
              <w:rPr>
                <w:rtl/>
              </w:rPr>
              <w:t xml:space="preserve">ורשות שדות התעופה </w:t>
            </w:r>
            <w:proofErr w:type="spellStart"/>
            <w:r w:rsidRPr="00986F5D">
              <w:rPr>
                <w:rFonts w:hint="cs"/>
                <w:rtl/>
              </w:rPr>
              <w:t>תתן</w:t>
            </w:r>
            <w:proofErr w:type="spellEnd"/>
            <w:r w:rsidRPr="00986F5D">
              <w:rPr>
                <w:rFonts w:hint="cs"/>
                <w:rtl/>
              </w:rPr>
              <w:t xml:space="preserve"> </w:t>
            </w:r>
            <w:r w:rsidRPr="00986F5D">
              <w:rPr>
                <w:rtl/>
              </w:rPr>
              <w:t xml:space="preserve">בו שירותים בהתאם לצו רשות שדות התעופה, </w:t>
            </w:r>
            <w:r w:rsidRPr="00986F5D">
              <w:rPr>
                <w:rFonts w:hint="eastAsia"/>
                <w:rtl/>
              </w:rPr>
              <w:t>ו</w:t>
            </w:r>
            <w:r w:rsidRPr="00986F5D">
              <w:rPr>
                <w:rFonts w:hint="cs"/>
                <w:rtl/>
              </w:rPr>
              <w:t>מסוף הנוסעים שהיה קיים בשדה התעופה דב הוז</w:t>
            </w:r>
            <w:r w:rsidRPr="00986F5D" w:rsidDel="00833BBE">
              <w:rPr>
                <w:rFonts w:hint="cs"/>
                <w:rtl/>
              </w:rPr>
              <w:t xml:space="preserve"> </w:t>
            </w:r>
            <w:r w:rsidRPr="00986F5D">
              <w:rPr>
                <w:rFonts w:hint="cs"/>
                <w:rtl/>
              </w:rPr>
              <w:t>ערב תחילתו של חוק זה, יחדל לשמש למתן שירותים כאמור.</w:t>
            </w:r>
          </w:p>
        </w:tc>
      </w:tr>
      <w:tr w:rsidR="00596FEE" w:rsidRPr="00596FEE" w14:paraId="56625234" w14:textId="77777777" w:rsidTr="00986F5D">
        <w:trPr>
          <w:cantSplit/>
        </w:trPr>
        <w:tc>
          <w:tcPr>
            <w:tcW w:w="1870" w:type="dxa"/>
            <w:shd w:val="clear" w:color="auto" w:fill="auto"/>
          </w:tcPr>
          <w:p w14:paraId="2220B363" w14:textId="77777777" w:rsidR="00596FEE" w:rsidRPr="00986F5D" w:rsidRDefault="00596FEE" w:rsidP="00986F5D">
            <w:pPr>
              <w:pStyle w:val="TableSideHeading"/>
              <w:ind w:right="0"/>
              <w:rPr>
                <w:rtl/>
              </w:rPr>
            </w:pPr>
            <w:r w:rsidRPr="00986F5D">
              <w:rPr>
                <w:rFonts w:hint="cs"/>
                <w:rtl/>
              </w:rPr>
              <w:t>הקניית זכויות למדינה</w:t>
            </w:r>
          </w:p>
        </w:tc>
        <w:tc>
          <w:tcPr>
            <w:tcW w:w="624" w:type="dxa"/>
            <w:shd w:val="clear" w:color="auto" w:fill="auto"/>
            <w:tcMar>
              <w:top w:w="91" w:type="dxa"/>
              <w:left w:w="0" w:type="dxa"/>
              <w:bottom w:w="91" w:type="dxa"/>
              <w:right w:w="0" w:type="dxa"/>
            </w:tcMar>
          </w:tcPr>
          <w:p w14:paraId="5B8EAEDC" w14:textId="77777777" w:rsidR="00596FEE" w:rsidRPr="00986F5D" w:rsidRDefault="00596FEE" w:rsidP="00986F5D">
            <w:pPr>
              <w:pStyle w:val="TableText"/>
              <w:ind w:right="0"/>
              <w:jc w:val="both"/>
              <w:rPr>
                <w:rtl/>
              </w:rPr>
            </w:pPr>
            <w:r w:rsidRPr="00986F5D">
              <w:rPr>
                <w:rFonts w:hint="cs"/>
                <w:rtl/>
              </w:rPr>
              <w:t>4.</w:t>
            </w:r>
          </w:p>
        </w:tc>
        <w:tc>
          <w:tcPr>
            <w:tcW w:w="7143" w:type="dxa"/>
            <w:shd w:val="clear" w:color="auto" w:fill="auto"/>
            <w:tcMar>
              <w:top w:w="91" w:type="dxa"/>
              <w:left w:w="0" w:type="dxa"/>
              <w:bottom w:w="91" w:type="dxa"/>
              <w:right w:w="0" w:type="dxa"/>
            </w:tcMar>
          </w:tcPr>
          <w:p w14:paraId="0BD71C38" w14:textId="77777777" w:rsidR="00596FEE" w:rsidRPr="00986F5D" w:rsidRDefault="00596FEE" w:rsidP="00986F5D">
            <w:pPr>
              <w:pStyle w:val="TableBlock"/>
              <w:rPr>
                <w:rtl/>
              </w:rPr>
            </w:pPr>
            <w:r w:rsidRPr="00986F5D">
              <w:rPr>
                <w:rFonts w:hint="cs"/>
                <w:rtl/>
              </w:rPr>
              <w:t>מיום תחילתו של חוק זה עד מועד הפסקת הפעילות, יהיו לקניין המדינה זכויות חזקה ושימוש או הנאה אחרת לגבי המקרקעין בשדה התעופה דב הוז, הנדרשות לצורך ביצוע האמור בסעיפים 2 ו-3 ובכלל זה בשטח המסוף הזמני; ואולם, פונה שטח שדה התעופה דב הוז, כולו או חלקו, לפני מועד הפסקת הפעילות, יהיו הזכויות האמורות לקניין המדינה לעניין אותו שטח עד מועד הפינוי כאמור.</w:t>
            </w:r>
          </w:p>
        </w:tc>
      </w:tr>
      <w:tr w:rsidR="00596FEE" w:rsidRPr="00596FEE" w14:paraId="3BB8B1FE" w14:textId="77777777" w:rsidTr="00986F5D">
        <w:trPr>
          <w:cantSplit/>
        </w:trPr>
        <w:tc>
          <w:tcPr>
            <w:tcW w:w="1870" w:type="dxa"/>
            <w:shd w:val="clear" w:color="auto" w:fill="auto"/>
          </w:tcPr>
          <w:p w14:paraId="14F88822" w14:textId="77777777" w:rsidR="00596FEE" w:rsidRPr="00986F5D" w:rsidRDefault="00596FEE" w:rsidP="00986F5D">
            <w:pPr>
              <w:pStyle w:val="TableSideHeading"/>
              <w:ind w:right="0"/>
              <w:rPr>
                <w:rtl/>
              </w:rPr>
            </w:pPr>
            <w:r w:rsidRPr="00986F5D">
              <w:rPr>
                <w:rFonts w:hint="cs"/>
                <w:rtl/>
              </w:rPr>
              <w:t>פיצויים</w:t>
            </w:r>
          </w:p>
        </w:tc>
        <w:tc>
          <w:tcPr>
            <w:tcW w:w="624" w:type="dxa"/>
            <w:shd w:val="clear" w:color="auto" w:fill="auto"/>
            <w:tcMar>
              <w:top w:w="91" w:type="dxa"/>
              <w:left w:w="0" w:type="dxa"/>
              <w:bottom w:w="91" w:type="dxa"/>
              <w:right w:w="0" w:type="dxa"/>
            </w:tcMar>
          </w:tcPr>
          <w:p w14:paraId="1D8B41C4" w14:textId="77777777" w:rsidR="00596FEE" w:rsidRPr="00986F5D" w:rsidRDefault="00596FEE" w:rsidP="00986F5D">
            <w:pPr>
              <w:pStyle w:val="TableText"/>
              <w:ind w:right="0"/>
              <w:jc w:val="both"/>
              <w:rPr>
                <w:rtl/>
              </w:rPr>
            </w:pPr>
            <w:r w:rsidRPr="00986F5D">
              <w:rPr>
                <w:rFonts w:hint="cs"/>
                <w:rtl/>
              </w:rPr>
              <w:t>5.</w:t>
            </w:r>
          </w:p>
        </w:tc>
        <w:tc>
          <w:tcPr>
            <w:tcW w:w="7143" w:type="dxa"/>
            <w:shd w:val="clear" w:color="auto" w:fill="auto"/>
            <w:tcMar>
              <w:top w:w="91" w:type="dxa"/>
              <w:left w:w="0" w:type="dxa"/>
              <w:bottom w:w="91" w:type="dxa"/>
              <w:right w:w="0" w:type="dxa"/>
            </w:tcMar>
          </w:tcPr>
          <w:p w14:paraId="0266C5A3" w14:textId="77777777" w:rsidR="00596FEE" w:rsidRPr="00986F5D" w:rsidRDefault="00596FEE" w:rsidP="00986F5D">
            <w:pPr>
              <w:pStyle w:val="TableBlock"/>
              <w:rPr>
                <w:rtl/>
              </w:rPr>
            </w:pPr>
            <w:r w:rsidRPr="00986F5D">
              <w:rPr>
                <w:rFonts w:hint="cs"/>
                <w:rtl/>
              </w:rPr>
              <w:t>(א)</w:t>
            </w:r>
            <w:r w:rsidRPr="00986F5D">
              <w:rPr>
                <w:rtl/>
              </w:rPr>
              <w:tab/>
            </w:r>
            <w:r w:rsidRPr="00986F5D">
              <w:rPr>
                <w:rFonts w:hint="cs"/>
                <w:rtl/>
              </w:rPr>
              <w:t xml:space="preserve">בעד השימוש לצורך תעופה אזרחית לפי סעיפים 2 ו-3, זכאי בעל זכות או טובת הנאה במקרקעין שזכויות לגביהם הוקנו למדינה לפי סעיף 4 לפיצויים בשל ההקניה כאמור, בכפוף להוראות סעיף קטן (ב). </w:t>
            </w:r>
          </w:p>
        </w:tc>
      </w:tr>
      <w:tr w:rsidR="00596FEE" w:rsidRPr="00596FEE" w14:paraId="312FF11D" w14:textId="77777777" w:rsidTr="00986F5D">
        <w:trPr>
          <w:cantSplit/>
        </w:trPr>
        <w:tc>
          <w:tcPr>
            <w:tcW w:w="1870" w:type="dxa"/>
            <w:shd w:val="clear" w:color="auto" w:fill="auto"/>
          </w:tcPr>
          <w:p w14:paraId="37912475" w14:textId="77777777" w:rsidR="00596FEE" w:rsidRPr="00986F5D" w:rsidRDefault="00596FEE" w:rsidP="00986F5D">
            <w:pPr>
              <w:pStyle w:val="TableSideHeading"/>
              <w:ind w:right="0"/>
              <w:rPr>
                <w:rtl/>
              </w:rPr>
            </w:pPr>
          </w:p>
        </w:tc>
        <w:tc>
          <w:tcPr>
            <w:tcW w:w="624" w:type="dxa"/>
            <w:shd w:val="clear" w:color="auto" w:fill="auto"/>
            <w:tcMar>
              <w:top w:w="91" w:type="dxa"/>
              <w:left w:w="0" w:type="dxa"/>
              <w:bottom w:w="91" w:type="dxa"/>
              <w:right w:w="0" w:type="dxa"/>
            </w:tcMar>
          </w:tcPr>
          <w:p w14:paraId="56307C69" w14:textId="77777777" w:rsidR="00596FEE" w:rsidRPr="00986F5D" w:rsidRDefault="00596FEE" w:rsidP="00986F5D">
            <w:pPr>
              <w:pStyle w:val="TableText"/>
              <w:ind w:right="0"/>
              <w:jc w:val="both"/>
              <w:rPr>
                <w:rtl/>
              </w:rPr>
            </w:pPr>
          </w:p>
        </w:tc>
        <w:tc>
          <w:tcPr>
            <w:tcW w:w="7143" w:type="dxa"/>
            <w:shd w:val="clear" w:color="auto" w:fill="auto"/>
            <w:tcMar>
              <w:top w:w="91" w:type="dxa"/>
              <w:left w:w="0" w:type="dxa"/>
              <w:bottom w:w="91" w:type="dxa"/>
              <w:right w:w="0" w:type="dxa"/>
            </w:tcMar>
          </w:tcPr>
          <w:p w14:paraId="1D21B52B" w14:textId="77777777" w:rsidR="00596FEE" w:rsidRPr="00986F5D" w:rsidRDefault="00596FEE" w:rsidP="00986F5D">
            <w:pPr>
              <w:pStyle w:val="TableBlock"/>
              <w:rPr>
                <w:rtl/>
              </w:rPr>
            </w:pPr>
            <w:r w:rsidRPr="00986F5D">
              <w:rPr>
                <w:rFonts w:hint="cs"/>
                <w:rtl/>
              </w:rPr>
              <w:t>(ב)</w:t>
            </w:r>
            <w:r w:rsidRPr="00986F5D">
              <w:rPr>
                <w:rtl/>
              </w:rPr>
              <w:tab/>
            </w:r>
            <w:r w:rsidRPr="00986F5D">
              <w:rPr>
                <w:rFonts w:hint="cs"/>
                <w:rtl/>
              </w:rPr>
              <w:t>על הפיצויים, אופן חישובם, ודרכי ההשגה עליהם, יחולו הוראות פקודת הקרקעות (רכישה לצרכי ציבור) 1943</w:t>
            </w:r>
            <w:r w:rsidRPr="00574965">
              <w:rPr>
                <w:vertAlign w:val="superscript"/>
                <w:rtl/>
              </w:rPr>
              <w:footnoteReference w:id="4"/>
            </w:r>
            <w:r w:rsidRPr="00986F5D">
              <w:rPr>
                <w:rFonts w:hint="cs"/>
                <w:rtl/>
              </w:rPr>
              <w:t xml:space="preserve">, וחוק לתיקון דיני הרכישה לצורכי ציבור, </w:t>
            </w:r>
            <w:proofErr w:type="spellStart"/>
            <w:r w:rsidRPr="00986F5D">
              <w:rPr>
                <w:rFonts w:hint="cs"/>
                <w:rtl/>
              </w:rPr>
              <w:t>התשכ"ד</w:t>
            </w:r>
            <w:proofErr w:type="spellEnd"/>
            <w:r w:rsidRPr="00986F5D">
              <w:rPr>
                <w:rFonts w:hint="eastAsia"/>
                <w:rtl/>
              </w:rPr>
              <w:t>–</w:t>
            </w:r>
            <w:r w:rsidRPr="00986F5D">
              <w:rPr>
                <w:rFonts w:hint="cs"/>
                <w:rtl/>
              </w:rPr>
              <w:t>1964</w:t>
            </w:r>
            <w:r w:rsidRPr="00574965">
              <w:rPr>
                <w:vertAlign w:val="superscript"/>
                <w:rtl/>
              </w:rPr>
              <w:footnoteReference w:id="5"/>
            </w:r>
            <w:r w:rsidRPr="00574965">
              <w:rPr>
                <w:rFonts w:hint="cs"/>
                <w:vertAlign w:val="superscript"/>
                <w:rtl/>
              </w:rPr>
              <w:t xml:space="preserve"> </w:t>
            </w:r>
            <w:r w:rsidRPr="00986F5D">
              <w:rPr>
                <w:rFonts w:hint="cs"/>
                <w:rtl/>
              </w:rPr>
              <w:t xml:space="preserve">(בחוק זה </w:t>
            </w:r>
            <w:r w:rsidRPr="00986F5D">
              <w:rPr>
                <w:rFonts w:hint="eastAsia"/>
                <w:rtl/>
              </w:rPr>
              <w:t>–</w:t>
            </w:r>
            <w:r w:rsidRPr="00986F5D">
              <w:rPr>
                <w:rFonts w:hint="cs"/>
                <w:rtl/>
              </w:rPr>
              <w:t xml:space="preserve"> חוקי הרכישה), בכפוף להוראות חוק זה, בשינויים המחויבים ובשינוי זה </w:t>
            </w:r>
            <w:r w:rsidRPr="00986F5D">
              <w:rPr>
                <w:rFonts w:hint="eastAsia"/>
                <w:rtl/>
              </w:rPr>
              <w:t>–</w:t>
            </w:r>
            <w:r w:rsidRPr="00986F5D">
              <w:rPr>
                <w:rFonts w:hint="cs"/>
                <w:rtl/>
              </w:rPr>
              <w:t xml:space="preserve"> בכל מקום בחוקי הרכישה שבו מדובר במועד פרסום הודעה לפי סעיפים 5 או 7 לפקודת הקרקעות, ייקרא כאילו מדובר במועד פרסומו של חוק זה.</w:t>
            </w:r>
          </w:p>
        </w:tc>
      </w:tr>
      <w:tr w:rsidR="00596FEE" w:rsidRPr="00596FEE" w14:paraId="03FEE35B" w14:textId="77777777" w:rsidTr="00986F5D">
        <w:trPr>
          <w:cantSplit/>
        </w:trPr>
        <w:tc>
          <w:tcPr>
            <w:tcW w:w="1870" w:type="dxa"/>
            <w:shd w:val="clear" w:color="auto" w:fill="auto"/>
            <w:tcMar>
              <w:top w:w="91" w:type="dxa"/>
              <w:left w:w="0" w:type="dxa"/>
              <w:bottom w:w="91" w:type="dxa"/>
              <w:right w:w="0" w:type="dxa"/>
            </w:tcMar>
          </w:tcPr>
          <w:p w14:paraId="1741ABBF" w14:textId="77777777" w:rsidR="00596FEE" w:rsidRPr="00986F5D" w:rsidRDefault="00596FEE" w:rsidP="00986F5D">
            <w:pPr>
              <w:pStyle w:val="TableSideHeading"/>
              <w:ind w:right="0"/>
              <w:rPr>
                <w:rtl/>
              </w:rPr>
            </w:pPr>
            <w:r w:rsidRPr="00986F5D">
              <w:rPr>
                <w:rFonts w:hint="cs"/>
                <w:rtl/>
              </w:rPr>
              <w:t>שינוי התוספת</w:t>
            </w:r>
          </w:p>
        </w:tc>
        <w:tc>
          <w:tcPr>
            <w:tcW w:w="624" w:type="dxa"/>
            <w:shd w:val="clear" w:color="auto" w:fill="auto"/>
            <w:tcMar>
              <w:top w:w="91" w:type="dxa"/>
              <w:left w:w="0" w:type="dxa"/>
              <w:bottom w:w="91" w:type="dxa"/>
              <w:right w:w="0" w:type="dxa"/>
            </w:tcMar>
          </w:tcPr>
          <w:p w14:paraId="4D66796E" w14:textId="77777777" w:rsidR="00596FEE" w:rsidRPr="00986F5D" w:rsidRDefault="00596FEE" w:rsidP="00986F5D">
            <w:pPr>
              <w:pStyle w:val="TableText"/>
              <w:ind w:right="0"/>
              <w:jc w:val="both"/>
              <w:rPr>
                <w:rtl/>
              </w:rPr>
            </w:pPr>
            <w:r w:rsidRPr="00986F5D">
              <w:rPr>
                <w:rFonts w:hint="cs"/>
                <w:rtl/>
              </w:rPr>
              <w:t>6.</w:t>
            </w:r>
          </w:p>
        </w:tc>
        <w:tc>
          <w:tcPr>
            <w:tcW w:w="7143" w:type="dxa"/>
            <w:shd w:val="clear" w:color="auto" w:fill="auto"/>
            <w:tcMar>
              <w:top w:w="91" w:type="dxa"/>
              <w:left w:w="0" w:type="dxa"/>
              <w:bottom w:w="91" w:type="dxa"/>
              <w:right w:w="0" w:type="dxa"/>
            </w:tcMar>
          </w:tcPr>
          <w:p w14:paraId="6F4D4FE4" w14:textId="0419C1FD" w:rsidR="00596FEE" w:rsidRPr="00986F5D" w:rsidRDefault="00596FEE" w:rsidP="00986F5D">
            <w:pPr>
              <w:pStyle w:val="TableBlock"/>
              <w:rPr>
                <w:rtl/>
              </w:rPr>
            </w:pPr>
            <w:r w:rsidRPr="00986F5D">
              <w:rPr>
                <w:rFonts w:hint="cs"/>
                <w:rtl/>
              </w:rPr>
              <w:t>שר האוצר, באישור ועדת הפנים והגנת הסביבה של הכנסת, רשאי</w:t>
            </w:r>
            <w:r w:rsidR="00CE0AB3" w:rsidRPr="00986F5D">
              <w:rPr>
                <w:rFonts w:hint="cs"/>
                <w:rtl/>
              </w:rPr>
              <w:t>, בצו,</w:t>
            </w:r>
            <w:r w:rsidRPr="00986F5D">
              <w:rPr>
                <w:rFonts w:hint="cs"/>
                <w:rtl/>
              </w:rPr>
              <w:t xml:space="preserve"> לשנות את התוספת.</w:t>
            </w:r>
          </w:p>
        </w:tc>
      </w:tr>
      <w:tr w:rsidR="00596FEE" w:rsidRPr="00596FEE" w14:paraId="50F126D5" w14:textId="77777777" w:rsidTr="00986F5D">
        <w:trPr>
          <w:cantSplit/>
        </w:trPr>
        <w:tc>
          <w:tcPr>
            <w:tcW w:w="1870" w:type="dxa"/>
            <w:shd w:val="clear" w:color="auto" w:fill="auto"/>
            <w:tcMar>
              <w:top w:w="91" w:type="dxa"/>
              <w:left w:w="0" w:type="dxa"/>
              <w:bottom w:w="91" w:type="dxa"/>
              <w:right w:w="0" w:type="dxa"/>
            </w:tcMar>
          </w:tcPr>
          <w:p w14:paraId="6464C18B" w14:textId="77777777" w:rsidR="00596FEE" w:rsidRPr="00986F5D" w:rsidRDefault="00596FEE" w:rsidP="00986F5D">
            <w:pPr>
              <w:pStyle w:val="TableSideHeading"/>
              <w:ind w:right="0"/>
              <w:rPr>
                <w:rtl/>
              </w:rPr>
            </w:pPr>
            <w:r w:rsidRPr="00986F5D">
              <w:rPr>
                <w:rtl/>
              </w:rPr>
              <w:t>ביצוע ותקנות</w:t>
            </w:r>
          </w:p>
        </w:tc>
        <w:tc>
          <w:tcPr>
            <w:tcW w:w="624" w:type="dxa"/>
            <w:shd w:val="clear" w:color="auto" w:fill="auto"/>
            <w:tcMar>
              <w:top w:w="91" w:type="dxa"/>
              <w:left w:w="0" w:type="dxa"/>
              <w:bottom w:w="91" w:type="dxa"/>
              <w:right w:w="0" w:type="dxa"/>
            </w:tcMar>
          </w:tcPr>
          <w:p w14:paraId="0861E723" w14:textId="77777777" w:rsidR="00596FEE" w:rsidRPr="00986F5D" w:rsidRDefault="00596FEE" w:rsidP="00986F5D">
            <w:pPr>
              <w:pStyle w:val="TableText"/>
              <w:ind w:right="0"/>
              <w:jc w:val="both"/>
              <w:rPr>
                <w:rtl/>
              </w:rPr>
            </w:pPr>
            <w:r w:rsidRPr="00986F5D">
              <w:rPr>
                <w:rFonts w:hint="cs"/>
                <w:rtl/>
              </w:rPr>
              <w:t>7</w:t>
            </w:r>
            <w:r w:rsidRPr="00986F5D">
              <w:rPr>
                <w:rtl/>
              </w:rPr>
              <w:t>.</w:t>
            </w:r>
          </w:p>
        </w:tc>
        <w:tc>
          <w:tcPr>
            <w:tcW w:w="7143" w:type="dxa"/>
            <w:shd w:val="clear" w:color="auto" w:fill="auto"/>
            <w:tcMar>
              <w:top w:w="91" w:type="dxa"/>
              <w:left w:w="0" w:type="dxa"/>
              <w:bottom w:w="91" w:type="dxa"/>
              <w:right w:w="0" w:type="dxa"/>
            </w:tcMar>
          </w:tcPr>
          <w:p w14:paraId="2EECE3EF" w14:textId="77777777" w:rsidR="00596FEE" w:rsidRPr="00986F5D" w:rsidRDefault="00596FEE" w:rsidP="00986F5D">
            <w:pPr>
              <w:pStyle w:val="TableBlock"/>
              <w:rPr>
                <w:rtl/>
              </w:rPr>
            </w:pPr>
            <w:r w:rsidRPr="00986F5D">
              <w:rPr>
                <w:rtl/>
              </w:rPr>
              <w:t xml:space="preserve">שר התחבורה והבטיחות בדרכים </w:t>
            </w:r>
            <w:r w:rsidRPr="00986F5D">
              <w:rPr>
                <w:rFonts w:hint="cs"/>
                <w:rtl/>
              </w:rPr>
              <w:t xml:space="preserve">ושר האוצר </w:t>
            </w:r>
            <w:r w:rsidRPr="00986F5D">
              <w:rPr>
                <w:rtl/>
              </w:rPr>
              <w:t>ממונ</w:t>
            </w:r>
            <w:r w:rsidRPr="00986F5D">
              <w:rPr>
                <w:rFonts w:hint="cs"/>
                <w:rtl/>
              </w:rPr>
              <w:t>ים</w:t>
            </w:r>
            <w:r w:rsidRPr="00986F5D">
              <w:rPr>
                <w:rtl/>
              </w:rPr>
              <w:t xml:space="preserve"> על ביצוע הוראות חוק זה וה</w:t>
            </w:r>
            <w:r w:rsidRPr="00986F5D">
              <w:rPr>
                <w:rFonts w:hint="cs"/>
                <w:rtl/>
              </w:rPr>
              <w:t>ם</w:t>
            </w:r>
            <w:r w:rsidRPr="00986F5D">
              <w:rPr>
                <w:rtl/>
              </w:rPr>
              <w:t xml:space="preserve"> רשאי</w:t>
            </w:r>
            <w:r w:rsidRPr="00986F5D">
              <w:rPr>
                <w:rFonts w:hint="cs"/>
                <w:rtl/>
              </w:rPr>
              <w:t>ם</w:t>
            </w:r>
            <w:r w:rsidRPr="00986F5D">
              <w:rPr>
                <w:rtl/>
              </w:rPr>
              <w:t>, באישור ועדת הפנים והגנת הסביבה של הכנסת, להתקין תקנות בכל עניין הנוגע לביצועו.</w:t>
            </w:r>
          </w:p>
        </w:tc>
      </w:tr>
      <w:tr w:rsidR="00596FEE" w:rsidRPr="00596FEE" w14:paraId="7D563CF2" w14:textId="77777777" w:rsidTr="00986F5D">
        <w:tblPrEx>
          <w:tblLook w:val="01E0" w:firstRow="1" w:lastRow="1" w:firstColumn="1" w:lastColumn="1" w:noHBand="0" w:noVBand="0"/>
        </w:tblPrEx>
        <w:trPr>
          <w:cantSplit/>
        </w:trPr>
        <w:tc>
          <w:tcPr>
            <w:tcW w:w="1870" w:type="dxa"/>
          </w:tcPr>
          <w:p w14:paraId="4E6B9F81" w14:textId="77777777" w:rsidR="00596FEE" w:rsidRPr="00986F5D" w:rsidRDefault="00596FEE" w:rsidP="00986F5D">
            <w:pPr>
              <w:pStyle w:val="TableSideHeading"/>
              <w:ind w:right="0"/>
            </w:pPr>
          </w:p>
        </w:tc>
        <w:tc>
          <w:tcPr>
            <w:tcW w:w="624" w:type="dxa"/>
          </w:tcPr>
          <w:p w14:paraId="11D307CF" w14:textId="77777777" w:rsidR="00596FEE" w:rsidRPr="00986F5D" w:rsidRDefault="00596FEE" w:rsidP="00986F5D">
            <w:pPr>
              <w:pStyle w:val="TableText"/>
              <w:ind w:right="0"/>
              <w:jc w:val="both"/>
            </w:pPr>
          </w:p>
        </w:tc>
        <w:tc>
          <w:tcPr>
            <w:tcW w:w="7143" w:type="dxa"/>
          </w:tcPr>
          <w:p w14:paraId="67DF51E9" w14:textId="77777777" w:rsidR="00596FEE" w:rsidRPr="00986F5D" w:rsidRDefault="00596FEE" w:rsidP="00986F5D">
            <w:pPr>
              <w:pStyle w:val="TableHead"/>
            </w:pPr>
            <w:r w:rsidRPr="00986F5D">
              <w:rPr>
                <w:rFonts w:hint="cs"/>
                <w:rtl/>
              </w:rPr>
              <w:t>תוספת</w:t>
            </w:r>
          </w:p>
        </w:tc>
      </w:tr>
      <w:tr w:rsidR="00596FEE" w:rsidRPr="00596FEE" w14:paraId="13859A27" w14:textId="77777777" w:rsidTr="00986F5D">
        <w:tblPrEx>
          <w:tblLook w:val="01E0" w:firstRow="1" w:lastRow="1" w:firstColumn="1" w:lastColumn="1" w:noHBand="0" w:noVBand="0"/>
        </w:tblPrEx>
        <w:trPr>
          <w:cantSplit/>
        </w:trPr>
        <w:tc>
          <w:tcPr>
            <w:tcW w:w="1870" w:type="dxa"/>
          </w:tcPr>
          <w:p w14:paraId="706CFFEE" w14:textId="77777777" w:rsidR="00596FEE" w:rsidRPr="00986F5D" w:rsidRDefault="00596FEE" w:rsidP="00986F5D">
            <w:pPr>
              <w:pStyle w:val="TableSideHeading"/>
              <w:ind w:right="0"/>
            </w:pPr>
          </w:p>
        </w:tc>
        <w:tc>
          <w:tcPr>
            <w:tcW w:w="624" w:type="dxa"/>
          </w:tcPr>
          <w:p w14:paraId="20A33C95" w14:textId="77777777" w:rsidR="00596FEE" w:rsidRPr="00986F5D" w:rsidRDefault="00596FEE" w:rsidP="00986F5D">
            <w:pPr>
              <w:pStyle w:val="TableText"/>
              <w:ind w:right="0"/>
              <w:jc w:val="both"/>
            </w:pPr>
          </w:p>
        </w:tc>
        <w:tc>
          <w:tcPr>
            <w:tcW w:w="7143" w:type="dxa"/>
          </w:tcPr>
          <w:p w14:paraId="3157E1FE" w14:textId="1455DDA0" w:rsidR="00596FEE" w:rsidRPr="00986F5D" w:rsidRDefault="00596FEE" w:rsidP="00986F5D">
            <w:pPr>
              <w:pStyle w:val="TableHead"/>
              <w:rPr>
                <w:b w:val="0"/>
                <w:bCs w:val="0"/>
              </w:rPr>
            </w:pPr>
            <w:r w:rsidRPr="00986F5D">
              <w:rPr>
                <w:rFonts w:hint="cs"/>
                <w:b w:val="0"/>
                <w:bCs w:val="0"/>
                <w:rtl/>
              </w:rPr>
              <w:t>(סעיפים 1 ו-6)</w:t>
            </w:r>
          </w:p>
        </w:tc>
      </w:tr>
      <w:tr w:rsidR="00596FEE" w:rsidRPr="00596FEE" w14:paraId="061CDD8B" w14:textId="77777777" w:rsidTr="00986F5D">
        <w:tblPrEx>
          <w:tblLook w:val="01E0" w:firstRow="1" w:lastRow="1" w:firstColumn="1" w:lastColumn="1" w:noHBand="0" w:noVBand="0"/>
        </w:tblPrEx>
        <w:trPr>
          <w:cantSplit/>
        </w:trPr>
        <w:tc>
          <w:tcPr>
            <w:tcW w:w="1870" w:type="dxa"/>
          </w:tcPr>
          <w:p w14:paraId="07778B96" w14:textId="77777777" w:rsidR="00596FEE" w:rsidRPr="00986F5D" w:rsidRDefault="00596FEE" w:rsidP="00986F5D">
            <w:pPr>
              <w:pStyle w:val="TableSideHeading"/>
              <w:ind w:right="0"/>
            </w:pPr>
          </w:p>
        </w:tc>
        <w:tc>
          <w:tcPr>
            <w:tcW w:w="624" w:type="dxa"/>
          </w:tcPr>
          <w:p w14:paraId="10329C90" w14:textId="77777777" w:rsidR="00596FEE" w:rsidRPr="00986F5D" w:rsidRDefault="00596FEE" w:rsidP="00986F5D">
            <w:pPr>
              <w:pStyle w:val="TableText"/>
              <w:ind w:right="0"/>
              <w:jc w:val="both"/>
            </w:pPr>
          </w:p>
        </w:tc>
        <w:tc>
          <w:tcPr>
            <w:tcW w:w="7143" w:type="dxa"/>
          </w:tcPr>
          <w:p w14:paraId="00ACF418" w14:textId="00FAB0BB" w:rsidR="00596FEE" w:rsidRPr="00986F5D" w:rsidRDefault="00596FEE" w:rsidP="00986F5D">
            <w:pPr>
              <w:pStyle w:val="TableHead"/>
            </w:pPr>
            <w:r w:rsidRPr="00986F5D">
              <w:rPr>
                <w:rFonts w:hint="eastAsia"/>
                <w:rtl/>
              </w:rPr>
              <w:t>שטח</w:t>
            </w:r>
            <w:r w:rsidRPr="00986F5D">
              <w:rPr>
                <w:rtl/>
              </w:rPr>
              <w:t xml:space="preserve"> </w:t>
            </w:r>
            <w:r w:rsidRPr="00986F5D">
              <w:rPr>
                <w:rFonts w:hint="eastAsia"/>
                <w:rtl/>
              </w:rPr>
              <w:t>המסוף</w:t>
            </w:r>
            <w:r w:rsidRPr="00986F5D">
              <w:rPr>
                <w:rtl/>
              </w:rPr>
              <w:t xml:space="preserve"> </w:t>
            </w:r>
            <w:r w:rsidRPr="00986F5D">
              <w:rPr>
                <w:rFonts w:hint="eastAsia"/>
                <w:rtl/>
              </w:rPr>
              <w:t>הזמני</w:t>
            </w:r>
          </w:p>
        </w:tc>
      </w:tr>
    </w:tbl>
    <w:p w14:paraId="4342513E" w14:textId="58F8AA6D" w:rsidR="00361EE5" w:rsidRDefault="00532943" w:rsidP="00596FEE">
      <w:pPr>
        <w:spacing w:before="0" w:line="360" w:lineRule="auto"/>
        <w:ind w:right="-28" w:firstLine="0"/>
        <w:jc w:val="center"/>
        <w:rPr>
          <w:rFonts w:cs="David"/>
          <w:noProof/>
          <w:sz w:val="26"/>
          <w:szCs w:val="26"/>
          <w:rtl/>
          <w:lang w:eastAsia="en-US"/>
        </w:rPr>
      </w:pPr>
      <w:r w:rsidRPr="00596FEE">
        <w:rPr>
          <w:rFonts w:cs="David"/>
          <w:noProof/>
          <w:sz w:val="26"/>
          <w:szCs w:val="26"/>
          <w:rtl/>
          <w:lang w:eastAsia="en-US"/>
        </w:rPr>
        <w:drawing>
          <wp:anchor distT="0" distB="0" distL="114300" distR="114300" simplePos="0" relativeHeight="251659264" behindDoc="0" locked="0" layoutInCell="1" allowOverlap="1" wp14:anchorId="2E1A083B" wp14:editId="38144C31">
            <wp:simplePos x="0" y="0"/>
            <wp:positionH relativeFrom="column">
              <wp:posOffset>-481551</wp:posOffset>
            </wp:positionH>
            <wp:positionV relativeFrom="page">
              <wp:posOffset>2075290</wp:posOffset>
            </wp:positionV>
            <wp:extent cx="7004197" cy="4485254"/>
            <wp:effectExtent l="0" t="0" r="6350" b="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06391" cy="4486659"/>
                    </a:xfrm>
                    <a:prstGeom prst="rect">
                      <a:avLst/>
                    </a:prstGeom>
                  </pic:spPr>
                </pic:pic>
              </a:graphicData>
            </a:graphic>
            <wp14:sizeRelH relativeFrom="page">
              <wp14:pctWidth>0</wp14:pctWidth>
            </wp14:sizeRelH>
            <wp14:sizeRelV relativeFrom="page">
              <wp14:pctHeight>0</wp14:pctHeight>
            </wp14:sizeRelV>
          </wp:anchor>
        </w:drawing>
      </w:r>
    </w:p>
    <w:p w14:paraId="6233A032" w14:textId="4B500C67" w:rsidR="00361EE5" w:rsidRDefault="00361EE5" w:rsidP="00596FEE">
      <w:pPr>
        <w:spacing w:before="0" w:line="360" w:lineRule="auto"/>
        <w:ind w:right="-28" w:firstLine="0"/>
        <w:jc w:val="center"/>
        <w:rPr>
          <w:rFonts w:cs="David"/>
          <w:noProof/>
          <w:sz w:val="26"/>
          <w:szCs w:val="26"/>
          <w:rtl/>
          <w:lang w:eastAsia="en-US"/>
        </w:rPr>
      </w:pPr>
    </w:p>
    <w:p w14:paraId="723E335F" w14:textId="142EFC71" w:rsidR="00532943" w:rsidRDefault="00532943" w:rsidP="00596FEE">
      <w:pPr>
        <w:spacing w:before="0" w:line="360" w:lineRule="auto"/>
        <w:ind w:right="-28" w:firstLine="0"/>
        <w:jc w:val="center"/>
        <w:rPr>
          <w:rFonts w:cs="David"/>
          <w:noProof/>
          <w:sz w:val="26"/>
          <w:szCs w:val="26"/>
          <w:rtl/>
          <w:lang w:eastAsia="en-US"/>
        </w:rPr>
      </w:pPr>
    </w:p>
    <w:p w14:paraId="5745AB70" w14:textId="77777777" w:rsidR="00532943" w:rsidRDefault="00532943" w:rsidP="00596FEE">
      <w:pPr>
        <w:spacing w:before="0" w:line="360" w:lineRule="auto"/>
        <w:ind w:right="-28" w:firstLine="0"/>
        <w:jc w:val="center"/>
        <w:rPr>
          <w:rFonts w:cs="David"/>
          <w:noProof/>
          <w:sz w:val="26"/>
          <w:szCs w:val="26"/>
          <w:rtl/>
          <w:lang w:eastAsia="en-US"/>
        </w:rPr>
      </w:pPr>
    </w:p>
    <w:p w14:paraId="719594D9" w14:textId="77777777" w:rsidR="00361EE5" w:rsidRDefault="00361EE5" w:rsidP="00596FEE">
      <w:pPr>
        <w:spacing w:before="0" w:line="360" w:lineRule="auto"/>
        <w:ind w:right="-28" w:firstLine="0"/>
        <w:jc w:val="center"/>
        <w:rPr>
          <w:rFonts w:cs="David"/>
          <w:noProof/>
          <w:sz w:val="26"/>
          <w:szCs w:val="26"/>
          <w:rtl/>
          <w:lang w:eastAsia="en-US"/>
        </w:rPr>
      </w:pPr>
    </w:p>
    <w:p w14:paraId="127C3E3F" w14:textId="77777777" w:rsidR="00361EE5" w:rsidRDefault="00361EE5" w:rsidP="00596FEE">
      <w:pPr>
        <w:spacing w:before="0" w:line="360" w:lineRule="auto"/>
        <w:ind w:right="-28" w:firstLine="0"/>
        <w:jc w:val="center"/>
        <w:rPr>
          <w:rFonts w:cs="David"/>
          <w:noProof/>
          <w:sz w:val="26"/>
          <w:szCs w:val="26"/>
          <w:rtl/>
          <w:lang w:eastAsia="en-US"/>
        </w:rPr>
      </w:pPr>
    </w:p>
    <w:p w14:paraId="436CC2A4" w14:textId="77777777" w:rsidR="00361EE5" w:rsidRDefault="00361EE5" w:rsidP="00596FEE">
      <w:pPr>
        <w:spacing w:before="0" w:line="360" w:lineRule="auto"/>
        <w:ind w:right="-28" w:firstLine="0"/>
        <w:jc w:val="center"/>
        <w:rPr>
          <w:rFonts w:cs="David"/>
          <w:noProof/>
          <w:sz w:val="26"/>
          <w:szCs w:val="26"/>
          <w:rtl/>
          <w:lang w:eastAsia="en-US"/>
        </w:rPr>
      </w:pPr>
    </w:p>
    <w:p w14:paraId="3E73D98E" w14:textId="77777777" w:rsidR="00361EE5" w:rsidRDefault="00361EE5" w:rsidP="00596FEE">
      <w:pPr>
        <w:spacing w:before="0" w:line="360" w:lineRule="auto"/>
        <w:ind w:right="-28" w:firstLine="0"/>
        <w:jc w:val="center"/>
        <w:rPr>
          <w:rFonts w:cs="David"/>
          <w:noProof/>
          <w:sz w:val="26"/>
          <w:szCs w:val="26"/>
          <w:rtl/>
          <w:lang w:eastAsia="en-US"/>
        </w:rPr>
      </w:pPr>
    </w:p>
    <w:p w14:paraId="7D6DFD77" w14:textId="77777777" w:rsidR="00361EE5" w:rsidRDefault="00361EE5" w:rsidP="00596FEE">
      <w:pPr>
        <w:spacing w:before="0" w:line="360" w:lineRule="auto"/>
        <w:ind w:right="-28" w:firstLine="0"/>
        <w:jc w:val="center"/>
        <w:rPr>
          <w:rFonts w:cs="David"/>
          <w:noProof/>
          <w:sz w:val="26"/>
          <w:szCs w:val="26"/>
          <w:rtl/>
          <w:lang w:eastAsia="en-US"/>
        </w:rPr>
      </w:pPr>
    </w:p>
    <w:p w14:paraId="1C6BC00B" w14:textId="414FFD27" w:rsidR="00596FEE" w:rsidRPr="00596FEE" w:rsidRDefault="00596FEE" w:rsidP="00596FEE">
      <w:pPr>
        <w:spacing w:before="0" w:line="360" w:lineRule="auto"/>
        <w:ind w:right="-28" w:firstLine="0"/>
        <w:jc w:val="center"/>
        <w:rPr>
          <w:rFonts w:cs="David"/>
          <w:sz w:val="26"/>
          <w:szCs w:val="26"/>
          <w:rtl/>
        </w:rPr>
      </w:pPr>
    </w:p>
    <w:p w14:paraId="6CB31ADA" w14:textId="5FE4FC90" w:rsidR="00596FEE" w:rsidRPr="00596FEE" w:rsidRDefault="00596FEE" w:rsidP="00596FEE">
      <w:pPr>
        <w:spacing w:before="0" w:line="360" w:lineRule="auto"/>
        <w:ind w:right="-28" w:firstLine="0"/>
        <w:jc w:val="center"/>
        <w:rPr>
          <w:rFonts w:cs="David"/>
          <w:sz w:val="26"/>
          <w:szCs w:val="26"/>
          <w:rtl/>
        </w:rPr>
      </w:pPr>
    </w:p>
    <w:p w14:paraId="11F1CEAE" w14:textId="1074F9B6" w:rsidR="008525E2" w:rsidRPr="00E125CC" w:rsidRDefault="008525E2" w:rsidP="008525E2">
      <w:pPr>
        <w:pStyle w:val="Noparagraphstyle"/>
        <w:rPr>
          <w:sz w:val="26"/>
          <w:rtl/>
        </w:rPr>
      </w:pPr>
    </w:p>
    <w:p w14:paraId="11F1CEAF" w14:textId="22829704" w:rsidR="008525E2" w:rsidRDefault="008525E2" w:rsidP="008525E2">
      <w:pPr>
        <w:pStyle w:val="Noparagraphstyle"/>
        <w:rPr>
          <w:sz w:val="26"/>
          <w:rtl/>
        </w:rPr>
      </w:pPr>
    </w:p>
    <w:p w14:paraId="29CEEA06" w14:textId="39BA74F3" w:rsidR="00361EE5" w:rsidRDefault="00361EE5" w:rsidP="008525E2">
      <w:pPr>
        <w:pStyle w:val="Noparagraphstyle"/>
        <w:rPr>
          <w:sz w:val="26"/>
          <w:rtl/>
        </w:rPr>
      </w:pPr>
    </w:p>
    <w:p w14:paraId="7E89119A" w14:textId="77777777" w:rsidR="00361EE5" w:rsidRDefault="00361EE5" w:rsidP="008525E2">
      <w:pPr>
        <w:pStyle w:val="Noparagraphstyle"/>
        <w:rPr>
          <w:sz w:val="26"/>
          <w:rtl/>
        </w:rPr>
      </w:pPr>
    </w:p>
    <w:p w14:paraId="6B752F16" w14:textId="77777777" w:rsidR="00361EE5" w:rsidRDefault="00361EE5" w:rsidP="008525E2">
      <w:pPr>
        <w:pStyle w:val="Noparagraphstyle"/>
        <w:rPr>
          <w:sz w:val="26"/>
          <w:rtl/>
        </w:rPr>
      </w:pPr>
    </w:p>
    <w:p w14:paraId="099C5FCC" w14:textId="5B38630E" w:rsidR="00361EE5" w:rsidRDefault="00361EE5" w:rsidP="008525E2">
      <w:pPr>
        <w:pStyle w:val="Noparagraphstyle"/>
        <w:rPr>
          <w:sz w:val="26"/>
          <w:rtl/>
        </w:rPr>
      </w:pPr>
    </w:p>
    <w:p w14:paraId="4F13D1E0" w14:textId="77777777" w:rsidR="00361EE5" w:rsidRDefault="00361EE5" w:rsidP="008525E2">
      <w:pPr>
        <w:pStyle w:val="Noparagraphstyle"/>
        <w:rPr>
          <w:sz w:val="26"/>
          <w:rtl/>
        </w:rPr>
      </w:pPr>
    </w:p>
    <w:p w14:paraId="46676421" w14:textId="77777777" w:rsidR="00361EE5" w:rsidRDefault="00361EE5" w:rsidP="008525E2">
      <w:pPr>
        <w:pStyle w:val="Noparagraphstyle"/>
        <w:rPr>
          <w:sz w:val="26"/>
          <w:rtl/>
        </w:rPr>
      </w:pPr>
    </w:p>
    <w:p w14:paraId="07791318" w14:textId="77777777" w:rsidR="00361EE5" w:rsidRDefault="00361EE5" w:rsidP="008525E2">
      <w:pPr>
        <w:pStyle w:val="Noparagraphstyle"/>
        <w:rPr>
          <w:sz w:val="26"/>
          <w:rtl/>
        </w:rPr>
      </w:pPr>
    </w:p>
    <w:p w14:paraId="4ADE2FAC" w14:textId="77777777" w:rsidR="00361EE5" w:rsidRDefault="00361EE5" w:rsidP="008525E2">
      <w:pPr>
        <w:pStyle w:val="Noparagraphstyle"/>
        <w:rPr>
          <w:sz w:val="26"/>
          <w:rtl/>
        </w:rPr>
      </w:pPr>
    </w:p>
    <w:p w14:paraId="48D7BCEA" w14:textId="77777777" w:rsidR="00361EE5" w:rsidRPr="00E125CC" w:rsidRDefault="00361EE5" w:rsidP="008525E2">
      <w:pPr>
        <w:pStyle w:val="Noparagraphstyle"/>
        <w:rPr>
          <w:sz w:val="26"/>
          <w:rtl/>
        </w:rPr>
      </w:pPr>
    </w:p>
    <w:p w14:paraId="11F1CEB0" w14:textId="63160F1F" w:rsidR="00596FEE" w:rsidRDefault="00596FEE">
      <w:pPr>
        <w:widowControl/>
        <w:autoSpaceDE/>
        <w:autoSpaceDN/>
        <w:bidi w:val="0"/>
        <w:adjustRightInd/>
        <w:spacing w:before="0" w:line="240" w:lineRule="auto"/>
        <w:ind w:firstLine="0"/>
        <w:jc w:val="left"/>
        <w:textAlignment w:val="auto"/>
        <w:rPr>
          <w:rFonts w:ascii="Arial" w:eastAsia="Arial Unicode MS" w:hAnsi="Arial" w:cs="David"/>
          <w:snapToGrid w:val="0"/>
          <w:spacing w:val="0"/>
          <w:sz w:val="26"/>
          <w:szCs w:val="26"/>
        </w:rPr>
      </w:pPr>
    </w:p>
    <w:tbl>
      <w:tblPr>
        <w:bidiVisual/>
        <w:tblW w:w="10597" w:type="dxa"/>
        <w:tblLook w:val="00A0" w:firstRow="1" w:lastRow="0" w:firstColumn="1" w:lastColumn="0" w:noHBand="0" w:noVBand="0"/>
      </w:tblPr>
      <w:tblGrid>
        <w:gridCol w:w="2409"/>
        <w:gridCol w:w="2410"/>
        <w:gridCol w:w="2410"/>
        <w:gridCol w:w="3368"/>
      </w:tblGrid>
      <w:tr w:rsidR="00C01992" w:rsidRPr="00D466D4" w14:paraId="11F1CEB9" w14:textId="77777777" w:rsidTr="00FF3E2B">
        <w:tc>
          <w:tcPr>
            <w:tcW w:w="2409" w:type="dxa"/>
            <w:shd w:val="clear" w:color="auto" w:fill="auto"/>
          </w:tcPr>
          <w:p w14:paraId="75DA486F" w14:textId="77777777" w:rsidR="00C01992" w:rsidRDefault="00C01992" w:rsidP="00C01992">
            <w:pPr>
              <w:spacing w:before="0" w:line="360" w:lineRule="auto"/>
              <w:ind w:firstLine="0"/>
              <w:jc w:val="center"/>
              <w:rPr>
                <w:rFonts w:cs="David"/>
                <w:sz w:val="26"/>
                <w:szCs w:val="26"/>
                <w:rtl/>
              </w:rPr>
            </w:pPr>
            <w:r>
              <w:rPr>
                <w:rFonts w:cs="David" w:hint="cs"/>
                <w:sz w:val="26"/>
                <w:szCs w:val="26"/>
                <w:rtl/>
              </w:rPr>
              <w:t>משה כחלון</w:t>
            </w:r>
          </w:p>
          <w:p w14:paraId="11F1CEB3" w14:textId="5219CBCD" w:rsidR="00C01992" w:rsidRPr="00D466D4" w:rsidRDefault="00C01992" w:rsidP="00C01992">
            <w:pPr>
              <w:spacing w:before="0" w:line="360" w:lineRule="auto"/>
              <w:ind w:firstLine="0"/>
              <w:jc w:val="center"/>
              <w:rPr>
                <w:rFonts w:cs="David"/>
                <w:sz w:val="26"/>
                <w:szCs w:val="26"/>
                <w:rtl/>
              </w:rPr>
            </w:pPr>
            <w:r>
              <w:rPr>
                <w:rFonts w:cs="David" w:hint="cs"/>
                <w:sz w:val="26"/>
                <w:szCs w:val="26"/>
                <w:rtl/>
              </w:rPr>
              <w:t>שר האוצר</w:t>
            </w:r>
          </w:p>
        </w:tc>
        <w:tc>
          <w:tcPr>
            <w:tcW w:w="4820" w:type="dxa"/>
            <w:gridSpan w:val="2"/>
            <w:shd w:val="clear" w:color="auto" w:fill="auto"/>
          </w:tcPr>
          <w:p w14:paraId="4614DD3A" w14:textId="1D5EC561" w:rsidR="00C01992" w:rsidRPr="00D466D4" w:rsidRDefault="00C01992" w:rsidP="006F3CC7">
            <w:pPr>
              <w:spacing w:before="0" w:line="360" w:lineRule="auto"/>
              <w:ind w:firstLine="0"/>
              <w:jc w:val="center"/>
              <w:rPr>
                <w:rFonts w:cs="David"/>
                <w:sz w:val="26"/>
                <w:szCs w:val="26"/>
                <w:rtl/>
              </w:rPr>
            </w:pPr>
            <w:bookmarkStart w:id="6" w:name="PrimeMinistryName"/>
            <w:r>
              <w:rPr>
                <w:rFonts w:cs="David" w:hint="cs"/>
                <w:sz w:val="26"/>
                <w:szCs w:val="26"/>
                <w:rtl/>
              </w:rPr>
              <w:t>בנימין נתניהו</w:t>
            </w:r>
            <w:bookmarkEnd w:id="6"/>
          </w:p>
          <w:p w14:paraId="11F1CEB6" w14:textId="2977E020" w:rsidR="00C01992" w:rsidRPr="00D466D4" w:rsidRDefault="00C0199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3368" w:type="dxa"/>
            <w:shd w:val="clear" w:color="auto" w:fill="auto"/>
          </w:tcPr>
          <w:p w14:paraId="11F1CEB7" w14:textId="7C43B2FF" w:rsidR="00C01992" w:rsidRPr="00D466D4" w:rsidRDefault="00C01992" w:rsidP="006F3CC7">
            <w:pPr>
              <w:spacing w:before="0" w:line="360" w:lineRule="auto"/>
              <w:ind w:firstLine="0"/>
              <w:jc w:val="center"/>
              <w:rPr>
                <w:rFonts w:cs="David"/>
                <w:sz w:val="26"/>
                <w:szCs w:val="26"/>
                <w:rtl/>
              </w:rPr>
            </w:pPr>
            <w:r>
              <w:rPr>
                <w:rFonts w:cs="David" w:hint="cs"/>
                <w:sz w:val="26"/>
                <w:szCs w:val="26"/>
                <w:rtl/>
              </w:rPr>
              <w:t>ישראל כץ</w:t>
            </w:r>
          </w:p>
          <w:p w14:paraId="11F1CEB8" w14:textId="0A1F7371" w:rsidR="00C01992" w:rsidRPr="00D466D4" w:rsidRDefault="00C01992" w:rsidP="00877B81">
            <w:pPr>
              <w:spacing w:before="0" w:line="360" w:lineRule="auto"/>
              <w:ind w:firstLine="0"/>
              <w:jc w:val="center"/>
              <w:rPr>
                <w:rFonts w:cs="David"/>
                <w:sz w:val="26"/>
                <w:szCs w:val="26"/>
                <w:rtl/>
              </w:rPr>
            </w:pPr>
            <w:r w:rsidRPr="00D466D4">
              <w:rPr>
                <w:rFonts w:cs="David" w:hint="cs"/>
                <w:sz w:val="26"/>
                <w:szCs w:val="26"/>
                <w:rtl/>
              </w:rPr>
              <w:t>שר ה</w:t>
            </w:r>
            <w:r>
              <w:rPr>
                <w:rFonts w:cs="David" w:hint="cs"/>
                <w:sz w:val="26"/>
                <w:szCs w:val="26"/>
                <w:rtl/>
              </w:rPr>
              <w:t xml:space="preserve">תחבורה </w:t>
            </w:r>
            <w:bookmarkStart w:id="7" w:name="_GoBack"/>
            <w:bookmarkEnd w:id="7"/>
            <w:r>
              <w:rPr>
                <w:rFonts w:cs="David" w:hint="cs"/>
                <w:sz w:val="26"/>
                <w:szCs w:val="26"/>
                <w:rtl/>
              </w:rPr>
              <w:t>והבטיחות בדרכים</w:t>
            </w:r>
          </w:p>
        </w:tc>
      </w:tr>
      <w:tr w:rsidR="008525E2" w:rsidRPr="00D466D4" w14:paraId="11F1CEC0" w14:textId="77777777" w:rsidTr="00FF3E2B">
        <w:tc>
          <w:tcPr>
            <w:tcW w:w="2409" w:type="dxa"/>
            <w:shd w:val="clear" w:color="auto" w:fill="auto"/>
          </w:tcPr>
          <w:p w14:paraId="11F1CEBA" w14:textId="29C2E269"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3368"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C01992" w:rsidRPr="00D466D4" w14:paraId="11F1CEC7" w14:textId="77777777" w:rsidTr="00FF3E2B">
        <w:tc>
          <w:tcPr>
            <w:tcW w:w="4819" w:type="dxa"/>
            <w:gridSpan w:val="2"/>
            <w:shd w:val="clear" w:color="auto" w:fill="auto"/>
          </w:tcPr>
          <w:p w14:paraId="71295441" w14:textId="77777777" w:rsidR="00C01992" w:rsidRPr="00D466D4" w:rsidRDefault="00C0199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3" w14:textId="59922F9B" w:rsidR="00C01992" w:rsidRPr="00D466D4" w:rsidRDefault="00C0199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5778" w:type="dxa"/>
            <w:gridSpan w:val="2"/>
            <w:shd w:val="clear" w:color="auto" w:fill="auto"/>
          </w:tcPr>
          <w:p w14:paraId="0D840966" w14:textId="77777777" w:rsidR="00C01992" w:rsidRPr="00D466D4" w:rsidRDefault="00C01992" w:rsidP="006F3CC7">
            <w:pPr>
              <w:spacing w:before="0" w:line="360" w:lineRule="auto"/>
              <w:ind w:firstLine="0"/>
              <w:jc w:val="center"/>
              <w:rPr>
                <w:rFonts w:cs="David"/>
                <w:sz w:val="26"/>
                <w:szCs w:val="26"/>
                <w:rtl/>
              </w:rPr>
            </w:pPr>
            <w:bookmarkStart w:id="8" w:name="HeadKnessetName"/>
            <w:r>
              <w:rPr>
                <w:rFonts w:cs="David" w:hint="cs"/>
                <w:sz w:val="26"/>
                <w:szCs w:val="26"/>
                <w:rtl/>
              </w:rPr>
              <w:t>יולי יואל אדלשטיין</w:t>
            </w:r>
            <w:bookmarkEnd w:id="8"/>
          </w:p>
          <w:p w14:paraId="11F1CEC6" w14:textId="1D69420F" w:rsidR="00C01992" w:rsidRPr="00D466D4" w:rsidRDefault="00C0199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r>
    </w:tbl>
    <w:p w14:paraId="11F1CEC8" w14:textId="77777777" w:rsidR="008525E2" w:rsidRDefault="008525E2" w:rsidP="008525E2">
      <w:pPr>
        <w:pStyle w:val="Hesber"/>
        <w:rPr>
          <w:rtl/>
        </w:rPr>
      </w:pPr>
    </w:p>
    <w:p w14:paraId="11F1CEC9" w14:textId="77777777" w:rsidR="008525E2" w:rsidRPr="00FD6E55" w:rsidRDefault="008525E2" w:rsidP="008525E2">
      <w:pPr>
        <w:rPr>
          <w:rtl/>
        </w:rPr>
      </w:pPr>
    </w:p>
    <w:sectPr w:rsidR="008525E2" w:rsidRPr="00FD6E55" w:rsidSect="00532943">
      <w:headerReference w:type="even" r:id="rId14"/>
      <w:headerReference w:type="default" r:id="rId15"/>
      <w:footerReference w:type="even" r:id="rId16"/>
      <w:pgSz w:w="11906" w:h="16838"/>
      <w:pgMar w:top="567" w:right="1134" w:bottom="1276"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707F31" w:rsidRDefault="00707F31" w:rsidP="00B416AF">
      <w:pPr>
        <w:pStyle w:val="HeadHatzaotHok"/>
      </w:pPr>
      <w:r>
        <w:separator/>
      </w:r>
    </w:p>
  </w:endnote>
  <w:endnote w:type="continuationSeparator" w:id="0">
    <w:p w14:paraId="11F1CED0" w14:textId="77777777" w:rsidR="00707F31" w:rsidRDefault="00707F31"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11F1CED6"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707F31" w:rsidRDefault="00707F31" w:rsidP="00696C5E">
      <w:pPr>
        <w:pStyle w:val="HeadHatzaotHok"/>
        <w:spacing w:before="0"/>
        <w:jc w:val="left"/>
      </w:pPr>
      <w:r>
        <w:separator/>
      </w:r>
    </w:p>
  </w:footnote>
  <w:footnote w:type="continuationSeparator" w:id="0">
    <w:p w14:paraId="11F1CECE" w14:textId="77777777" w:rsidR="00707F31" w:rsidRPr="00696C5E" w:rsidRDefault="00707F31" w:rsidP="00696C5E">
      <w:pPr>
        <w:pStyle w:val="HeadHatzaotHok"/>
        <w:spacing w:before="0"/>
        <w:jc w:val="left"/>
      </w:pPr>
      <w:r>
        <w:separator/>
      </w:r>
    </w:p>
  </w:footnote>
  <w:footnote w:id="1">
    <w:p w14:paraId="11F1CED7" w14:textId="20F51837" w:rsidR="008525E2" w:rsidRDefault="008525E2" w:rsidP="00453B03">
      <w:pPr>
        <w:pStyle w:val="a9"/>
        <w:rPr>
          <w:rtl/>
        </w:rPr>
      </w:pPr>
      <w:r>
        <w:rPr>
          <w:rStyle w:val="a8"/>
        </w:rPr>
        <w:t>*</w:t>
      </w:r>
      <w:r>
        <w:rPr>
          <w:rFonts w:hint="cs"/>
          <w:rtl/>
        </w:rPr>
        <w:t xml:space="preserve"> התקבל בכנסת ביום </w:t>
      </w:r>
      <w:bookmarkStart w:id="1" w:name="LGSVote3Date"/>
      <w:r>
        <w:rPr>
          <w:rFonts w:hint="cs"/>
          <w:rtl/>
        </w:rPr>
        <w:t xml:space="preserve">כ"ד באדר </w:t>
      </w:r>
      <w:proofErr w:type="spellStart"/>
      <w:r>
        <w:rPr>
          <w:rFonts w:hint="cs"/>
          <w:rtl/>
        </w:rPr>
        <w:t>התשע"ז</w:t>
      </w:r>
      <w:proofErr w:type="spellEnd"/>
      <w:r>
        <w:rPr>
          <w:rFonts w:hint="cs"/>
          <w:rtl/>
        </w:rPr>
        <w:t xml:space="preserve"> (22 במרס 2017)</w:t>
      </w:r>
      <w:bookmarkEnd w:id="1"/>
      <w:r>
        <w:rPr>
          <w:rFonts w:hint="cs"/>
          <w:rtl/>
        </w:rPr>
        <w:t xml:space="preserve">; הצעת החוק ודברי הסבר פורסמו בהצעות חוק </w:t>
      </w:r>
      <w:bookmarkStart w:id="2" w:name="LGSType"/>
      <w:r>
        <w:rPr>
          <w:rFonts w:hint="cs"/>
          <w:rtl/>
        </w:rPr>
        <w:t>הכנסת</w:t>
      </w:r>
      <w:bookmarkEnd w:id="2"/>
      <w:r>
        <w:rPr>
          <w:rFonts w:hint="cs"/>
          <w:rtl/>
        </w:rPr>
        <w:t xml:space="preserve"> </w:t>
      </w:r>
      <w:r>
        <w:rPr>
          <w:rFonts w:hint="eastAsia"/>
          <w:rtl/>
        </w:rPr>
        <w:t>–</w:t>
      </w:r>
      <w:r>
        <w:rPr>
          <w:rFonts w:hint="cs"/>
          <w:rtl/>
        </w:rPr>
        <w:t xml:space="preserve"> </w:t>
      </w:r>
      <w:bookmarkStart w:id="3" w:name="LGSNum"/>
      <w:r>
        <w:rPr>
          <w:rFonts w:hint="cs"/>
          <w:rtl/>
        </w:rPr>
        <w:t>703</w:t>
      </w:r>
      <w:bookmarkEnd w:id="3"/>
      <w:r>
        <w:rPr>
          <w:rFonts w:hint="eastAsia"/>
          <w:rtl/>
        </w:rPr>
        <w:t xml:space="preserve">, מיום </w:t>
      </w:r>
      <w:bookmarkStart w:id="4" w:name="HebDate"/>
      <w:r>
        <w:rPr>
          <w:rFonts w:hint="cs"/>
          <w:rtl/>
        </w:rPr>
        <w:t xml:space="preserve">כ"ב באדר </w:t>
      </w:r>
      <w:proofErr w:type="spellStart"/>
      <w:r>
        <w:rPr>
          <w:rFonts w:hint="cs"/>
          <w:rtl/>
        </w:rPr>
        <w:t>התשע"ז</w:t>
      </w:r>
      <w:bookmarkEnd w:id="4"/>
      <w:proofErr w:type="spellEnd"/>
      <w:r w:rsidRPr="00827E61">
        <w:rPr>
          <w:rFonts w:hint="cs"/>
          <w:rtl/>
        </w:rPr>
        <w:t xml:space="preserve"> (</w:t>
      </w:r>
      <w:bookmarkStart w:id="5" w:name="EngDate"/>
      <w:r>
        <w:rPr>
          <w:rFonts w:hint="cs"/>
          <w:rtl/>
        </w:rPr>
        <w:t>20 במרס 2017</w:t>
      </w:r>
      <w:bookmarkEnd w:id="5"/>
      <w:r w:rsidRPr="00827E61">
        <w:rPr>
          <w:rFonts w:hint="cs"/>
          <w:rtl/>
        </w:rPr>
        <w:t>), עמ'</w:t>
      </w:r>
      <w:r>
        <w:rPr>
          <w:rFonts w:hint="cs"/>
          <w:rtl/>
        </w:rPr>
        <w:t xml:space="preserve"> </w:t>
      </w:r>
      <w:r w:rsidR="00453B03">
        <w:rPr>
          <w:rFonts w:hint="cs"/>
          <w:rtl/>
        </w:rPr>
        <w:t>162</w:t>
      </w:r>
      <w:r>
        <w:rPr>
          <w:rFonts w:hint="cs"/>
          <w:rtl/>
        </w:rPr>
        <w:t>.</w:t>
      </w:r>
    </w:p>
  </w:footnote>
  <w:footnote w:id="2">
    <w:p w14:paraId="0C7465A8" w14:textId="77777777" w:rsidR="00596FEE" w:rsidRDefault="00596FEE" w:rsidP="00596FEE">
      <w:pPr>
        <w:pStyle w:val="a9"/>
        <w:rPr>
          <w:rtl/>
        </w:rPr>
      </w:pPr>
      <w:r>
        <w:rPr>
          <w:rStyle w:val="a8"/>
        </w:rPr>
        <w:footnoteRef/>
      </w:r>
      <w:r>
        <w:rPr>
          <w:rtl/>
        </w:rPr>
        <w:t xml:space="preserve"> </w:t>
      </w:r>
      <w:r>
        <w:rPr>
          <w:rFonts w:hint="eastAsia"/>
          <w:rtl/>
        </w:rPr>
        <w:t>ס</w:t>
      </w:r>
      <w:r>
        <w:rPr>
          <w:rtl/>
        </w:rPr>
        <w:t xml:space="preserve">"ח </w:t>
      </w:r>
      <w:proofErr w:type="spellStart"/>
      <w:r>
        <w:rPr>
          <w:rtl/>
        </w:rPr>
        <w:t>התשל"ז</w:t>
      </w:r>
      <w:proofErr w:type="spellEnd"/>
      <w:r>
        <w:rPr>
          <w:rtl/>
        </w:rPr>
        <w:t>, עמ' 182.</w:t>
      </w:r>
    </w:p>
  </w:footnote>
  <w:footnote w:id="3">
    <w:p w14:paraId="686C9C25" w14:textId="77777777" w:rsidR="00596FEE" w:rsidRDefault="00596FEE" w:rsidP="00596FEE">
      <w:pPr>
        <w:pStyle w:val="a9"/>
        <w:rPr>
          <w:rtl/>
        </w:rPr>
      </w:pPr>
      <w:r>
        <w:rPr>
          <w:rStyle w:val="a8"/>
        </w:rPr>
        <w:footnoteRef/>
      </w:r>
      <w:r>
        <w:rPr>
          <w:rtl/>
        </w:rPr>
        <w:t xml:space="preserve"> </w:t>
      </w:r>
      <w:proofErr w:type="spellStart"/>
      <w:r>
        <w:rPr>
          <w:rFonts w:hint="eastAsia"/>
          <w:rtl/>
        </w:rPr>
        <w:t>ק</w:t>
      </w:r>
      <w:r>
        <w:rPr>
          <w:rtl/>
        </w:rPr>
        <w:t>"ת</w:t>
      </w:r>
      <w:proofErr w:type="spellEnd"/>
      <w:r>
        <w:rPr>
          <w:rtl/>
        </w:rPr>
        <w:t xml:space="preserve"> </w:t>
      </w:r>
      <w:proofErr w:type="spellStart"/>
      <w:r>
        <w:rPr>
          <w:rtl/>
        </w:rPr>
        <w:t>התש"ן</w:t>
      </w:r>
      <w:proofErr w:type="spellEnd"/>
      <w:r>
        <w:rPr>
          <w:rtl/>
        </w:rPr>
        <w:t>, עמ' 89.</w:t>
      </w:r>
    </w:p>
  </w:footnote>
  <w:footnote w:id="4">
    <w:p w14:paraId="29AF2789" w14:textId="77777777" w:rsidR="00596FEE" w:rsidRDefault="00596FEE" w:rsidP="00596FEE">
      <w:pPr>
        <w:pStyle w:val="a9"/>
      </w:pPr>
      <w:r>
        <w:rPr>
          <w:rStyle w:val="a8"/>
        </w:rPr>
        <w:footnoteRef/>
      </w:r>
      <w:r>
        <w:rPr>
          <w:rtl/>
        </w:rPr>
        <w:t xml:space="preserve"> </w:t>
      </w:r>
      <w:proofErr w:type="spellStart"/>
      <w:r>
        <w:rPr>
          <w:rFonts w:hint="cs"/>
          <w:rtl/>
        </w:rPr>
        <w:t>ע"ר</w:t>
      </w:r>
      <w:proofErr w:type="spellEnd"/>
      <w:r>
        <w:rPr>
          <w:rFonts w:hint="cs"/>
          <w:rtl/>
        </w:rPr>
        <w:t xml:space="preserve"> 1943, </w:t>
      </w:r>
      <w:proofErr w:type="spellStart"/>
      <w:r>
        <w:rPr>
          <w:rFonts w:hint="cs"/>
          <w:rtl/>
        </w:rPr>
        <w:t>תוס</w:t>
      </w:r>
      <w:proofErr w:type="spellEnd"/>
      <w:r>
        <w:rPr>
          <w:rFonts w:hint="cs"/>
          <w:rtl/>
        </w:rPr>
        <w:t>' 1, עמ' (ע) 32, (א) 44.</w:t>
      </w:r>
    </w:p>
  </w:footnote>
  <w:footnote w:id="5">
    <w:p w14:paraId="3F8C826B" w14:textId="77777777" w:rsidR="00596FEE" w:rsidRDefault="00596FEE" w:rsidP="00596FEE">
      <w:pPr>
        <w:pStyle w:val="a9"/>
      </w:pPr>
      <w:r>
        <w:rPr>
          <w:rStyle w:val="a8"/>
        </w:rPr>
        <w:footnoteRef/>
      </w:r>
      <w:r>
        <w:rPr>
          <w:rtl/>
        </w:rPr>
        <w:t xml:space="preserve"> </w:t>
      </w:r>
      <w:r>
        <w:rPr>
          <w:rFonts w:hint="cs"/>
          <w:rtl/>
        </w:rPr>
        <w:t xml:space="preserve">ס"ח </w:t>
      </w:r>
      <w:proofErr w:type="spellStart"/>
      <w:r>
        <w:rPr>
          <w:rFonts w:hint="cs"/>
          <w:rtl/>
        </w:rPr>
        <w:t>התשכ"ד</w:t>
      </w:r>
      <w:proofErr w:type="spellEnd"/>
      <w:r>
        <w:rPr>
          <w:rFonts w:hint="cs"/>
          <w:rtl/>
        </w:rPr>
        <w:t>, עמ' 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11F1CED2"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2137F8" w:rsidRPr="00E125CC" w:rsidRDefault="002137F8">
    <w:pPr>
      <w:pStyle w:val="ab"/>
      <w:framePr w:wrap="around" w:vAnchor="text" w:hAnchor="margin" w:xAlign="center" w:y="1"/>
      <w:rPr>
        <w:rStyle w:val="ac"/>
        <w:rFonts w:cs="David"/>
        <w:sz w:val="24"/>
        <w:szCs w:val="24"/>
        <w:rtl/>
      </w:rPr>
    </w:pPr>
    <w:r>
      <w:rPr>
        <w:rStyle w:val="ac"/>
        <w:rFonts w:cs="David" w:hint="cs"/>
        <w:sz w:val="24"/>
        <w:szCs w:val="24"/>
        <w:rtl/>
      </w:rPr>
      <w:t xml:space="preserve">- </w:t>
    </w:r>
    <w:r w:rsidRPr="00E125CC">
      <w:rPr>
        <w:rStyle w:val="ac"/>
        <w:rFonts w:cs="David"/>
        <w:sz w:val="24"/>
        <w:szCs w:val="24"/>
        <w:rtl/>
      </w:rPr>
      <w:fldChar w:fldCharType="begin"/>
    </w:r>
    <w:r w:rsidRPr="00E125CC">
      <w:rPr>
        <w:rStyle w:val="ac"/>
        <w:rFonts w:cs="David"/>
        <w:sz w:val="24"/>
        <w:szCs w:val="24"/>
      </w:rPr>
      <w:instrText xml:space="preserve">PAGE  </w:instrText>
    </w:r>
    <w:r w:rsidRPr="00E125CC">
      <w:rPr>
        <w:rStyle w:val="ac"/>
        <w:rFonts w:cs="David"/>
        <w:sz w:val="24"/>
        <w:szCs w:val="24"/>
        <w:rtl/>
      </w:rPr>
      <w:fldChar w:fldCharType="separate"/>
    </w:r>
    <w:r w:rsidR="00FF3E2B">
      <w:rPr>
        <w:rStyle w:val="ac"/>
        <w:rFonts w:cs="David"/>
        <w:noProof/>
        <w:sz w:val="24"/>
        <w:szCs w:val="24"/>
        <w:rtl/>
      </w:rPr>
      <w:t>3</w:t>
    </w:r>
    <w:r w:rsidRPr="00E125CC">
      <w:rPr>
        <w:rStyle w:val="ac"/>
        <w:rFonts w:cs="David"/>
        <w:sz w:val="24"/>
        <w:szCs w:val="24"/>
        <w:rtl/>
      </w:rPr>
      <w:fldChar w:fldCharType="end"/>
    </w:r>
    <w:r>
      <w:rPr>
        <w:rStyle w:val="ac"/>
        <w:rFonts w:cs="David" w:hint="cs"/>
        <w:sz w:val="24"/>
        <w:szCs w:val="24"/>
        <w:rtl/>
      </w:rPr>
      <w:t xml:space="preserve"> -</w:t>
    </w:r>
  </w:p>
  <w:p w14:paraId="11F1CED4"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E3B18"/>
    <w:rsid w:val="000E4563"/>
    <w:rsid w:val="000E7E08"/>
    <w:rsid w:val="000F6D7C"/>
    <w:rsid w:val="001253F6"/>
    <w:rsid w:val="00135743"/>
    <w:rsid w:val="001C4A6C"/>
    <w:rsid w:val="002000B0"/>
    <w:rsid w:val="00205DFF"/>
    <w:rsid w:val="0020610D"/>
    <w:rsid w:val="00207354"/>
    <w:rsid w:val="0020793A"/>
    <w:rsid w:val="002137F8"/>
    <w:rsid w:val="00220CAF"/>
    <w:rsid w:val="00222DA1"/>
    <w:rsid w:val="0024044E"/>
    <w:rsid w:val="00280B87"/>
    <w:rsid w:val="002C4285"/>
    <w:rsid w:val="002C4FF8"/>
    <w:rsid w:val="002E1F11"/>
    <w:rsid w:val="002E6458"/>
    <w:rsid w:val="00331786"/>
    <w:rsid w:val="0034385F"/>
    <w:rsid w:val="00352E82"/>
    <w:rsid w:val="00361EE5"/>
    <w:rsid w:val="003710E7"/>
    <w:rsid w:val="0037452B"/>
    <w:rsid w:val="00387641"/>
    <w:rsid w:val="003948C0"/>
    <w:rsid w:val="003B4BC6"/>
    <w:rsid w:val="003C03C8"/>
    <w:rsid w:val="003C1215"/>
    <w:rsid w:val="003D27C5"/>
    <w:rsid w:val="003D58F4"/>
    <w:rsid w:val="004239B4"/>
    <w:rsid w:val="004265E2"/>
    <w:rsid w:val="00443D7D"/>
    <w:rsid w:val="00453B03"/>
    <w:rsid w:val="004B1418"/>
    <w:rsid w:val="004B1FDD"/>
    <w:rsid w:val="004C68A2"/>
    <w:rsid w:val="004D7542"/>
    <w:rsid w:val="004E5E15"/>
    <w:rsid w:val="004E77B7"/>
    <w:rsid w:val="0052521E"/>
    <w:rsid w:val="00532943"/>
    <w:rsid w:val="005527D3"/>
    <w:rsid w:val="005652C2"/>
    <w:rsid w:val="00574965"/>
    <w:rsid w:val="0057628C"/>
    <w:rsid w:val="00596FEE"/>
    <w:rsid w:val="005A2EB8"/>
    <w:rsid w:val="005B6107"/>
    <w:rsid w:val="005C5383"/>
    <w:rsid w:val="005D1A36"/>
    <w:rsid w:val="005E425A"/>
    <w:rsid w:val="005F20ED"/>
    <w:rsid w:val="00606368"/>
    <w:rsid w:val="00696C5E"/>
    <w:rsid w:val="006B4B3F"/>
    <w:rsid w:val="006C2108"/>
    <w:rsid w:val="006D0910"/>
    <w:rsid w:val="006F219C"/>
    <w:rsid w:val="006F3CC7"/>
    <w:rsid w:val="00707F31"/>
    <w:rsid w:val="00716C0C"/>
    <w:rsid w:val="00732EFC"/>
    <w:rsid w:val="007428E7"/>
    <w:rsid w:val="00765153"/>
    <w:rsid w:val="00787D9C"/>
    <w:rsid w:val="007C2914"/>
    <w:rsid w:val="007C4213"/>
    <w:rsid w:val="007C563F"/>
    <w:rsid w:val="007E362D"/>
    <w:rsid w:val="00827E61"/>
    <w:rsid w:val="0083056F"/>
    <w:rsid w:val="00847132"/>
    <w:rsid w:val="008525E2"/>
    <w:rsid w:val="00854E28"/>
    <w:rsid w:val="00855A92"/>
    <w:rsid w:val="00861CDE"/>
    <w:rsid w:val="00877B81"/>
    <w:rsid w:val="008836D8"/>
    <w:rsid w:val="00885A35"/>
    <w:rsid w:val="00890350"/>
    <w:rsid w:val="008A5C70"/>
    <w:rsid w:val="008B055C"/>
    <w:rsid w:val="009579F7"/>
    <w:rsid w:val="00986F5D"/>
    <w:rsid w:val="009A5834"/>
    <w:rsid w:val="009B1679"/>
    <w:rsid w:val="009C37CC"/>
    <w:rsid w:val="009C7FC7"/>
    <w:rsid w:val="009E19BF"/>
    <w:rsid w:val="009F0EF8"/>
    <w:rsid w:val="00A03A03"/>
    <w:rsid w:val="00A15945"/>
    <w:rsid w:val="00A54DE5"/>
    <w:rsid w:val="00A9474C"/>
    <w:rsid w:val="00AA5399"/>
    <w:rsid w:val="00AC4CCE"/>
    <w:rsid w:val="00B16515"/>
    <w:rsid w:val="00B33373"/>
    <w:rsid w:val="00B37735"/>
    <w:rsid w:val="00B416AF"/>
    <w:rsid w:val="00B4412A"/>
    <w:rsid w:val="00B6418A"/>
    <w:rsid w:val="00BA09A3"/>
    <w:rsid w:val="00BA2FCA"/>
    <w:rsid w:val="00BD0880"/>
    <w:rsid w:val="00C01992"/>
    <w:rsid w:val="00C0211F"/>
    <w:rsid w:val="00C35CC5"/>
    <w:rsid w:val="00C61EBB"/>
    <w:rsid w:val="00C63E8C"/>
    <w:rsid w:val="00C7276B"/>
    <w:rsid w:val="00C72DFC"/>
    <w:rsid w:val="00CA7AA2"/>
    <w:rsid w:val="00CA7D8A"/>
    <w:rsid w:val="00CA7E27"/>
    <w:rsid w:val="00CC515F"/>
    <w:rsid w:val="00CD1A3B"/>
    <w:rsid w:val="00CD2734"/>
    <w:rsid w:val="00CD5774"/>
    <w:rsid w:val="00CE0AB3"/>
    <w:rsid w:val="00D24673"/>
    <w:rsid w:val="00D4588A"/>
    <w:rsid w:val="00D82284"/>
    <w:rsid w:val="00D92FDC"/>
    <w:rsid w:val="00D9552D"/>
    <w:rsid w:val="00DF5CB6"/>
    <w:rsid w:val="00E2010F"/>
    <w:rsid w:val="00E26850"/>
    <w:rsid w:val="00E36A7E"/>
    <w:rsid w:val="00E449A1"/>
    <w:rsid w:val="00E61062"/>
    <w:rsid w:val="00E84D99"/>
    <w:rsid w:val="00EC7E05"/>
    <w:rsid w:val="00EE492B"/>
    <w:rsid w:val="00F05158"/>
    <w:rsid w:val="00F93ADC"/>
    <w:rsid w:val="00FD1D3D"/>
    <w:rsid w:val="00FD6E55"/>
    <w:rsid w:val="00FF0DFF"/>
    <w:rsid w:val="00FF38BA"/>
    <w:rsid w:val="00FF3E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D9735C7C-F30C-4C37-9538-652EFB7F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F5D"/>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986F5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986F5D"/>
    <w:rPr>
      <w:sz w:val="36"/>
      <w:szCs w:val="52"/>
    </w:rPr>
  </w:style>
  <w:style w:type="paragraph" w:customStyle="1" w:styleId="Cover3-Haknesset">
    <w:name w:val="Cover 3-Haknesset"/>
    <w:basedOn w:val="Cover1-Reshumot"/>
    <w:rsid w:val="00986F5D"/>
    <w:rPr>
      <w:b/>
      <w:bCs/>
      <w:spacing w:val="60"/>
    </w:rPr>
  </w:style>
  <w:style w:type="paragraph" w:customStyle="1" w:styleId="Cover4-Date">
    <w:name w:val="Cover 4-Date"/>
    <w:basedOn w:val="a"/>
    <w:rsid w:val="00986F5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character" w:styleId="a5">
    <w:name w:val="endnote reference"/>
    <w:basedOn w:val="a0"/>
    <w:semiHidden/>
    <w:rsid w:val="00986F5D"/>
    <w:rPr>
      <w:vertAlign w:val="superscript"/>
    </w:rPr>
  </w:style>
  <w:style w:type="paragraph" w:customStyle="1" w:styleId="Ragil">
    <w:name w:val="Ragil"/>
    <w:basedOn w:val="a"/>
    <w:rsid w:val="00986F5D"/>
    <w:pPr>
      <w:snapToGrid w:val="0"/>
      <w:spacing w:before="0" w:line="360" w:lineRule="auto"/>
      <w:jc w:val="left"/>
    </w:pPr>
    <w:rPr>
      <w:rFonts w:ascii="Arial" w:eastAsia="Arial Unicode MS" w:hAnsi="Arial" w:cs="David"/>
      <w:snapToGrid w:val="0"/>
      <w:spacing w:val="0"/>
      <w:sz w:val="20"/>
      <w:szCs w:val="26"/>
    </w:rPr>
  </w:style>
  <w:style w:type="paragraph" w:styleId="a6">
    <w:name w:val="endnote text"/>
    <w:basedOn w:val="a"/>
    <w:semiHidden/>
    <w:rsid w:val="00986F5D"/>
    <w:pPr>
      <w:ind w:left="227" w:hanging="227"/>
    </w:pPr>
    <w:rPr>
      <w:sz w:val="14"/>
      <w:szCs w:val="22"/>
    </w:rPr>
  </w:style>
  <w:style w:type="paragraph" w:styleId="a7">
    <w:name w:val="footer"/>
    <w:basedOn w:val="a"/>
    <w:rsid w:val="00986F5D"/>
    <w:pPr>
      <w:tabs>
        <w:tab w:val="center" w:pos="4153"/>
        <w:tab w:val="right" w:pos="8306"/>
      </w:tabs>
    </w:pPr>
  </w:style>
  <w:style w:type="character" w:styleId="a8">
    <w:name w:val="footnote reference"/>
    <w:aliases w:val="Footnote Reference"/>
    <w:basedOn w:val="a0"/>
    <w:semiHidden/>
    <w:rsid w:val="00986F5D"/>
    <w:rPr>
      <w:vertAlign w:val="superscript"/>
    </w:rPr>
  </w:style>
  <w:style w:type="paragraph" w:styleId="a9">
    <w:name w:val="footnote text"/>
    <w:basedOn w:val="a"/>
    <w:link w:val="aa"/>
    <w:autoRedefine/>
    <w:semiHidden/>
    <w:rsid w:val="00986F5D"/>
    <w:pPr>
      <w:snapToGrid w:val="0"/>
      <w:spacing w:before="0" w:line="240" w:lineRule="auto"/>
      <w:ind w:left="227" w:hanging="227"/>
      <w:jc w:val="left"/>
    </w:pPr>
    <w:rPr>
      <w:rFonts w:ascii="Arial" w:eastAsia="Arial Unicode MS" w:hAnsi="Arial" w:cs="David"/>
      <w:snapToGrid w:val="0"/>
      <w:spacing w:val="0"/>
      <w:sz w:val="14"/>
      <w:szCs w:val="20"/>
    </w:rPr>
  </w:style>
  <w:style w:type="paragraph" w:customStyle="1" w:styleId="HeadDivreiHesber">
    <w:name w:val="Head DivreiHesber"/>
    <w:basedOn w:val="a"/>
    <w:rsid w:val="00986F5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
    <w:name w:val="Head HatzaotHok"/>
    <w:basedOn w:val="a"/>
    <w:link w:val="HeadHatzaotHok0"/>
    <w:rsid w:val="00986F5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986F5D"/>
    <w:pPr>
      <w:spacing w:before="120" w:after="120"/>
    </w:pPr>
    <w:rPr>
      <w:color w:val="FF0000"/>
      <w:w w:val="80"/>
    </w:rPr>
  </w:style>
  <w:style w:type="paragraph" w:customStyle="1" w:styleId="HeadMitparsemetBaze">
    <w:name w:val="Head MitparsemetBaze"/>
    <w:basedOn w:val="a"/>
    <w:rsid w:val="00986F5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b">
    <w:name w:val="header"/>
    <w:basedOn w:val="a"/>
    <w:rsid w:val="00986F5D"/>
    <w:pPr>
      <w:tabs>
        <w:tab w:val="center" w:pos="4153"/>
        <w:tab w:val="right" w:pos="8306"/>
      </w:tabs>
    </w:pPr>
  </w:style>
  <w:style w:type="paragraph" w:customStyle="1" w:styleId="Hesber">
    <w:name w:val="Hesber"/>
    <w:basedOn w:val="a"/>
    <w:rsid w:val="00986F5D"/>
    <w:pPr>
      <w:snapToGrid w:val="0"/>
      <w:spacing w:before="0" w:line="360" w:lineRule="auto"/>
    </w:pPr>
    <w:rPr>
      <w:rFonts w:ascii="Arial" w:eastAsia="Arial Unicode MS" w:hAnsi="Arial" w:cs="David"/>
      <w:snapToGrid w:val="0"/>
      <w:spacing w:val="0"/>
      <w:sz w:val="20"/>
      <w:szCs w:val="26"/>
    </w:rPr>
  </w:style>
  <w:style w:type="paragraph" w:customStyle="1" w:styleId="Hesber1st">
    <w:name w:val="Hesber 1st"/>
    <w:basedOn w:val="Hesber"/>
    <w:rsid w:val="00986F5D"/>
    <w:pPr>
      <w:tabs>
        <w:tab w:val="left" w:pos="680"/>
        <w:tab w:val="left" w:pos="1020"/>
      </w:tabs>
      <w:ind w:firstLine="0"/>
    </w:pPr>
  </w:style>
  <w:style w:type="paragraph" w:customStyle="1" w:styleId="HesberHeading">
    <w:name w:val="Hesber Heading"/>
    <w:basedOn w:val="Hesber"/>
    <w:rsid w:val="00986F5D"/>
    <w:pPr>
      <w:tabs>
        <w:tab w:val="left" w:pos="624"/>
        <w:tab w:val="left" w:pos="1247"/>
      </w:tabs>
      <w:ind w:firstLine="0"/>
    </w:pPr>
    <w:rPr>
      <w:b/>
      <w:bCs/>
    </w:rPr>
  </w:style>
  <w:style w:type="paragraph" w:customStyle="1" w:styleId="HesberWriters">
    <w:name w:val="Hesber Writers"/>
    <w:basedOn w:val="Hesber"/>
    <w:rsid w:val="00986F5D"/>
    <w:pPr>
      <w:spacing w:before="120" w:after="6000"/>
      <w:ind w:left="1418" w:firstLine="0"/>
      <w:jc w:val="right"/>
    </w:pPr>
    <w:rPr>
      <w:b/>
      <w:bCs/>
    </w:rPr>
  </w:style>
  <w:style w:type="character" w:styleId="Hyperlink">
    <w:name w:val="Hyperlink"/>
    <w:rsid w:val="009579F7"/>
    <w:rPr>
      <w:color w:val="0000FF"/>
      <w:u w:val="single"/>
    </w:rPr>
  </w:style>
  <w:style w:type="character" w:styleId="ac">
    <w:name w:val="page number"/>
    <w:basedOn w:val="a0"/>
    <w:rsid w:val="00986F5D"/>
  </w:style>
  <w:style w:type="paragraph" w:customStyle="1" w:styleId="TableText">
    <w:name w:val="Table Text"/>
    <w:basedOn w:val="a"/>
    <w:rsid w:val="00986F5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986F5D"/>
    <w:pPr>
      <w:ind w:right="0"/>
      <w:jc w:val="both"/>
    </w:pPr>
  </w:style>
  <w:style w:type="paragraph" w:customStyle="1" w:styleId="TableBlockOutdent">
    <w:name w:val="Table BlockOutdent"/>
    <w:basedOn w:val="TableBlock"/>
    <w:rsid w:val="00986F5D"/>
    <w:pPr>
      <w:ind w:left="624" w:hanging="624"/>
    </w:pPr>
  </w:style>
  <w:style w:type="table" w:customStyle="1" w:styleId="10">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86F5D"/>
    <w:pPr>
      <w:ind w:right="0"/>
      <w:jc w:val="center"/>
    </w:pPr>
    <w:rPr>
      <w:b/>
      <w:bCs/>
    </w:rPr>
  </w:style>
  <w:style w:type="paragraph" w:customStyle="1" w:styleId="TableSideHeading">
    <w:name w:val="Table SideHeading"/>
    <w:basedOn w:val="TableText"/>
    <w:rsid w:val="00986F5D"/>
  </w:style>
  <w:style w:type="paragraph" w:customStyle="1" w:styleId="TableInnerSideHeading">
    <w:name w:val="Table InnerSideHeading"/>
    <w:basedOn w:val="TableSideHeading"/>
    <w:rsid w:val="00986F5D"/>
  </w:style>
  <w:style w:type="paragraph" w:customStyle="1" w:styleId="TableText2">
    <w:name w:val="Table Text2"/>
    <w:basedOn w:val="TableText"/>
    <w:rsid w:val="009579F7"/>
  </w:style>
  <w:style w:type="paragraph" w:styleId="ad">
    <w:name w:val="Title"/>
    <w:basedOn w:val="a"/>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zCs w:val="26"/>
      <w:lang w:eastAsia="ja-JP"/>
    </w:rPr>
  </w:style>
  <w:style w:type="character" w:customStyle="1" w:styleId="aa">
    <w:name w:val="טקסט הערת שוליים תו"/>
    <w:link w:val="a9"/>
    <w:semiHidden/>
    <w:rsid w:val="008525E2"/>
    <w:rPr>
      <w:rFonts w:ascii="Arial" w:eastAsia="Arial Unicode MS" w:hAnsi="Arial" w:cs="David"/>
      <w:snapToGrid w:val="0"/>
      <w:color w:val="000000"/>
      <w:sz w:val="14"/>
      <w:lang w:eastAsia="ja-JP"/>
    </w:rPr>
  </w:style>
  <w:style w:type="paragraph" w:styleId="ae">
    <w:name w:val="Balloon Text"/>
    <w:basedOn w:val="a"/>
    <w:link w:val="af"/>
    <w:rsid w:val="0024044E"/>
    <w:pPr>
      <w:spacing w:before="0"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3383ab7b66353bced35c20f98365f8a8">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f4ed2c4b512e5fc9d8f795dd98a028c7"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הצ&quot;ח" ma:description="שם הצ&quot;ח"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8D9A2-8247-4050-932E-EC53CFBA3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A261B-0A4E-44CA-B387-00144EB3B940}"/>
</file>

<file path=customXml/itemProps3.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4.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5.xml><?xml version="1.0" encoding="utf-8"?>
<ds:datastoreItem xmlns:ds="http://schemas.openxmlformats.org/officeDocument/2006/customXml" ds:itemID="{9AAD3E59-1685-4866-88AE-10917921A27A}">
  <ds:schemaRefs>
    <ds:schemaRef ds:uri="http://purl.org/dc/dcmitype/"/>
    <ds:schemaRef ds:uri="http://www.w3.org/XML/1998/namespace"/>
    <ds:schemaRef ds:uri="e860c347-3c75-42f3-9b43-fe3c3ef9805f"/>
    <ds:schemaRef ds:uri="http://schemas.microsoft.com/office/2006/metadata/properties"/>
    <ds:schemaRef ds:uri="http://schemas.microsoft.com/office/2006/documentManagement/types"/>
    <ds:schemaRef ds:uri="c8ce1d4b-e1f6-446e-84c0-71ee544e8fe0"/>
    <ds:schemaRef ds:uri="http://purl.org/dc/elements/1.1/"/>
    <ds:schemaRef ds:uri="http://purl.org/dc/terms/"/>
    <ds:schemaRef ds:uri="http://schemas.microsoft.com/office/infopath/2007/PartnerControls"/>
    <ds:schemaRef ds:uri="http://schemas.openxmlformats.org/package/2006/metadata/core-properties"/>
    <ds:schemaRef ds:uri="f380af25-22dd-4a89-bd18-c5bf793c562b"/>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540</Words>
  <Characters>2703</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22</cp:revision>
  <cp:lastPrinted>2017-03-26T11:57:00Z</cp:lastPrinted>
  <dcterms:created xsi:type="dcterms:W3CDTF">2015-06-14T12:44:00Z</dcterms:created>
  <dcterms:modified xsi:type="dcterms:W3CDTF">2017-03-26T11:57:00Z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c5adf28e-1452-4760-8c0b-10955b428b75</vt:lpwstr>
  </property>
  <property fmtid="{D5CDD505-2E9C-101B-9397-08002B2CF9AE}" pid="20" name="SanhedrinItemID">
    <vt:r8>579102</vt:r8>
  </property>
  <property fmtid="{D5CDD505-2E9C-101B-9397-08002B2CF9AE}" pid="21" name="SanhedrinDocumentType">
    <vt:r8>42</vt:r8>
  </property>
</Properties>
</file>