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6AE2B214" w:rsidR="008525E2" w:rsidRDefault="00220CAF" w:rsidP="00654D37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הגנה על זכויות אמנים במוסיקה, התשע"ז</w:t>
      </w:r>
      <w:r w:rsidR="00654D37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2017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0DE40D58" w14:textId="77777777" w:rsidR="00654D37" w:rsidRDefault="00654D37" w:rsidP="00654D37">
      <w:pPr>
        <w:spacing w:before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6"/>
      </w:tblGrid>
      <w:tr w:rsidR="00654D37" w:rsidRPr="008442F8" w14:paraId="307E4CF7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EB40F0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  <w:r w:rsidRPr="008442F8">
              <w:rPr>
                <w:rtl/>
              </w:rPr>
              <w:t>הגדרות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272EC6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  <w:r w:rsidRPr="008442F8">
              <w:rPr>
                <w:rtl/>
              </w:rPr>
              <w:t>1.</w:t>
            </w: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3A37E0" w14:textId="77777777" w:rsidR="00654D37" w:rsidRPr="008442F8" w:rsidRDefault="00654D37" w:rsidP="00654D37">
            <w:pPr>
              <w:pStyle w:val="TableBlock"/>
              <w:spacing w:before="0"/>
              <w:rPr>
                <w:rtl/>
              </w:rPr>
            </w:pPr>
            <w:r w:rsidRPr="008442F8">
              <w:rPr>
                <w:rtl/>
              </w:rPr>
              <w:t>בחוק זה –</w:t>
            </w:r>
          </w:p>
        </w:tc>
      </w:tr>
      <w:tr w:rsidR="00654D37" w:rsidRPr="008442F8" w14:paraId="634A5F3F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5B693B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E103E7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5F9E59" w14:textId="77777777" w:rsidR="00654D37" w:rsidRPr="008442F8" w:rsidRDefault="00654D37" w:rsidP="00654D37">
            <w:pPr>
              <w:pStyle w:val="TableBlockOutdent"/>
              <w:spacing w:before="0"/>
              <w:rPr>
                <w:rtl/>
              </w:rPr>
            </w:pPr>
            <w:r w:rsidRPr="008442F8">
              <w:rPr>
                <w:rtl/>
              </w:rPr>
              <w:t xml:space="preserve">"אמן" – יוצר כמשמעותו בחוק זכות יוצרים או מבצע כהגדרתו בחוק זכויות מבצעים ומשדרים, בתחום המוסיקה; </w:t>
            </w:r>
          </w:p>
        </w:tc>
      </w:tr>
      <w:tr w:rsidR="00654D37" w:rsidRPr="008442F8" w14:paraId="339BF326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34E674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79BF92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B6E5D4" w14:textId="77777777" w:rsidR="00654D37" w:rsidRPr="008442F8" w:rsidRDefault="00654D37" w:rsidP="00654D37">
            <w:pPr>
              <w:pStyle w:val="TableBlockOutdent"/>
              <w:spacing w:before="0"/>
              <w:rPr>
                <w:rtl/>
              </w:rPr>
            </w:pPr>
            <w:r w:rsidRPr="008442F8">
              <w:rPr>
                <w:rtl/>
              </w:rPr>
              <w:t>"התקשרות בלעדית עם אמן" – התקשרות עם אמן שבה נאסר עליו להתקשר עם צד שלישי בנוגע לפעילותו האמנותית;</w:t>
            </w:r>
          </w:p>
        </w:tc>
      </w:tr>
      <w:tr w:rsidR="00654D37" w:rsidRPr="008442F8" w14:paraId="1C8F0832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CBB979" w14:textId="77777777" w:rsidR="00654D37" w:rsidRPr="00E7000A" w:rsidRDefault="00654D37" w:rsidP="00654D37">
            <w:pPr>
              <w:pStyle w:val="TableSideHeading"/>
              <w:spacing w:before="0"/>
              <w:rPr>
                <w:szCs w:val="20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970112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10C62A" w14:textId="77777777" w:rsidR="00654D37" w:rsidRPr="008442F8" w:rsidRDefault="00654D37" w:rsidP="00654D37">
            <w:pPr>
              <w:pStyle w:val="TableBlockOutdent"/>
              <w:spacing w:before="0"/>
              <w:rPr>
                <w:rtl/>
              </w:rPr>
            </w:pPr>
            <w:r w:rsidRPr="008442F8">
              <w:rPr>
                <w:rtl/>
              </w:rPr>
              <w:t xml:space="preserve">"התקשרות עם אמן" </w:t>
            </w:r>
            <w:r w:rsidRPr="00E7000A">
              <w:rPr>
                <w:rtl/>
              </w:rPr>
              <w:t xml:space="preserve">– התקשרות </w:t>
            </w:r>
            <w:r w:rsidRPr="00E7000A">
              <w:rPr>
                <w:rFonts w:hint="cs"/>
                <w:rtl/>
              </w:rPr>
              <w:t>של</w:t>
            </w:r>
            <w:r w:rsidRPr="00E7000A">
              <w:rPr>
                <w:rtl/>
              </w:rPr>
              <w:t xml:space="preserve"> מפיק, מוציא לאור, אמרגן או מנהל אישי,</w:t>
            </w:r>
            <w:r w:rsidRPr="00E7000A">
              <w:rPr>
                <w:rFonts w:hint="cs"/>
                <w:rtl/>
              </w:rPr>
              <w:t xml:space="preserve"> </w:t>
            </w:r>
            <w:r w:rsidRPr="00E7000A">
              <w:rPr>
                <w:rtl/>
              </w:rPr>
              <w:t xml:space="preserve">בחוזה </w:t>
            </w:r>
            <w:r w:rsidRPr="00E7000A">
              <w:rPr>
                <w:rFonts w:hint="cs"/>
                <w:rtl/>
              </w:rPr>
              <w:t>עם</w:t>
            </w:r>
            <w:r w:rsidRPr="00E7000A">
              <w:rPr>
                <w:rtl/>
              </w:rPr>
              <w:t xml:space="preserve"> אמן לשם הפקה, הוצאה לאור, אמרגנות או ניהול אישי;</w:t>
            </w:r>
          </w:p>
        </w:tc>
      </w:tr>
      <w:tr w:rsidR="00654D37" w:rsidRPr="008442F8" w14:paraId="05061CFD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3A3A92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E5D169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9F8D8C" w14:textId="77777777" w:rsidR="00654D37" w:rsidRPr="008442F8" w:rsidRDefault="00654D37" w:rsidP="00654D37">
            <w:pPr>
              <w:pStyle w:val="TableBlockOutdent"/>
              <w:spacing w:before="0"/>
              <w:rPr>
                <w:rtl/>
              </w:rPr>
            </w:pPr>
            <w:r w:rsidRPr="008442F8">
              <w:rPr>
                <w:rtl/>
              </w:rPr>
              <w:t xml:space="preserve">"חוזה היקף" – התקשרות </w:t>
            </w:r>
            <w:r>
              <w:rPr>
                <w:rFonts w:hint="cs"/>
                <w:rtl/>
              </w:rPr>
              <w:t xml:space="preserve">בלעדית </w:t>
            </w:r>
            <w:r w:rsidRPr="008442F8">
              <w:rPr>
                <w:rtl/>
              </w:rPr>
              <w:t>עם אמן הכוללת את מלוא ההיבטים של פעילותו האמנותית, ובכלל זה הפקה, הוצאה לאור, אמרגנות וניהול אישי, לפי העניין;</w:t>
            </w:r>
          </w:p>
        </w:tc>
      </w:tr>
      <w:tr w:rsidR="00654D37" w:rsidRPr="008442F8" w14:paraId="4D207250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92C364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5EB6FB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9EAB59" w14:textId="77777777" w:rsidR="00654D37" w:rsidRPr="008442F8" w:rsidRDefault="00654D37" w:rsidP="00654D37">
            <w:pPr>
              <w:pStyle w:val="TableBlockOutdent"/>
              <w:spacing w:before="0"/>
              <w:rPr>
                <w:rtl/>
              </w:rPr>
            </w:pPr>
            <w:r w:rsidRPr="008442F8">
              <w:rPr>
                <w:rtl/>
              </w:rPr>
              <w:t>״חוק זכויות מבצעים ומשדרים״ – חוק זכויות מבצעים ומשדרים, התשמ״ד–1984‏</w:t>
            </w:r>
            <w:r w:rsidRPr="008442F8">
              <w:rPr>
                <w:rStyle w:val="a8"/>
                <w:rtl/>
              </w:rPr>
              <w:footnoteReference w:id="2"/>
            </w:r>
            <w:r w:rsidRPr="008442F8">
              <w:rPr>
                <w:rtl/>
              </w:rPr>
              <w:t>;</w:t>
            </w:r>
          </w:p>
        </w:tc>
      </w:tr>
      <w:tr w:rsidR="00654D37" w:rsidRPr="008442F8" w14:paraId="57BFF56B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CE4000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7A3125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BC16B4" w14:textId="77777777" w:rsidR="00654D37" w:rsidRPr="008442F8" w:rsidRDefault="00654D37" w:rsidP="00654D37">
            <w:pPr>
              <w:pStyle w:val="TableBlockOutdent"/>
              <w:spacing w:before="0"/>
              <w:rPr>
                <w:rtl/>
              </w:rPr>
            </w:pPr>
            <w:r w:rsidRPr="008442F8">
              <w:rPr>
                <w:rtl/>
              </w:rPr>
              <w:t>"חוק זכות יוצרים" – חוק זכות יוצרים, התשס"ח–2007‏</w:t>
            </w:r>
            <w:r w:rsidRPr="008442F8">
              <w:rPr>
                <w:rStyle w:val="a8"/>
                <w:rtl/>
              </w:rPr>
              <w:footnoteReference w:id="3"/>
            </w:r>
            <w:r w:rsidRPr="008442F8">
              <w:rPr>
                <w:rtl/>
              </w:rPr>
              <w:t>.</w:t>
            </w:r>
          </w:p>
        </w:tc>
      </w:tr>
      <w:tr w:rsidR="00654D37" w:rsidRPr="008442F8" w14:paraId="4611943D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36F7CA" w14:textId="77777777" w:rsidR="00654D37" w:rsidRPr="008442F8" w:rsidRDefault="00654D37" w:rsidP="00BD5F35">
            <w:pPr>
              <w:pStyle w:val="TableSideHeading"/>
              <w:spacing w:before="0"/>
              <w:jc w:val="left"/>
              <w:rPr>
                <w:rtl/>
              </w:rPr>
            </w:pPr>
            <w:r w:rsidRPr="008442F8">
              <w:rPr>
                <w:rtl/>
              </w:rPr>
              <w:t>הגבלת התקופה של התקשרות בלעדית עם אמן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CCEC22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  <w:r w:rsidRPr="008442F8">
              <w:rPr>
                <w:rtl/>
              </w:rPr>
              <w:t>2.</w:t>
            </w: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8B8F9F" w14:textId="77777777" w:rsidR="00654D37" w:rsidRPr="008442F8" w:rsidRDefault="00654D37" w:rsidP="00654D37">
            <w:pPr>
              <w:pStyle w:val="TableBlock"/>
              <w:spacing w:before="0"/>
              <w:rPr>
                <w:rtl/>
              </w:rPr>
            </w:pPr>
            <w:r w:rsidRPr="008442F8">
              <w:rPr>
                <w:rtl/>
              </w:rPr>
              <w:t>(א)</w:t>
            </w:r>
            <w:r w:rsidRPr="008442F8">
              <w:rPr>
                <w:rtl/>
              </w:rPr>
              <w:tab/>
              <w:t xml:space="preserve">לא תיערך התקשרות בלעדית עם אמן, לרבות בחוזה היקף, לתקופה שאינה סבירה לפי העניין. </w:t>
            </w:r>
          </w:p>
        </w:tc>
      </w:tr>
      <w:tr w:rsidR="00654D37" w:rsidRPr="00E7000A" w14:paraId="76EB9289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70BAF5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EC117D5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BBFD26" w14:textId="12092C11" w:rsidR="00654D37" w:rsidRPr="00E7000A" w:rsidRDefault="00654D37" w:rsidP="00906A12">
            <w:pPr>
              <w:pStyle w:val="TableBlock"/>
              <w:spacing w:before="0"/>
              <w:rPr>
                <w:rtl/>
              </w:rPr>
            </w:pPr>
            <w:r w:rsidRPr="00E7000A">
              <w:rPr>
                <w:rFonts w:hint="cs"/>
                <w:rtl/>
              </w:rPr>
              <w:t>(ב)</w:t>
            </w:r>
            <w:r w:rsidRPr="00E7000A">
              <w:rPr>
                <w:rtl/>
              </w:rPr>
              <w:tab/>
            </w:r>
            <w:r w:rsidRPr="00E7000A">
              <w:rPr>
                <w:rFonts w:hint="cs"/>
                <w:rtl/>
              </w:rPr>
              <w:t xml:space="preserve">חזקה כי תקופת התקשרות בלעדית עם אמן אינה סבירה אם </w:t>
            </w:r>
            <w:bookmarkStart w:id="5" w:name="_GoBack"/>
            <w:bookmarkEnd w:id="5"/>
            <w:r w:rsidRPr="00E7000A">
              <w:rPr>
                <w:rFonts w:hint="cs"/>
                <w:rtl/>
              </w:rPr>
              <w:t xml:space="preserve">היא עולה על שבע שנים מיום תחילתה, ולעניין תקופת התקשרות כאמור בחוזה היקף </w:t>
            </w:r>
            <w:r w:rsidRPr="00E7000A">
              <w:rPr>
                <w:rFonts w:hint="eastAsia"/>
                <w:rtl/>
              </w:rPr>
              <w:t>–</w:t>
            </w:r>
            <w:r w:rsidRPr="00E7000A">
              <w:rPr>
                <w:rFonts w:hint="cs"/>
                <w:rtl/>
              </w:rPr>
              <w:t xml:space="preserve"> אם היא עולה על חמש שנים מיום תחילתה, והכול אלא אם כן הוכח אחרת; לעניין זה, "תקופת התקשרות" </w:t>
            </w:r>
            <w:r w:rsidRPr="00E7000A">
              <w:rPr>
                <w:rtl/>
              </w:rPr>
              <w:t>–</w:t>
            </w:r>
            <w:r w:rsidRPr="00E7000A">
              <w:rPr>
                <w:rFonts w:hint="cs"/>
                <w:rtl/>
              </w:rPr>
              <w:t xml:space="preserve"> לרבות הארכה </w:t>
            </w:r>
            <w:r w:rsidRPr="00E7000A">
              <w:rPr>
                <w:rFonts w:hint="eastAsia"/>
                <w:rtl/>
              </w:rPr>
              <w:t>לתקופה</w:t>
            </w:r>
            <w:r w:rsidRPr="00E7000A">
              <w:rPr>
                <w:rtl/>
              </w:rPr>
              <w:t xml:space="preserve"> </w:t>
            </w:r>
            <w:r w:rsidRPr="00E7000A">
              <w:rPr>
                <w:rFonts w:hint="eastAsia"/>
                <w:rtl/>
              </w:rPr>
              <w:t>נוספת</w:t>
            </w:r>
            <w:r w:rsidRPr="00E7000A">
              <w:rPr>
                <w:rFonts w:hint="cs"/>
                <w:rtl/>
              </w:rPr>
              <w:t xml:space="preserve"> שהוסכם עליה </w:t>
            </w:r>
            <w:r w:rsidRPr="00E7000A">
              <w:rPr>
                <w:rFonts w:hint="eastAsia"/>
                <w:rtl/>
              </w:rPr>
              <w:t>באותה</w:t>
            </w:r>
            <w:r w:rsidRPr="00E7000A">
              <w:rPr>
                <w:rtl/>
              </w:rPr>
              <w:t xml:space="preserve"> </w:t>
            </w:r>
            <w:r w:rsidRPr="00E7000A">
              <w:rPr>
                <w:rFonts w:hint="eastAsia"/>
                <w:rtl/>
              </w:rPr>
              <w:t>התקשרות</w:t>
            </w:r>
            <w:r w:rsidRPr="00E7000A">
              <w:rPr>
                <w:rtl/>
              </w:rPr>
              <w:t>.</w:t>
            </w:r>
          </w:p>
        </w:tc>
      </w:tr>
      <w:tr w:rsidR="00654D37" w:rsidRPr="00E7000A" w14:paraId="1B2BA2EF" w14:textId="77777777" w:rsidTr="00654D37">
        <w:trPr>
          <w:cantSplit/>
        </w:trPr>
        <w:tc>
          <w:tcPr>
            <w:tcW w:w="1871" w:type="dxa"/>
            <w:shd w:val="clear" w:color="auto" w:fill="auto"/>
          </w:tcPr>
          <w:p w14:paraId="46619C29" w14:textId="77777777" w:rsidR="00654D37" w:rsidRPr="00585913" w:rsidRDefault="00654D37" w:rsidP="00654D37">
            <w:pPr>
              <w:pStyle w:val="TableSideHeading"/>
              <w:spacing w:before="0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B0BD9E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671F60" w14:textId="77777777" w:rsidR="00654D37" w:rsidRPr="00E7000A" w:rsidRDefault="00654D37" w:rsidP="00654D37">
            <w:pPr>
              <w:pStyle w:val="TableBlock"/>
              <w:spacing w:before="0"/>
              <w:rPr>
                <w:rtl/>
              </w:rPr>
            </w:pPr>
            <w:r w:rsidRPr="00E7000A">
              <w:rPr>
                <w:rtl/>
              </w:rPr>
              <w:t>(</w:t>
            </w:r>
            <w:r w:rsidRPr="00E7000A">
              <w:rPr>
                <w:rFonts w:hint="cs"/>
                <w:rtl/>
              </w:rPr>
              <w:t>ג</w:t>
            </w:r>
            <w:r w:rsidRPr="00E7000A">
              <w:rPr>
                <w:rtl/>
              </w:rPr>
              <w:t>)</w:t>
            </w:r>
            <w:r w:rsidRPr="00E7000A">
              <w:rPr>
                <w:rtl/>
              </w:rPr>
              <w:tab/>
              <w:t>הוראות סעיף זה לא יחולו על בעלות או זכות אחרת בזכות היוצרים או בזכויות המבצעים של האמן.</w:t>
            </w:r>
          </w:p>
        </w:tc>
      </w:tr>
      <w:tr w:rsidR="00654D37" w:rsidRPr="00E7000A" w14:paraId="7831EBBA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166471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18370B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  <w:r w:rsidRPr="008442F8">
              <w:rPr>
                <w:rtl/>
              </w:rPr>
              <w:t xml:space="preserve"> </w:t>
            </w: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045B5E" w14:textId="77777777" w:rsidR="00654D37" w:rsidRPr="00E7000A" w:rsidRDefault="00654D37" w:rsidP="00654D37">
            <w:pPr>
              <w:pStyle w:val="TableBlock"/>
              <w:spacing w:before="0"/>
              <w:rPr>
                <w:rtl/>
              </w:rPr>
            </w:pPr>
            <w:r w:rsidRPr="00E7000A">
              <w:rPr>
                <w:rtl/>
              </w:rPr>
              <w:t>(</w:t>
            </w:r>
            <w:r w:rsidRPr="00E7000A">
              <w:rPr>
                <w:rFonts w:hint="cs"/>
                <w:rtl/>
              </w:rPr>
              <w:t>ד</w:t>
            </w:r>
            <w:r w:rsidRPr="00E7000A">
              <w:rPr>
                <w:rtl/>
              </w:rPr>
              <w:t>)</w:t>
            </w:r>
            <w:r w:rsidRPr="00E7000A">
              <w:rPr>
                <w:rtl/>
              </w:rPr>
              <w:tab/>
              <w:t xml:space="preserve">אין בהוראות סעיף זה כדי למנוע מצדדים להתקשרות מלהתקשר בחוזה חדש ביניהם בתום תקופת ההתקשרות, והכול בכפוף להוראות חוק זה. </w:t>
            </w:r>
          </w:p>
        </w:tc>
      </w:tr>
      <w:tr w:rsidR="00654D37" w:rsidRPr="00E7000A" w14:paraId="3BAB7A4F" w14:textId="77777777" w:rsidTr="00654D37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E2D42D2" w14:textId="77777777" w:rsidR="00654D37" w:rsidRPr="008442F8" w:rsidRDefault="00654D37" w:rsidP="00654D37">
            <w:pPr>
              <w:pStyle w:val="TableSideHeading"/>
              <w:spacing w:before="0"/>
              <w:rPr>
                <w:rtl/>
              </w:rPr>
            </w:pPr>
            <w:r w:rsidRPr="008442F8">
              <w:rPr>
                <w:rtl/>
              </w:rPr>
              <w:t>חיוב אמון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693CB2" w14:textId="77777777" w:rsidR="00654D37" w:rsidRPr="008442F8" w:rsidRDefault="00654D37" w:rsidP="00654D37">
            <w:pPr>
              <w:pStyle w:val="TableText"/>
              <w:spacing w:before="0"/>
              <w:rPr>
                <w:rtl/>
              </w:rPr>
            </w:pPr>
            <w:r w:rsidRPr="008442F8">
              <w:rPr>
                <w:rtl/>
              </w:rPr>
              <w:t>3.</w:t>
            </w:r>
          </w:p>
        </w:tc>
        <w:tc>
          <w:tcPr>
            <w:tcW w:w="714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4A3A4C" w14:textId="77777777" w:rsidR="00654D37" w:rsidRPr="00E7000A" w:rsidRDefault="00654D37" w:rsidP="00654D37">
            <w:pPr>
              <w:pStyle w:val="TableBlock"/>
              <w:spacing w:before="0"/>
              <w:rPr>
                <w:rtl/>
              </w:rPr>
            </w:pPr>
            <w:r w:rsidRPr="00E7000A">
              <w:rPr>
                <w:rtl/>
              </w:rPr>
              <w:t xml:space="preserve">בהתקשרות עם אמן </w:t>
            </w:r>
            <w:r w:rsidRPr="00E7000A">
              <w:rPr>
                <w:rFonts w:hint="eastAsia"/>
                <w:rtl/>
              </w:rPr>
              <w:t>יפעל</w:t>
            </w:r>
            <w:r w:rsidRPr="00E7000A">
              <w:rPr>
                <w:rtl/>
              </w:rPr>
              <w:t xml:space="preserve"> </w:t>
            </w:r>
            <w:r w:rsidRPr="00E7000A">
              <w:rPr>
                <w:rFonts w:hint="eastAsia"/>
                <w:rtl/>
              </w:rPr>
              <w:t>המתקשר</w:t>
            </w:r>
            <w:r w:rsidRPr="00E7000A">
              <w:rPr>
                <w:rtl/>
              </w:rPr>
              <w:t xml:space="preserve"> </w:t>
            </w:r>
            <w:r w:rsidRPr="00E7000A">
              <w:rPr>
                <w:rFonts w:hint="eastAsia"/>
                <w:rtl/>
              </w:rPr>
              <w:t>לטובת</w:t>
            </w:r>
            <w:r w:rsidRPr="00E7000A">
              <w:rPr>
                <w:rFonts w:hint="cs"/>
                <w:rtl/>
              </w:rPr>
              <w:t xml:space="preserve"> האמן באמונה, בשקידה, במיומנות, במסירות ובלא התרשלות, ינהג בתום לב לטובת עניינו של האמן, ולא יעדיף את ענייניו האישיים או את עניינו של אחר על פני טובת האמן</w:t>
            </w:r>
            <w:r w:rsidRPr="00E7000A">
              <w:rPr>
                <w:rtl/>
              </w:rPr>
              <w:t>.</w:t>
            </w:r>
            <w:r w:rsidRPr="00E7000A">
              <w:rPr>
                <w:rFonts w:hint="cs"/>
                <w:rtl/>
              </w:rPr>
              <w:t xml:space="preserve"> 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6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61B21057" w:rsidR="008525E2" w:rsidRPr="00D466D4" w:rsidRDefault="00BD5F35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מירי רגב</w:t>
            </w:r>
          </w:p>
          <w:p w14:paraId="11F1CEB8" w14:textId="1F052AC4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</w:t>
            </w:r>
            <w:r w:rsidR="00BD5F35">
              <w:rPr>
                <w:rFonts w:cs="David" w:hint="cs"/>
                <w:sz w:val="26"/>
                <w:szCs w:val="26"/>
                <w:rtl/>
              </w:rPr>
              <w:t>ת התרבות והספורט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7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spacing w:before="0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id="1">
    <w:p w14:paraId="11F1CED7" w14:textId="340F797A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י"ז בשבט התשע"ז (13 בפברואר 2017)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594</w:t>
      </w:r>
      <w:bookmarkEnd w:id="3"/>
      <w:r>
        <w:rPr>
          <w:rFonts w:hint="eastAsia"/>
          <w:rtl/>
        </w:rPr>
        <w:t xml:space="preserve">, מיום </w:t>
      </w:r>
      <w:r w:rsidR="00BD5F35">
        <w:rPr>
          <w:rFonts w:hint="cs"/>
          <w:rtl/>
        </w:rPr>
        <w:t>י"ז בכסלו התשע"ה</w:t>
      </w:r>
      <w:r w:rsidRPr="00827E61">
        <w:rPr>
          <w:rFonts w:hint="cs"/>
          <w:rtl/>
        </w:rPr>
        <w:t xml:space="preserve"> (</w:t>
      </w:r>
      <w:bookmarkStart w:id="4" w:name="EngDate"/>
      <w:r w:rsidR="00BD5F35">
        <w:rPr>
          <w:rFonts w:hint="cs"/>
          <w:rtl/>
        </w:rPr>
        <w:t>9 בדצמבר 2014</w:t>
      </w:r>
      <w:bookmarkEnd w:id="4"/>
      <w:r w:rsidRPr="00827E61">
        <w:rPr>
          <w:rFonts w:hint="cs"/>
          <w:rtl/>
        </w:rPr>
        <w:t>), עמ'</w:t>
      </w:r>
      <w:r w:rsidR="00BD5F35">
        <w:rPr>
          <w:rFonts w:hint="cs"/>
          <w:rtl/>
        </w:rPr>
        <w:t xml:space="preserve"> 111.</w:t>
      </w:r>
    </w:p>
  </w:footnote>
  <w:footnote w:id="2">
    <w:p w14:paraId="3C7FF68D" w14:textId="77777777" w:rsidR="00654D37" w:rsidRDefault="00654D37" w:rsidP="00654D37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"ח התשמ"ד, עמ' 157.</w:t>
      </w:r>
    </w:p>
  </w:footnote>
  <w:footnote w:id="3">
    <w:p w14:paraId="14224E80" w14:textId="77777777" w:rsidR="00654D37" w:rsidRDefault="00654D37" w:rsidP="00654D37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"ח התשס"ח, עמ' 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906A12"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54D37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06A12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BD5F35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F0F3DBC7-A770-44DB-B0D7-2217198E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A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snapToGrid w:val="0"/>
      <w:spacing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semiHidden/>
    <w:rsid w:val="00FD1D3D"/>
    <w:pPr>
      <w:spacing w:before="0"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link w:val="HeadHatzaotHok0"/>
    <w:rsid w:val="009579F7"/>
    <w:pPr>
      <w:keepNext/>
      <w:keepLines/>
      <w:snapToGrid w:val="0"/>
      <w:spacing w:before="240" w:line="360" w:lineRule="auto"/>
      <w:jc w:val="center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snapToGrid w:val="0"/>
      <w:spacing w:before="480" w:line="360" w:lineRule="auto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b">
    <w:name w:val="header"/>
    <w:basedOn w:val="a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rsid w:val="009579F7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pacing w:val="1"/>
      <w:szCs w:val="26"/>
      <w:lang w:val="en-US" w:eastAsia="ja-JP" w:bidi="he-IL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pacing w:val="1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f380af25-22dd-4a89-bd18-c5bf793c562b"/>
    <ds:schemaRef ds:uri="http://purl.org/dc/elements/1.1/"/>
    <ds:schemaRef ds:uri="c8ce1d4b-e1f6-446e-84c0-71ee544e8fe0"/>
    <ds:schemaRef ds:uri="http://schemas.microsoft.com/office/infopath/2007/PartnerControls"/>
    <ds:schemaRef ds:uri="e860c347-3c75-42f3-9b43-fe3c3ef9805f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55683-4DF3-414B-BFA7-4534E1BD91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7F4D60-8B9D-4B18-AEAE-20C250A7F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אילת וולברג</cp:lastModifiedBy>
  <cp:revision>4</cp:revision>
  <cp:lastPrinted>2017-02-14T15:03:00Z</cp:lastPrinted>
  <dcterms:created xsi:type="dcterms:W3CDTF">2015-06-14T12:44:00Z</dcterms:created>
  <dcterms:modified xsi:type="dcterms:W3CDTF">2017-02-20T08:55:00Z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e160a630-185a-4b0d-bf40-1879a0cccee5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548850</vt:r8>
  </property>
  <property fmtid="{D5CDD505-2E9C-101B-9397-08002B2CF9AE}" pid="22" name="SanhedrinDocumentType">
    <vt:r8>42</vt:r8>
  </property>
</Properties>
</file>