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394D452E" w:rsidR="008525E2" w:rsidRDefault="00220CAF" w:rsidP="002942BC">
      <w:pPr>
        <w:spacing w:before="0"/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הביטוח הלאומי (תיקון מס' 175), </w:t>
      </w:r>
      <w:proofErr w:type="spellStart"/>
      <w:r>
        <w:rPr>
          <w:rStyle w:val="HeadHatzaotHok0"/>
          <w:rFonts w:hint="cs"/>
          <w:rtl/>
        </w:rPr>
        <w:t>התשע"ו</w:t>
      </w:r>
      <w:proofErr w:type="spellEnd"/>
      <w:r w:rsidR="002942BC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2016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36EECC98" w14:textId="77777777" w:rsidR="002942BC" w:rsidRDefault="002942BC" w:rsidP="002942BC">
      <w:pPr>
        <w:spacing w:before="0"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2942BC" w:rsidRPr="00B530C4" w14:paraId="5E75A2E3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24302A8" w14:textId="77777777" w:rsidR="002942BC" w:rsidRPr="00B530C4" w:rsidRDefault="002942BC" w:rsidP="002942BC">
            <w:pPr>
              <w:pStyle w:val="TableSideHeading"/>
              <w:spacing w:before="0"/>
              <w:jc w:val="left"/>
              <w:rPr>
                <w:sz w:val="26"/>
                <w:rtl/>
              </w:rPr>
            </w:pPr>
            <w:r w:rsidRPr="00B530C4">
              <w:rPr>
                <w:rFonts w:hint="eastAsia"/>
                <w:sz w:val="26"/>
                <w:rtl/>
              </w:rPr>
              <w:t>תיקון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סעיף</w:t>
            </w:r>
            <w:r w:rsidRPr="00B530C4">
              <w:rPr>
                <w:sz w:val="26"/>
                <w:rtl/>
              </w:rPr>
              <w:t xml:space="preserve"> 229</w:t>
            </w:r>
            <w:r w:rsidRPr="00B530C4">
              <w:rPr>
                <w:sz w:val="26"/>
                <w:rtl/>
              </w:rPr>
              <w:br/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C9C3DF" w14:textId="77777777" w:rsidR="002942BC" w:rsidRPr="00B530C4" w:rsidRDefault="002942BC" w:rsidP="002942BC">
            <w:pPr>
              <w:pStyle w:val="TableText"/>
              <w:spacing w:before="0"/>
              <w:rPr>
                <w:sz w:val="26"/>
                <w:rtl/>
              </w:rPr>
            </w:pPr>
            <w:r w:rsidRPr="00B530C4"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6C0E84" w14:textId="77777777" w:rsidR="002942BC" w:rsidRPr="00B530C4" w:rsidRDefault="002942BC" w:rsidP="002942BC">
            <w:pPr>
              <w:pStyle w:val="TableBlock"/>
              <w:spacing w:before="0"/>
              <w:rPr>
                <w:sz w:val="26"/>
                <w:rtl/>
              </w:rPr>
            </w:pPr>
            <w:r w:rsidRPr="00B530C4">
              <w:rPr>
                <w:rFonts w:hint="eastAsia"/>
                <w:sz w:val="26"/>
                <w:rtl/>
              </w:rPr>
              <w:t>בחוק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הביטוח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הלאומי</w:t>
            </w:r>
            <w:r w:rsidRPr="00B530C4">
              <w:rPr>
                <w:sz w:val="26"/>
                <w:rtl/>
              </w:rPr>
              <w:t xml:space="preserve"> [</w:t>
            </w:r>
            <w:r w:rsidRPr="00B530C4">
              <w:rPr>
                <w:rFonts w:hint="eastAsia"/>
                <w:sz w:val="26"/>
                <w:rtl/>
              </w:rPr>
              <w:t>נוסח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משולב</w:t>
            </w:r>
            <w:r w:rsidRPr="00B530C4">
              <w:rPr>
                <w:sz w:val="26"/>
                <w:rtl/>
              </w:rPr>
              <w:t xml:space="preserve">], </w:t>
            </w:r>
            <w:proofErr w:type="spellStart"/>
            <w:r w:rsidRPr="00B530C4">
              <w:rPr>
                <w:rFonts w:hint="eastAsia"/>
                <w:sz w:val="26"/>
                <w:rtl/>
              </w:rPr>
              <w:t>התשנ</w:t>
            </w:r>
            <w:r w:rsidRPr="00B530C4">
              <w:rPr>
                <w:sz w:val="26"/>
                <w:rtl/>
              </w:rPr>
              <w:t>"</w:t>
            </w:r>
            <w:r w:rsidRPr="00B530C4">
              <w:rPr>
                <w:rFonts w:hint="eastAsia"/>
                <w:sz w:val="26"/>
                <w:rtl/>
              </w:rPr>
              <w:t>ה</w:t>
            </w:r>
            <w:proofErr w:type="spellEnd"/>
            <w:r w:rsidRPr="00B530C4">
              <w:rPr>
                <w:rFonts w:hint="cs"/>
                <w:sz w:val="26"/>
                <w:rtl/>
              </w:rPr>
              <w:t>–</w:t>
            </w:r>
            <w:r w:rsidRPr="00B530C4">
              <w:rPr>
                <w:sz w:val="26"/>
                <w:rtl/>
              </w:rPr>
              <w:t>1995</w:t>
            </w:r>
            <w:r w:rsidRPr="00B530C4">
              <w:rPr>
                <w:rFonts w:cs="Times New Roman" w:hint="eastAsia"/>
                <w:sz w:val="26"/>
                <w:rtl/>
              </w:rPr>
              <w:t>‏</w:t>
            </w:r>
            <w:r w:rsidRPr="00B530C4">
              <w:rPr>
                <w:rStyle w:val="a8"/>
                <w:rFonts w:hAnsi="HadasaMFO"/>
                <w:sz w:val="26"/>
                <w:rtl/>
              </w:rPr>
              <w:footnoteReference w:id="2"/>
            </w:r>
            <w:r w:rsidRPr="00B530C4">
              <w:rPr>
                <w:sz w:val="26"/>
                <w:rtl/>
              </w:rPr>
              <w:t xml:space="preserve">, </w:t>
            </w:r>
            <w:r w:rsidRPr="00B530C4">
              <w:rPr>
                <w:rFonts w:hint="eastAsia"/>
                <w:sz w:val="26"/>
                <w:rtl/>
              </w:rPr>
              <w:t>בסעיף</w:t>
            </w:r>
            <w:r w:rsidRPr="00B530C4">
              <w:rPr>
                <w:sz w:val="26"/>
                <w:rtl/>
              </w:rPr>
              <w:t xml:space="preserve"> 229, </w:t>
            </w:r>
            <w:r w:rsidRPr="00B530C4">
              <w:rPr>
                <w:rFonts w:hint="eastAsia"/>
                <w:sz w:val="26"/>
                <w:rtl/>
              </w:rPr>
              <w:t>במקום</w:t>
            </w:r>
            <w:r w:rsidRPr="00B530C4">
              <w:rPr>
                <w:sz w:val="26"/>
                <w:rtl/>
              </w:rPr>
              <w:t xml:space="preserve"> "30 </w:t>
            </w:r>
            <w:r w:rsidRPr="00B530C4">
              <w:rPr>
                <w:rFonts w:hint="eastAsia"/>
                <w:sz w:val="26"/>
                <w:rtl/>
              </w:rPr>
              <w:t>ימים</w:t>
            </w:r>
            <w:r>
              <w:rPr>
                <w:rFonts w:hint="cs"/>
                <w:sz w:val="26"/>
                <w:rtl/>
              </w:rPr>
              <w:t xml:space="preserve"> מה-1 בחודש</w:t>
            </w:r>
            <w:r w:rsidRPr="00B530C4">
              <w:rPr>
                <w:sz w:val="26"/>
                <w:rtl/>
              </w:rPr>
              <w:t xml:space="preserve">" </w:t>
            </w:r>
            <w:r w:rsidRPr="00B530C4">
              <w:rPr>
                <w:rFonts w:hint="eastAsia"/>
                <w:sz w:val="26"/>
                <w:rtl/>
              </w:rPr>
              <w:t>יבוא</w:t>
            </w:r>
            <w:r w:rsidRPr="00B530C4">
              <w:rPr>
                <w:sz w:val="26"/>
                <w:rtl/>
              </w:rPr>
              <w:t xml:space="preserve"> "</w:t>
            </w:r>
            <w:r w:rsidRPr="00B530C4">
              <w:rPr>
                <w:rFonts w:hint="eastAsia"/>
                <w:sz w:val="26"/>
                <w:rtl/>
              </w:rPr>
              <w:t>שבעה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ימים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מהיום</w:t>
            </w:r>
            <w:r w:rsidRPr="00B530C4">
              <w:rPr>
                <w:sz w:val="26"/>
                <w:rtl/>
              </w:rPr>
              <w:t>".</w:t>
            </w:r>
          </w:p>
        </w:tc>
      </w:tr>
      <w:tr w:rsidR="002942BC" w:rsidRPr="00B530C4" w14:paraId="48F7507A" w14:textId="77777777" w:rsidTr="00D3301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F6BC80" w14:textId="77777777" w:rsidR="002942BC" w:rsidRPr="00B530C4" w:rsidRDefault="002942BC" w:rsidP="002942BC">
            <w:pPr>
              <w:pStyle w:val="TableSideHeading"/>
              <w:spacing w:before="0"/>
              <w:jc w:val="left"/>
              <w:rPr>
                <w:sz w:val="26"/>
                <w:rtl/>
              </w:rPr>
            </w:pPr>
            <w:r w:rsidRPr="00B530C4">
              <w:rPr>
                <w:rFonts w:hint="eastAsia"/>
                <w:sz w:val="26"/>
                <w:rtl/>
              </w:rPr>
              <w:t>תחילה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ותחולה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AA52C4" w14:textId="77777777" w:rsidR="002942BC" w:rsidRPr="00B530C4" w:rsidRDefault="002942BC" w:rsidP="002942BC">
            <w:pPr>
              <w:pStyle w:val="TableText"/>
              <w:spacing w:before="0"/>
              <w:rPr>
                <w:sz w:val="26"/>
                <w:rtl/>
              </w:rPr>
            </w:pPr>
            <w:r w:rsidRPr="00B530C4">
              <w:rPr>
                <w:sz w:val="26"/>
                <w:rtl/>
              </w:rPr>
              <w:t>2.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3601FF" w14:textId="77777777" w:rsidR="002942BC" w:rsidRPr="00B530C4" w:rsidRDefault="002942BC" w:rsidP="002942BC">
            <w:pPr>
              <w:pStyle w:val="TableBlock"/>
              <w:spacing w:before="0"/>
              <w:rPr>
                <w:sz w:val="26"/>
                <w:rtl/>
              </w:rPr>
            </w:pPr>
            <w:r w:rsidRPr="00B530C4">
              <w:rPr>
                <w:rFonts w:hint="eastAsia"/>
                <w:sz w:val="26"/>
                <w:rtl/>
              </w:rPr>
              <w:t>תחילתו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של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חוק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זה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ב</w:t>
            </w:r>
            <w:r w:rsidRPr="00B530C4">
              <w:rPr>
                <w:rFonts w:hint="cs"/>
                <w:sz w:val="26"/>
                <w:rtl/>
              </w:rPr>
              <w:t>-</w:t>
            </w:r>
            <w:r w:rsidRPr="00B530C4">
              <w:rPr>
                <w:sz w:val="26"/>
                <w:rtl/>
              </w:rPr>
              <w:t xml:space="preserve">1 </w:t>
            </w:r>
            <w:r w:rsidRPr="00B530C4">
              <w:rPr>
                <w:rFonts w:hint="eastAsia"/>
                <w:sz w:val="26"/>
                <w:rtl/>
              </w:rPr>
              <w:t>בחודש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שלאחר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פרסומו</w:t>
            </w:r>
            <w:r w:rsidRPr="00B530C4">
              <w:rPr>
                <w:sz w:val="26"/>
                <w:rtl/>
              </w:rPr>
              <w:t xml:space="preserve"> (</w:t>
            </w:r>
            <w:r w:rsidRPr="00B530C4">
              <w:rPr>
                <w:rFonts w:hint="eastAsia"/>
                <w:sz w:val="26"/>
                <w:rtl/>
              </w:rPr>
              <w:t>בסעיף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זה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cs"/>
                <w:sz w:val="26"/>
                <w:rtl/>
              </w:rPr>
              <w:t xml:space="preserve">– </w:t>
            </w:r>
            <w:r w:rsidRPr="00B530C4">
              <w:rPr>
                <w:rFonts w:hint="eastAsia"/>
                <w:sz w:val="26"/>
                <w:rtl/>
              </w:rPr>
              <w:t>יום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התחילה</w:t>
            </w:r>
            <w:r w:rsidRPr="00B530C4">
              <w:rPr>
                <w:sz w:val="26"/>
                <w:rtl/>
              </w:rPr>
              <w:t xml:space="preserve">), </w:t>
            </w:r>
            <w:r w:rsidRPr="00B530C4">
              <w:rPr>
                <w:rFonts w:hint="eastAsia"/>
                <w:sz w:val="26"/>
                <w:rtl/>
              </w:rPr>
              <w:t>והוא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יחול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על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מי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שהגיש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תביע</w:t>
            </w:r>
            <w:r>
              <w:rPr>
                <w:rFonts w:hint="cs"/>
                <w:sz w:val="26"/>
                <w:rtl/>
              </w:rPr>
              <w:t>ה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לגמלת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סיעוד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ביום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התחילה</w:t>
            </w:r>
            <w:r w:rsidRPr="00B530C4">
              <w:rPr>
                <w:sz w:val="26"/>
                <w:rtl/>
              </w:rPr>
              <w:t xml:space="preserve"> </w:t>
            </w:r>
            <w:r w:rsidRPr="00B530C4">
              <w:rPr>
                <w:rFonts w:hint="eastAsia"/>
                <w:sz w:val="26"/>
                <w:rtl/>
              </w:rPr>
              <w:t>ואילך</w:t>
            </w:r>
            <w:r w:rsidRPr="00B530C4">
              <w:rPr>
                <w:sz w:val="26"/>
                <w:rtl/>
              </w:rPr>
              <w:t>.</w:t>
            </w:r>
          </w:p>
        </w:tc>
      </w:tr>
    </w:tbl>
    <w:p w14:paraId="022BB81E" w14:textId="77777777" w:rsidR="002942BC" w:rsidRDefault="002942BC" w:rsidP="002942BC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10455" w:type="dxa"/>
        <w:tblLook w:val="00A0" w:firstRow="1" w:lastRow="0" w:firstColumn="1" w:lastColumn="0" w:noHBand="0" w:noVBand="0"/>
      </w:tblPr>
      <w:tblGrid>
        <w:gridCol w:w="2409"/>
        <w:gridCol w:w="2410"/>
        <w:gridCol w:w="2092"/>
        <w:gridCol w:w="3544"/>
      </w:tblGrid>
      <w:tr w:rsidR="008525E2" w:rsidRPr="00D466D4" w14:paraId="11F1CEB9" w14:textId="77777777" w:rsidTr="002942BC">
        <w:tc>
          <w:tcPr>
            <w:tcW w:w="240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6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092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11F1CEB7" w14:textId="27F42E9C" w:rsidR="008525E2" w:rsidRPr="00D466D4" w:rsidRDefault="002942BC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חיים כץ</w:t>
            </w:r>
          </w:p>
          <w:p w14:paraId="11F1CEB8" w14:textId="7D9913E8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2942BC">
              <w:rPr>
                <w:rFonts w:cs="David" w:hint="cs"/>
                <w:sz w:val="26"/>
                <w:szCs w:val="26"/>
                <w:rtl/>
              </w:rPr>
              <w:t>רווחה והשירותים החברתיים</w:t>
            </w:r>
            <w:bookmarkStart w:id="7" w:name="_GoBack"/>
            <w:bookmarkEnd w:id="7"/>
          </w:p>
        </w:tc>
      </w:tr>
      <w:tr w:rsidR="008525E2" w:rsidRPr="00D466D4" w14:paraId="11F1CEC0" w14:textId="77777777" w:rsidTr="002942BC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092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2942BC">
        <w:tc>
          <w:tcPr>
            <w:tcW w:w="2409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092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3544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spacing w:before="0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ind w:firstLine="0"/>
        <w:jc w:val="left"/>
      </w:pPr>
      <w:r>
        <w:separator/>
      </w:r>
    </w:p>
  </w:footnote>
  <w:footnote w:id="1">
    <w:p w14:paraId="11F1CED7" w14:textId="1A4ECEF5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י"א באדר ב'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 xml:space="preserve"> (21 במרס 2016)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1001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ג' בשבט </w:t>
      </w:r>
      <w:proofErr w:type="spellStart"/>
      <w:r>
        <w:rPr>
          <w:rFonts w:hint="cs"/>
          <w:rtl/>
        </w:rPr>
        <w:t>התשע"ו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13 בינואר 2016</w:t>
      </w:r>
      <w:bookmarkEnd w:id="5"/>
      <w:r w:rsidRPr="00827E61">
        <w:rPr>
          <w:rFonts w:hint="cs"/>
          <w:rtl/>
        </w:rPr>
        <w:t>), עמ'</w:t>
      </w:r>
      <w:r w:rsidR="002942BC">
        <w:rPr>
          <w:rFonts w:hint="cs"/>
          <w:rtl/>
        </w:rPr>
        <w:t xml:space="preserve"> 376</w:t>
      </w:r>
      <w:r>
        <w:rPr>
          <w:rFonts w:hint="cs"/>
          <w:rtl/>
        </w:rPr>
        <w:t>.</w:t>
      </w:r>
    </w:p>
  </w:footnote>
  <w:footnote w:id="2">
    <w:p w14:paraId="52D7450A" w14:textId="5850E284" w:rsidR="002942BC" w:rsidRDefault="002942BC" w:rsidP="002942BC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התשנ"ה</w:t>
      </w:r>
      <w:proofErr w:type="spellEnd"/>
      <w:r>
        <w:rPr>
          <w:rtl/>
        </w:rPr>
        <w:t xml:space="preserve">, עמ' </w:t>
      </w:r>
      <w:r>
        <w:rPr>
          <w:rFonts w:hint="cs"/>
          <w:rtl/>
        </w:rPr>
        <w:t>210</w:t>
      </w:r>
      <w:r>
        <w:rPr>
          <w:rtl/>
        </w:rPr>
        <w:t xml:space="preserve">; </w:t>
      </w:r>
      <w:proofErr w:type="spellStart"/>
      <w:r>
        <w:rPr>
          <w:rtl/>
        </w:rPr>
        <w:t>התשע"ו</w:t>
      </w:r>
      <w:proofErr w:type="spellEnd"/>
      <w:r>
        <w:rPr>
          <w:rtl/>
        </w:rPr>
        <w:t xml:space="preserve">, עמ' </w:t>
      </w:r>
      <w:r>
        <w:rPr>
          <w:rFonts w:hint="cs"/>
          <w:rtl/>
        </w:rPr>
        <w:t>...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942BC"/>
    <w:rsid w:val="002C4285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198FE62D-ED0F-4BF9-B2A1-D96357AE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A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snapToGrid w:val="0"/>
      <w:spacing w:line="360" w:lineRule="auto"/>
    </w:pPr>
    <w:rPr>
      <w:rFonts w:ascii="Arial" w:eastAsia="Arial Unicode MS" w:hAnsi="Arial" w:cs="David"/>
      <w:snapToGrid w:val="0"/>
      <w:sz w:val="20"/>
      <w:szCs w:val="26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semiHidden/>
    <w:rsid w:val="00FD1D3D"/>
    <w:pPr>
      <w:spacing w:before="0"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link w:val="HeadHatzaotHok0"/>
    <w:rsid w:val="009579F7"/>
    <w:pPr>
      <w:keepNext/>
      <w:keepLines/>
      <w:snapToGrid w:val="0"/>
      <w:spacing w:before="240" w:line="360" w:lineRule="auto"/>
      <w:jc w:val="center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snapToGrid w:val="0"/>
      <w:spacing w:before="480" w:line="360" w:lineRule="auto"/>
    </w:pPr>
    <w:rPr>
      <w:rFonts w:ascii="Arial" w:eastAsia="Arial Unicode MS" w:hAnsi="Arial" w:cs="David"/>
      <w:b/>
      <w:bCs/>
      <w:snapToGrid w:val="0"/>
      <w:sz w:val="20"/>
      <w:szCs w:val="26"/>
    </w:rPr>
  </w:style>
  <w:style w:type="paragraph" w:styleId="ab">
    <w:name w:val="header"/>
    <w:basedOn w:val="a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rsid w:val="009579F7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pacing w:val="1"/>
      <w:szCs w:val="26"/>
      <w:lang w:val="en-US" w:eastAsia="ja-JP" w:bidi="he-IL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pacing w:val="1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e860c347-3c75-42f3-9b43-fe3c3ef9805f">574489</ITEMID>
    <CommitteeName xmlns="c8ce1d4b-e1f6-446e-84c0-71ee544e8fe0">ועדת העבודה, הרווחה והבריאות</CommitteeName>
    <ItemNumber xmlns="c8ce1d4b-e1f6-446e-84c0-71ee544e8fe0">מ/1001</ItemNumber>
    <KnessetID xmlns="c8ce1d4b-e1f6-446e-84c0-71ee544e8fe0">20</KnessetID>
    <PrivateNumber xmlns="c8ce1d4b-e1f6-446e-84c0-71ee544e8fe0" xsi:nil="true"/>
    <SystemSource xmlns="f380af25-22dd-4a89-bd18-c5bf793c562b">תבנית סנהדרין</SystemSource>
    <ItemName xmlns="c8ce1d4b-e1f6-446e-84c0-71ee544e8fe0">הצעת חוק הביטוח הלאומי (תיקון מס' 175), התשע"ו-2016</ItemName>
    <CommitteeID xmlns="c8ce1d4b-e1f6-446e-84c0-71ee544e8fe0">928</CommitteeID>
    <DocumentType xmlns="f380af25-22dd-4a89-bd18-c5bf793c562b">חוק - נוסח לא רשמי - טיוטה</DocumentType>
    <_dlc_DocId xmlns="e860c347-3c75-42f3-9b43-fe3c3ef9805f">1111-6-2113</_dlc_DocId>
    <_dlc_DocIdUrl xmlns="e860c347-3c75-42f3-9b43-fe3c3ef9805f">
      <Url>http://doccenter/sites/LegalDepartment/_layouts/15/DocIdRedir.aspx?ID=1111-6-2113</Url>
      <Description>1111-6-2113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/>
</file>

<file path=customXml/itemProps2.xml><?xml version="1.0" encoding="utf-8"?>
<ds:datastoreItem xmlns:ds="http://schemas.openxmlformats.org/officeDocument/2006/customXml" ds:itemID="{5C990E72-2A10-47B5-8633-F22511D80AB8}"/>
</file>

<file path=customXml/itemProps3.xml><?xml version="1.0" encoding="utf-8"?>
<ds:datastoreItem xmlns:ds="http://schemas.openxmlformats.org/officeDocument/2006/customXml" ds:itemID="{C3E1657D-317C-48BB-A872-2C64BBB17B1B}"/>
</file>

<file path=customXml/itemProps4.xml><?xml version="1.0" encoding="utf-8"?>
<ds:datastoreItem xmlns:ds="http://schemas.openxmlformats.org/officeDocument/2006/customXml" ds:itemID="{9AAD3E59-1685-4866-88AE-10917921A27A}"/>
</file>

<file path=customXml/itemProps5.xml><?xml version="1.0" encoding="utf-8"?>
<ds:datastoreItem xmlns:ds="http://schemas.openxmlformats.org/officeDocument/2006/customXml" ds:itemID="{9CC2D463-D837-45EC-9A53-C135B8CBC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3</cp:revision>
  <cp:lastPrinted>2016-03-22T09:48:00Z</cp:lastPrinted>
  <dcterms:created xsi:type="dcterms:W3CDTF">2015-06-14T12:44:00Z</dcterms:created>
  <dcterms:modified xsi:type="dcterms:W3CDTF">2016-03-22T09:49:00Z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773694de-2cd9-43a6-9524-2c5da2371ccf</vt:lpwstr>
  </property>
  <property fmtid="{D5CDD505-2E9C-101B-9397-08002B2CF9AE}" pid="20" name="SanhedrinItemID">
    <vt:r8>574489</vt:r8>
  </property>
  <property fmtid="{D5CDD505-2E9C-101B-9397-08002B2CF9AE}" pid="21" name="SanhedrinDocumentType">
    <vt:r8>42</vt:r8>
  </property>
</Properties>
</file>