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1CEA6" w14:textId="4E7B7FFA" w:rsidR="008525E2" w:rsidRDefault="00C7276B" w:rsidP="0060229C">
      <w:pPr>
        <w:spacing w:before="0" w:line="240" w:lineRule="auto"/>
        <w:jc w:val="left"/>
        <w:rPr>
          <w:b/>
          <w:bCs/>
          <w:sz w:val="28"/>
          <w:szCs w:val="28"/>
          <w:rtl/>
        </w:rPr>
      </w:pPr>
      <w:bookmarkStart w:id="0" w:name="_GoBack"/>
      <w:bookmarkEnd w:id="0"/>
      <w:r>
        <w:rPr>
          <w:noProof/>
          <w:lang w:eastAsia="en-US"/>
        </w:rPr>
        <w:drawing>
          <wp:anchor distT="0" distB="0" distL="114300" distR="114300" simplePos="0" relativeHeight="251657216" behindDoc="0" locked="0" layoutInCell="1" allowOverlap="1" wp14:anchorId="00A60A4E" wp14:editId="6737A1B0">
            <wp:simplePos x="3416198" y="914400"/>
            <wp:positionH relativeFrom="column">
              <wp:posOffset>3324301</wp:posOffset>
            </wp:positionH>
            <wp:positionV relativeFrom="paragraph">
              <wp:align>top</wp:align>
            </wp:positionV>
            <wp:extent cx="509905" cy="624205"/>
            <wp:effectExtent l="0" t="0" r="4445" b="4445"/>
            <wp:wrapSquare wrapText="bothSides"/>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anchor>
        </w:drawing>
      </w:r>
      <w:r w:rsidR="0060229C">
        <w:rPr>
          <w:b/>
          <w:bCs/>
          <w:sz w:val="28"/>
          <w:szCs w:val="28"/>
          <w:rtl/>
        </w:rPr>
        <w:br w:type="textWrapping" w:clear="all"/>
      </w:r>
    </w:p>
    <w:p w14:paraId="11F1CEA8" w14:textId="3548E9C1" w:rsidR="008525E2" w:rsidRDefault="00220CAF" w:rsidP="0060229C">
      <w:pPr>
        <w:spacing w:before="0" w:line="240" w:lineRule="auto"/>
        <w:jc w:val="center"/>
        <w:rPr>
          <w:b/>
          <w:bCs/>
          <w:sz w:val="28"/>
          <w:szCs w:val="28"/>
          <w:rtl/>
        </w:rPr>
      </w:pPr>
      <w:bookmarkStart w:id="1" w:name="LGSName"/>
      <w:r>
        <w:rPr>
          <w:rStyle w:val="HeadHatzaotHok0"/>
          <w:rFonts w:hint="cs"/>
          <w:rtl/>
        </w:rPr>
        <w:t xml:space="preserve">חוק ההוצאה לפועל (תיקון מס' 48 </w:t>
      </w:r>
      <w:r w:rsidR="0060229C">
        <w:rPr>
          <w:rStyle w:val="HeadHatzaotHok0"/>
          <w:rFonts w:hint="eastAsia"/>
          <w:rtl/>
        </w:rPr>
        <w:t>–</w:t>
      </w:r>
      <w:r>
        <w:rPr>
          <w:rStyle w:val="HeadHatzaotHok0"/>
          <w:rFonts w:hint="cs"/>
          <w:rtl/>
        </w:rPr>
        <w:t xml:space="preserve"> הוראת שעה), התשע"ו</w:t>
      </w:r>
      <w:r w:rsidR="0060229C">
        <w:rPr>
          <w:rStyle w:val="HeadHatzaotHok0"/>
          <w:rFonts w:hint="eastAsia"/>
          <w:rtl/>
        </w:rPr>
        <w:t>–</w:t>
      </w:r>
      <w:r>
        <w:rPr>
          <w:rStyle w:val="HeadHatzaotHok0"/>
          <w:rFonts w:hint="cs"/>
          <w:rtl/>
        </w:rPr>
        <w:t>2015</w:t>
      </w:r>
      <w:bookmarkEnd w:id="1"/>
      <w:r w:rsidR="008525E2">
        <w:rPr>
          <w:rStyle w:val="a8"/>
          <w:b/>
          <w:bCs/>
          <w:sz w:val="28"/>
          <w:szCs w:val="28"/>
          <w:rtl/>
        </w:rPr>
        <w:footnoteReference w:customMarkFollows="1" w:id="1"/>
        <w:t>*</w:t>
      </w:r>
    </w:p>
    <w:p w14:paraId="11F1CEA9" w14:textId="77777777" w:rsidR="008525E2" w:rsidRDefault="008525E2" w:rsidP="0060229C">
      <w:pPr>
        <w:spacing w:before="0" w:line="240" w:lineRule="auto"/>
        <w:rPr>
          <w:sz w:val="26"/>
          <w:szCs w:val="26"/>
          <w:rtl/>
        </w:rPr>
      </w:pPr>
    </w:p>
    <w:tbl>
      <w:tblPr>
        <w:bidiVisual/>
        <w:tblW w:w="9639" w:type="dxa"/>
        <w:tblLayout w:type="fixed"/>
        <w:tblCellMar>
          <w:top w:w="57" w:type="dxa"/>
          <w:left w:w="0" w:type="dxa"/>
          <w:bottom w:w="57" w:type="dxa"/>
          <w:right w:w="0" w:type="dxa"/>
        </w:tblCellMar>
        <w:tblLook w:val="04A0" w:firstRow="1" w:lastRow="0" w:firstColumn="1" w:lastColumn="0" w:noHBand="0" w:noVBand="1"/>
      </w:tblPr>
      <w:tblGrid>
        <w:gridCol w:w="1870"/>
        <w:gridCol w:w="624"/>
        <w:gridCol w:w="624"/>
        <w:gridCol w:w="624"/>
        <w:gridCol w:w="624"/>
        <w:gridCol w:w="624"/>
        <w:gridCol w:w="4649"/>
      </w:tblGrid>
      <w:tr w:rsidR="0060229C" w:rsidRPr="00222B4D" w14:paraId="01D93134" w14:textId="77777777" w:rsidTr="0060229C">
        <w:trPr>
          <w:cantSplit/>
        </w:trPr>
        <w:tc>
          <w:tcPr>
            <w:tcW w:w="1870" w:type="dxa"/>
            <w:tcMar>
              <w:top w:w="91" w:type="dxa"/>
              <w:left w:w="0" w:type="dxa"/>
              <w:bottom w:w="91" w:type="dxa"/>
              <w:right w:w="0" w:type="dxa"/>
            </w:tcMar>
            <w:hideMark/>
          </w:tcPr>
          <w:p w14:paraId="0FC81711" w14:textId="77777777" w:rsidR="0060229C" w:rsidRPr="004072E7" w:rsidRDefault="0060229C" w:rsidP="0060229C">
            <w:pPr>
              <w:pStyle w:val="TableSideHeading"/>
              <w:spacing w:before="0"/>
            </w:pPr>
            <w:r w:rsidRPr="004072E7">
              <w:rPr>
                <w:rFonts w:hint="cs"/>
                <w:rtl/>
              </w:rPr>
              <w:t xml:space="preserve">הוספת פרק ז'5 </w:t>
            </w:r>
            <w:r>
              <w:rPr>
                <w:rFonts w:hint="eastAsia"/>
                <w:rtl/>
              </w:rPr>
              <w:t>–</w:t>
            </w:r>
            <w:r w:rsidRPr="004072E7">
              <w:rPr>
                <w:rFonts w:hint="cs"/>
                <w:rtl/>
              </w:rPr>
              <w:t>הוראת שעה</w:t>
            </w:r>
          </w:p>
        </w:tc>
        <w:tc>
          <w:tcPr>
            <w:tcW w:w="624" w:type="dxa"/>
            <w:tcMar>
              <w:top w:w="91" w:type="dxa"/>
              <w:left w:w="0" w:type="dxa"/>
              <w:bottom w:w="91" w:type="dxa"/>
              <w:right w:w="0" w:type="dxa"/>
            </w:tcMar>
            <w:hideMark/>
          </w:tcPr>
          <w:p w14:paraId="0A299EA0" w14:textId="77777777" w:rsidR="0060229C" w:rsidRPr="00222B4D" w:rsidRDefault="0060229C" w:rsidP="0060229C">
            <w:pPr>
              <w:pStyle w:val="TableText"/>
              <w:spacing w:before="0"/>
            </w:pPr>
            <w:r w:rsidRPr="00222B4D">
              <w:rPr>
                <w:rFonts w:hint="cs"/>
                <w:rtl/>
              </w:rPr>
              <w:t>1.</w:t>
            </w:r>
            <w:r w:rsidRPr="00222B4D">
              <w:rPr>
                <w:rFonts w:hint="cs"/>
                <w:rtl/>
              </w:rPr>
              <w:tab/>
            </w:r>
          </w:p>
        </w:tc>
        <w:tc>
          <w:tcPr>
            <w:tcW w:w="7145" w:type="dxa"/>
            <w:gridSpan w:val="5"/>
            <w:tcMar>
              <w:top w:w="91" w:type="dxa"/>
              <w:left w:w="0" w:type="dxa"/>
              <w:bottom w:w="91" w:type="dxa"/>
              <w:right w:w="0" w:type="dxa"/>
            </w:tcMar>
            <w:hideMark/>
          </w:tcPr>
          <w:p w14:paraId="79B7237B" w14:textId="77777777" w:rsidR="0060229C" w:rsidRPr="00222B4D" w:rsidRDefault="0060229C" w:rsidP="0060229C">
            <w:pPr>
              <w:pStyle w:val="TableBlock"/>
              <w:spacing w:before="0"/>
              <w:rPr>
                <w:szCs w:val="24"/>
              </w:rPr>
            </w:pPr>
            <w:r>
              <w:rPr>
                <w:rFonts w:hint="cs"/>
                <w:rtl/>
              </w:rPr>
              <w:t>ב</w:t>
            </w:r>
            <w:r w:rsidRPr="00222B4D">
              <w:rPr>
                <w:rFonts w:hint="cs"/>
                <w:rtl/>
              </w:rPr>
              <w:t>חוק</w:t>
            </w:r>
            <w:r w:rsidRPr="00222B4D">
              <w:rPr>
                <w:rFonts w:hint="cs"/>
                <w:szCs w:val="24"/>
                <w:rtl/>
              </w:rPr>
              <w:t xml:space="preserve"> </w:t>
            </w:r>
            <w:r w:rsidRPr="00222B4D">
              <w:rPr>
                <w:rFonts w:hint="cs"/>
                <w:rtl/>
              </w:rPr>
              <w:t>ההוצאה</w:t>
            </w:r>
            <w:r w:rsidRPr="00222B4D">
              <w:rPr>
                <w:rFonts w:hint="cs"/>
                <w:szCs w:val="24"/>
                <w:rtl/>
              </w:rPr>
              <w:t xml:space="preserve"> </w:t>
            </w:r>
            <w:r w:rsidRPr="00222B4D">
              <w:rPr>
                <w:rFonts w:hint="cs"/>
                <w:rtl/>
              </w:rPr>
              <w:t>לפועל</w:t>
            </w:r>
            <w:r w:rsidRPr="004072E7">
              <w:rPr>
                <w:rFonts w:hint="cs"/>
                <w:rtl/>
              </w:rPr>
              <w:t>, התשכ"ז</w:t>
            </w:r>
            <w:r w:rsidRPr="004072E7">
              <w:rPr>
                <w:rFonts w:hint="eastAsia"/>
                <w:rtl/>
              </w:rPr>
              <w:t>–</w:t>
            </w:r>
            <w:r w:rsidRPr="004072E7">
              <w:rPr>
                <w:rFonts w:hint="cs"/>
                <w:rtl/>
              </w:rPr>
              <w:t>1967</w:t>
            </w:r>
            <w:r w:rsidRPr="004072E7">
              <w:rPr>
                <w:rtl/>
              </w:rPr>
              <w:t>‏</w:t>
            </w:r>
            <w:r w:rsidRPr="004072E7">
              <w:rPr>
                <w:szCs w:val="20"/>
                <w:rtl/>
              </w:rPr>
              <w:footnoteReference w:id="2"/>
            </w:r>
            <w:r w:rsidRPr="00222B4D">
              <w:rPr>
                <w:rFonts w:hint="cs"/>
                <w:szCs w:val="24"/>
                <w:rtl/>
              </w:rPr>
              <w:t xml:space="preserve">, </w:t>
            </w:r>
            <w:r w:rsidRPr="00222B4D">
              <w:rPr>
                <w:rFonts w:hint="cs"/>
                <w:rtl/>
              </w:rPr>
              <w:t>אחרי</w:t>
            </w:r>
            <w:r w:rsidRPr="00222B4D">
              <w:rPr>
                <w:rFonts w:hint="cs"/>
                <w:szCs w:val="24"/>
                <w:rtl/>
              </w:rPr>
              <w:t xml:space="preserve"> </w:t>
            </w:r>
            <w:r w:rsidRPr="004072E7">
              <w:rPr>
                <w:rFonts w:hint="cs"/>
                <w:rtl/>
              </w:rPr>
              <w:t>סעיף 74כב יבוא</w:t>
            </w:r>
            <w:r w:rsidRPr="00222B4D">
              <w:rPr>
                <w:rFonts w:hint="cs"/>
                <w:szCs w:val="24"/>
                <w:rtl/>
              </w:rPr>
              <w:t>:</w:t>
            </w:r>
          </w:p>
        </w:tc>
      </w:tr>
      <w:tr w:rsidR="0060229C" w:rsidRPr="00222B4D" w14:paraId="69A4576E" w14:textId="77777777" w:rsidTr="0060229C">
        <w:trPr>
          <w:cantSplit/>
        </w:trPr>
        <w:tc>
          <w:tcPr>
            <w:tcW w:w="1870" w:type="dxa"/>
            <w:tcMar>
              <w:top w:w="91" w:type="dxa"/>
              <w:left w:w="0" w:type="dxa"/>
              <w:bottom w:w="91" w:type="dxa"/>
              <w:right w:w="0" w:type="dxa"/>
            </w:tcMar>
          </w:tcPr>
          <w:p w14:paraId="044153C3" w14:textId="77777777" w:rsidR="0060229C" w:rsidRPr="00222B4D" w:rsidRDefault="0060229C" w:rsidP="0060229C">
            <w:pPr>
              <w:pStyle w:val="TableSideHeading"/>
              <w:spacing w:before="0"/>
            </w:pPr>
          </w:p>
        </w:tc>
        <w:tc>
          <w:tcPr>
            <w:tcW w:w="624" w:type="dxa"/>
            <w:tcMar>
              <w:top w:w="91" w:type="dxa"/>
              <w:left w:w="0" w:type="dxa"/>
              <w:bottom w:w="91" w:type="dxa"/>
              <w:right w:w="0" w:type="dxa"/>
            </w:tcMar>
          </w:tcPr>
          <w:p w14:paraId="59371856" w14:textId="77777777" w:rsidR="0060229C" w:rsidRPr="00222B4D" w:rsidRDefault="0060229C" w:rsidP="0060229C">
            <w:pPr>
              <w:pStyle w:val="TableText"/>
              <w:spacing w:before="0"/>
            </w:pPr>
          </w:p>
        </w:tc>
        <w:tc>
          <w:tcPr>
            <w:tcW w:w="7145" w:type="dxa"/>
            <w:gridSpan w:val="5"/>
            <w:tcMar>
              <w:top w:w="91" w:type="dxa"/>
              <w:left w:w="0" w:type="dxa"/>
              <w:bottom w:w="91" w:type="dxa"/>
              <w:right w:w="0" w:type="dxa"/>
            </w:tcMar>
          </w:tcPr>
          <w:p w14:paraId="31AD8A6D" w14:textId="77777777" w:rsidR="0060229C" w:rsidRPr="00222B4D" w:rsidRDefault="0060229C" w:rsidP="0060229C">
            <w:pPr>
              <w:pStyle w:val="TableHead"/>
              <w:spacing w:before="0"/>
              <w:rPr>
                <w:szCs w:val="24"/>
              </w:rPr>
            </w:pPr>
            <w:r w:rsidRPr="00222B4D">
              <w:rPr>
                <w:rFonts w:hint="cs"/>
                <w:szCs w:val="24"/>
                <w:rtl/>
              </w:rPr>
              <w:t>"</w:t>
            </w:r>
            <w:r w:rsidRPr="00222B4D">
              <w:rPr>
                <w:rFonts w:hint="cs"/>
                <w:rtl/>
              </w:rPr>
              <w:t>פרק</w:t>
            </w:r>
            <w:r w:rsidRPr="00222B4D">
              <w:rPr>
                <w:rFonts w:hint="cs"/>
                <w:szCs w:val="24"/>
                <w:rtl/>
              </w:rPr>
              <w:t xml:space="preserve"> </w:t>
            </w:r>
            <w:r w:rsidRPr="00222B4D">
              <w:rPr>
                <w:rFonts w:hint="cs"/>
                <w:rtl/>
              </w:rPr>
              <w:t>ז</w:t>
            </w:r>
            <w:r w:rsidRPr="00222B4D">
              <w:rPr>
                <w:rFonts w:hint="cs"/>
                <w:szCs w:val="24"/>
                <w:rtl/>
              </w:rPr>
              <w:t xml:space="preserve">'5: </w:t>
            </w:r>
            <w:r w:rsidRPr="00222B4D">
              <w:rPr>
                <w:rFonts w:hint="cs"/>
                <w:rtl/>
              </w:rPr>
              <w:t>היוועדות</w:t>
            </w:r>
            <w:r w:rsidRPr="00222B4D">
              <w:rPr>
                <w:rFonts w:hint="cs"/>
                <w:szCs w:val="24"/>
                <w:rtl/>
              </w:rPr>
              <w:t xml:space="preserve"> </w:t>
            </w:r>
            <w:r w:rsidRPr="00222B4D">
              <w:rPr>
                <w:rFonts w:hint="cs"/>
                <w:rtl/>
              </w:rPr>
              <w:t>חזותית</w:t>
            </w:r>
            <w:r>
              <w:rPr>
                <w:rFonts w:hint="cs"/>
                <w:szCs w:val="24"/>
                <w:rtl/>
              </w:rPr>
              <w:t xml:space="preserve"> </w:t>
            </w:r>
            <w:r>
              <w:rPr>
                <w:szCs w:val="24"/>
                <w:rtl/>
              </w:rPr>
              <w:t>–</w:t>
            </w:r>
            <w:r>
              <w:rPr>
                <w:rFonts w:hint="cs"/>
                <w:szCs w:val="24"/>
                <w:rtl/>
              </w:rPr>
              <w:t xml:space="preserve"> הוראת שעה</w:t>
            </w:r>
          </w:p>
        </w:tc>
      </w:tr>
      <w:tr w:rsidR="0060229C" w:rsidRPr="00222B4D" w14:paraId="066F44BB" w14:textId="77777777" w:rsidTr="0060229C">
        <w:trPr>
          <w:cantSplit/>
        </w:trPr>
        <w:tc>
          <w:tcPr>
            <w:tcW w:w="1870" w:type="dxa"/>
            <w:tcMar>
              <w:top w:w="91" w:type="dxa"/>
              <w:left w:w="0" w:type="dxa"/>
              <w:bottom w:w="91" w:type="dxa"/>
              <w:right w:w="0" w:type="dxa"/>
            </w:tcMar>
          </w:tcPr>
          <w:p w14:paraId="60BAFD03" w14:textId="77777777" w:rsidR="0060229C" w:rsidRPr="00222B4D" w:rsidRDefault="0060229C" w:rsidP="0060229C">
            <w:pPr>
              <w:pStyle w:val="TableSideHeading"/>
              <w:spacing w:before="0"/>
            </w:pPr>
          </w:p>
        </w:tc>
        <w:tc>
          <w:tcPr>
            <w:tcW w:w="624" w:type="dxa"/>
            <w:tcMar>
              <w:top w:w="91" w:type="dxa"/>
              <w:left w:w="0" w:type="dxa"/>
              <w:bottom w:w="91" w:type="dxa"/>
              <w:right w:w="0" w:type="dxa"/>
            </w:tcMar>
          </w:tcPr>
          <w:p w14:paraId="00894512" w14:textId="77777777" w:rsidR="0060229C" w:rsidRPr="00222B4D" w:rsidRDefault="0060229C" w:rsidP="0060229C">
            <w:pPr>
              <w:pStyle w:val="TableText"/>
              <w:spacing w:before="0"/>
            </w:pPr>
          </w:p>
        </w:tc>
        <w:tc>
          <w:tcPr>
            <w:tcW w:w="1872" w:type="dxa"/>
            <w:gridSpan w:val="3"/>
            <w:tcMar>
              <w:top w:w="91" w:type="dxa"/>
              <w:left w:w="0" w:type="dxa"/>
              <w:bottom w:w="91" w:type="dxa"/>
              <w:right w:w="0" w:type="dxa"/>
            </w:tcMar>
            <w:hideMark/>
          </w:tcPr>
          <w:p w14:paraId="2D2B6303" w14:textId="77777777" w:rsidR="0060229C" w:rsidRPr="00222B4D" w:rsidRDefault="0060229C" w:rsidP="0060229C">
            <w:pPr>
              <w:pStyle w:val="TableInnerSideHeading"/>
              <w:spacing w:before="0"/>
              <w:jc w:val="left"/>
              <w:rPr>
                <w:szCs w:val="24"/>
              </w:rPr>
            </w:pPr>
            <w:r w:rsidRPr="00222B4D">
              <w:rPr>
                <w:rFonts w:hint="cs"/>
                <w:rtl/>
              </w:rPr>
              <w:t>הגדרה</w:t>
            </w:r>
          </w:p>
        </w:tc>
        <w:tc>
          <w:tcPr>
            <w:tcW w:w="624" w:type="dxa"/>
            <w:tcMar>
              <w:top w:w="91" w:type="dxa"/>
              <w:left w:w="0" w:type="dxa"/>
              <w:bottom w:w="91" w:type="dxa"/>
              <w:right w:w="0" w:type="dxa"/>
            </w:tcMar>
            <w:hideMark/>
          </w:tcPr>
          <w:p w14:paraId="748228A7" w14:textId="77777777" w:rsidR="0060229C" w:rsidRPr="00222B4D" w:rsidRDefault="0060229C" w:rsidP="0060229C">
            <w:pPr>
              <w:pStyle w:val="TableText"/>
              <w:spacing w:before="0"/>
            </w:pPr>
            <w:r w:rsidRPr="00222B4D">
              <w:rPr>
                <w:rFonts w:hint="cs"/>
                <w:rtl/>
              </w:rPr>
              <w:t>74כג.</w:t>
            </w:r>
          </w:p>
        </w:tc>
        <w:tc>
          <w:tcPr>
            <w:tcW w:w="4649" w:type="dxa"/>
            <w:tcMar>
              <w:top w:w="91" w:type="dxa"/>
              <w:left w:w="0" w:type="dxa"/>
              <w:bottom w:w="91" w:type="dxa"/>
              <w:right w:w="0" w:type="dxa"/>
            </w:tcMar>
            <w:hideMark/>
          </w:tcPr>
          <w:p w14:paraId="405E8DB6" w14:textId="77777777" w:rsidR="0060229C" w:rsidRPr="00222B4D" w:rsidRDefault="0060229C" w:rsidP="0060229C">
            <w:pPr>
              <w:pStyle w:val="TableBlock"/>
              <w:spacing w:before="0"/>
              <w:rPr>
                <w:szCs w:val="24"/>
              </w:rPr>
            </w:pPr>
            <w:r w:rsidRPr="00222B4D">
              <w:rPr>
                <w:rFonts w:hint="cs"/>
                <w:rtl/>
              </w:rPr>
              <w:t>בפרק</w:t>
            </w:r>
            <w:r w:rsidRPr="00222B4D">
              <w:rPr>
                <w:rFonts w:hint="cs"/>
                <w:szCs w:val="24"/>
                <w:rtl/>
              </w:rPr>
              <w:t xml:space="preserve"> </w:t>
            </w:r>
            <w:r w:rsidRPr="00222B4D">
              <w:rPr>
                <w:rFonts w:hint="cs"/>
                <w:rtl/>
              </w:rPr>
              <w:t>זה</w:t>
            </w:r>
            <w:r w:rsidRPr="00222B4D">
              <w:rPr>
                <w:rFonts w:hint="cs"/>
                <w:szCs w:val="24"/>
                <w:rtl/>
              </w:rPr>
              <w:t>, "</w:t>
            </w:r>
            <w:r w:rsidRPr="00222B4D">
              <w:rPr>
                <w:rFonts w:hint="cs"/>
                <w:rtl/>
              </w:rPr>
              <w:t>היוועדות</w:t>
            </w:r>
            <w:r w:rsidRPr="00222B4D">
              <w:rPr>
                <w:rFonts w:hint="cs"/>
                <w:szCs w:val="24"/>
                <w:rtl/>
              </w:rPr>
              <w:t xml:space="preserve"> </w:t>
            </w:r>
            <w:r w:rsidRPr="00222B4D">
              <w:rPr>
                <w:rFonts w:hint="cs"/>
                <w:rtl/>
              </w:rPr>
              <w:t>חזותית</w:t>
            </w:r>
            <w:r w:rsidRPr="00222B4D">
              <w:rPr>
                <w:rFonts w:hint="cs"/>
                <w:szCs w:val="24"/>
                <w:rtl/>
              </w:rPr>
              <w:t xml:space="preserve">" </w:t>
            </w:r>
            <w:r>
              <w:rPr>
                <w:rFonts w:hint="eastAsia"/>
                <w:szCs w:val="24"/>
                <w:rtl/>
              </w:rPr>
              <w:t>–</w:t>
            </w:r>
            <w:r w:rsidRPr="00222B4D">
              <w:rPr>
                <w:rFonts w:hint="cs"/>
                <w:szCs w:val="24"/>
                <w:rtl/>
              </w:rPr>
              <w:t xml:space="preserve"> </w:t>
            </w:r>
            <w:r w:rsidRPr="00222B4D">
              <w:rPr>
                <w:rFonts w:hint="cs"/>
                <w:rtl/>
              </w:rPr>
              <w:t>תקשורת</w:t>
            </w:r>
            <w:r w:rsidRPr="00222B4D">
              <w:rPr>
                <w:rFonts w:hint="cs"/>
                <w:szCs w:val="24"/>
                <w:rtl/>
              </w:rPr>
              <w:t xml:space="preserve"> </w:t>
            </w:r>
            <w:r w:rsidRPr="00222B4D">
              <w:rPr>
                <w:rFonts w:hint="cs"/>
                <w:rtl/>
              </w:rPr>
              <w:t>בין</w:t>
            </w:r>
            <w:r w:rsidRPr="00222B4D">
              <w:rPr>
                <w:rFonts w:hint="cs"/>
                <w:szCs w:val="24"/>
                <w:rtl/>
              </w:rPr>
              <w:t xml:space="preserve"> </w:t>
            </w:r>
            <w:r w:rsidRPr="00222B4D">
              <w:rPr>
                <w:rFonts w:hint="cs"/>
                <w:rtl/>
              </w:rPr>
              <w:t>שני</w:t>
            </w:r>
            <w:r w:rsidRPr="00222B4D">
              <w:rPr>
                <w:rFonts w:hint="cs"/>
                <w:szCs w:val="24"/>
                <w:rtl/>
              </w:rPr>
              <w:t xml:space="preserve"> </w:t>
            </w:r>
            <w:r w:rsidRPr="00222B4D">
              <w:rPr>
                <w:rFonts w:hint="cs"/>
                <w:rtl/>
              </w:rPr>
              <w:t>מוקדים</w:t>
            </w:r>
            <w:r w:rsidRPr="00222B4D">
              <w:rPr>
                <w:rFonts w:hint="cs"/>
                <w:szCs w:val="24"/>
                <w:rtl/>
              </w:rPr>
              <w:t xml:space="preserve"> </w:t>
            </w:r>
            <w:r w:rsidRPr="00222B4D">
              <w:rPr>
                <w:rFonts w:hint="cs"/>
                <w:rtl/>
              </w:rPr>
              <w:t>המאפשרת</w:t>
            </w:r>
            <w:r w:rsidRPr="00222B4D">
              <w:rPr>
                <w:rFonts w:hint="cs"/>
                <w:szCs w:val="24"/>
                <w:rtl/>
              </w:rPr>
              <w:t xml:space="preserve"> </w:t>
            </w:r>
            <w:r w:rsidRPr="00222B4D">
              <w:rPr>
                <w:rFonts w:hint="cs"/>
                <w:rtl/>
              </w:rPr>
              <w:t>העברת</w:t>
            </w:r>
            <w:r w:rsidRPr="00222B4D">
              <w:rPr>
                <w:rFonts w:hint="cs"/>
                <w:szCs w:val="24"/>
                <w:rtl/>
              </w:rPr>
              <w:t xml:space="preserve"> </w:t>
            </w:r>
            <w:r w:rsidRPr="00222B4D">
              <w:rPr>
                <w:rFonts w:hint="cs"/>
                <w:rtl/>
              </w:rPr>
              <w:t>תמונה</w:t>
            </w:r>
            <w:r w:rsidRPr="00222B4D">
              <w:rPr>
                <w:rFonts w:hint="cs"/>
                <w:szCs w:val="24"/>
                <w:rtl/>
              </w:rPr>
              <w:t xml:space="preserve"> </w:t>
            </w:r>
            <w:r w:rsidRPr="00222B4D">
              <w:rPr>
                <w:rFonts w:hint="cs"/>
                <w:rtl/>
              </w:rPr>
              <w:t>וקול</w:t>
            </w:r>
            <w:r w:rsidRPr="00222B4D">
              <w:rPr>
                <w:rFonts w:hint="cs"/>
                <w:szCs w:val="24"/>
                <w:rtl/>
              </w:rPr>
              <w:t xml:space="preserve"> </w:t>
            </w:r>
            <w:r w:rsidRPr="00222B4D">
              <w:rPr>
                <w:rFonts w:hint="cs"/>
                <w:rtl/>
              </w:rPr>
              <w:t>בזמן</w:t>
            </w:r>
            <w:r w:rsidRPr="00222B4D">
              <w:rPr>
                <w:rFonts w:hint="cs"/>
                <w:szCs w:val="24"/>
                <w:rtl/>
              </w:rPr>
              <w:t xml:space="preserve"> </w:t>
            </w:r>
            <w:r w:rsidRPr="00222B4D">
              <w:rPr>
                <w:rFonts w:hint="cs"/>
                <w:rtl/>
              </w:rPr>
              <w:t>אמת</w:t>
            </w:r>
            <w:r w:rsidRPr="00222B4D">
              <w:rPr>
                <w:rFonts w:hint="cs"/>
                <w:szCs w:val="24"/>
                <w:rtl/>
              </w:rPr>
              <w:t>.</w:t>
            </w:r>
          </w:p>
        </w:tc>
      </w:tr>
      <w:tr w:rsidR="0060229C" w:rsidRPr="00222B4D" w14:paraId="59F2D88F" w14:textId="77777777" w:rsidTr="0060229C">
        <w:trPr>
          <w:cantSplit/>
        </w:trPr>
        <w:tc>
          <w:tcPr>
            <w:tcW w:w="1870" w:type="dxa"/>
            <w:tcMar>
              <w:top w:w="91" w:type="dxa"/>
              <w:left w:w="0" w:type="dxa"/>
              <w:bottom w:w="91" w:type="dxa"/>
              <w:right w:w="0" w:type="dxa"/>
            </w:tcMar>
          </w:tcPr>
          <w:p w14:paraId="75AC6397" w14:textId="77777777" w:rsidR="0060229C" w:rsidRPr="00222B4D" w:rsidRDefault="0060229C" w:rsidP="0060229C">
            <w:pPr>
              <w:pStyle w:val="TableSideHeading"/>
              <w:spacing w:before="0"/>
            </w:pPr>
          </w:p>
        </w:tc>
        <w:tc>
          <w:tcPr>
            <w:tcW w:w="624" w:type="dxa"/>
            <w:tcMar>
              <w:top w:w="91" w:type="dxa"/>
              <w:left w:w="0" w:type="dxa"/>
              <w:bottom w:w="91" w:type="dxa"/>
              <w:right w:w="0" w:type="dxa"/>
            </w:tcMar>
          </w:tcPr>
          <w:p w14:paraId="717597C1" w14:textId="77777777" w:rsidR="0060229C" w:rsidRPr="00222B4D" w:rsidRDefault="0060229C" w:rsidP="0060229C">
            <w:pPr>
              <w:pStyle w:val="TableText"/>
              <w:spacing w:before="0"/>
            </w:pPr>
          </w:p>
        </w:tc>
        <w:tc>
          <w:tcPr>
            <w:tcW w:w="1872" w:type="dxa"/>
            <w:gridSpan w:val="3"/>
            <w:tcMar>
              <w:top w:w="91" w:type="dxa"/>
              <w:left w:w="0" w:type="dxa"/>
              <w:bottom w:w="91" w:type="dxa"/>
              <w:right w:w="0" w:type="dxa"/>
            </w:tcMar>
            <w:hideMark/>
          </w:tcPr>
          <w:p w14:paraId="474BC9B7" w14:textId="77777777" w:rsidR="0060229C" w:rsidRPr="00222B4D" w:rsidRDefault="0060229C" w:rsidP="0060229C">
            <w:pPr>
              <w:pStyle w:val="TableInnerSideHeading"/>
              <w:spacing w:before="0"/>
              <w:jc w:val="left"/>
              <w:rPr>
                <w:szCs w:val="24"/>
              </w:rPr>
            </w:pPr>
            <w:r w:rsidRPr="00222B4D">
              <w:rPr>
                <w:rFonts w:hint="cs"/>
                <w:rtl/>
              </w:rPr>
              <w:t>היוועדות</w:t>
            </w:r>
            <w:r w:rsidRPr="00222B4D">
              <w:rPr>
                <w:rFonts w:hint="cs"/>
                <w:szCs w:val="24"/>
                <w:rtl/>
              </w:rPr>
              <w:t xml:space="preserve"> </w:t>
            </w:r>
            <w:r w:rsidRPr="00222B4D">
              <w:rPr>
                <w:rFonts w:hint="cs"/>
                <w:rtl/>
              </w:rPr>
              <w:t>חזותית</w:t>
            </w:r>
          </w:p>
        </w:tc>
        <w:tc>
          <w:tcPr>
            <w:tcW w:w="624" w:type="dxa"/>
            <w:tcMar>
              <w:top w:w="91" w:type="dxa"/>
              <w:left w:w="0" w:type="dxa"/>
              <w:bottom w:w="91" w:type="dxa"/>
              <w:right w:w="0" w:type="dxa"/>
            </w:tcMar>
            <w:hideMark/>
          </w:tcPr>
          <w:p w14:paraId="41863C09" w14:textId="77777777" w:rsidR="0060229C" w:rsidRPr="00222B4D" w:rsidRDefault="0060229C" w:rsidP="0060229C">
            <w:pPr>
              <w:pStyle w:val="TableText"/>
              <w:spacing w:before="0"/>
            </w:pPr>
            <w:r w:rsidRPr="00222B4D">
              <w:rPr>
                <w:rFonts w:hint="cs"/>
                <w:rtl/>
              </w:rPr>
              <w:t>74כד.</w:t>
            </w:r>
          </w:p>
        </w:tc>
        <w:tc>
          <w:tcPr>
            <w:tcW w:w="4649" w:type="dxa"/>
            <w:tcMar>
              <w:top w:w="91" w:type="dxa"/>
              <w:left w:w="0" w:type="dxa"/>
              <w:bottom w:w="91" w:type="dxa"/>
              <w:right w:w="0" w:type="dxa"/>
            </w:tcMar>
            <w:hideMark/>
          </w:tcPr>
          <w:p w14:paraId="55B9F4D8" w14:textId="77777777" w:rsidR="0060229C" w:rsidRPr="00751DF1" w:rsidRDefault="0060229C" w:rsidP="0060229C">
            <w:pPr>
              <w:pStyle w:val="TableBlock"/>
              <w:spacing w:before="0"/>
            </w:pPr>
            <w:r w:rsidRPr="00751DF1">
              <w:rPr>
                <w:rFonts w:hint="cs"/>
                <w:rtl/>
              </w:rPr>
              <w:t xml:space="preserve">דיון לפני רשם ההוצאה לפועל כמפורט להלן, יכול שיהיה באמצעות היוועדות חזותית, בכפוף להוראות פרק זה: </w:t>
            </w:r>
          </w:p>
        </w:tc>
      </w:tr>
      <w:tr w:rsidR="0060229C" w:rsidRPr="00222B4D" w14:paraId="5348686B" w14:textId="77777777" w:rsidTr="0060229C">
        <w:trPr>
          <w:cantSplit/>
        </w:trPr>
        <w:tc>
          <w:tcPr>
            <w:tcW w:w="1870" w:type="dxa"/>
            <w:tcMar>
              <w:top w:w="91" w:type="dxa"/>
              <w:left w:w="0" w:type="dxa"/>
              <w:bottom w:w="91" w:type="dxa"/>
              <w:right w:w="0" w:type="dxa"/>
            </w:tcMar>
          </w:tcPr>
          <w:p w14:paraId="546ADAD6" w14:textId="77777777" w:rsidR="0060229C" w:rsidRPr="00222B4D" w:rsidRDefault="0060229C" w:rsidP="0060229C">
            <w:pPr>
              <w:pStyle w:val="TableSideHeading"/>
              <w:spacing w:before="0"/>
            </w:pPr>
          </w:p>
        </w:tc>
        <w:tc>
          <w:tcPr>
            <w:tcW w:w="624" w:type="dxa"/>
            <w:tcMar>
              <w:top w:w="91" w:type="dxa"/>
              <w:left w:w="0" w:type="dxa"/>
              <w:bottom w:w="91" w:type="dxa"/>
              <w:right w:w="0" w:type="dxa"/>
            </w:tcMar>
          </w:tcPr>
          <w:p w14:paraId="225A2B5F"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783E9700"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1433E3BF"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25B4DCE5"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268B141C" w14:textId="77777777" w:rsidR="0060229C" w:rsidRPr="00222B4D" w:rsidRDefault="0060229C" w:rsidP="0060229C">
            <w:pPr>
              <w:pStyle w:val="TableText"/>
              <w:spacing w:before="0"/>
            </w:pPr>
          </w:p>
        </w:tc>
        <w:tc>
          <w:tcPr>
            <w:tcW w:w="4649" w:type="dxa"/>
            <w:tcMar>
              <w:top w:w="91" w:type="dxa"/>
              <w:left w:w="0" w:type="dxa"/>
              <w:bottom w:w="91" w:type="dxa"/>
              <w:right w:w="0" w:type="dxa"/>
            </w:tcMar>
            <w:hideMark/>
          </w:tcPr>
          <w:p w14:paraId="408F449F" w14:textId="77777777" w:rsidR="0060229C" w:rsidRPr="00751DF1" w:rsidRDefault="0060229C" w:rsidP="0060229C">
            <w:pPr>
              <w:pStyle w:val="TableBlock"/>
              <w:spacing w:before="0"/>
            </w:pPr>
            <w:r w:rsidRPr="00751DF1">
              <w:rPr>
                <w:rFonts w:hint="cs"/>
                <w:rtl/>
              </w:rPr>
              <w:t>(1)</w:t>
            </w:r>
            <w:r w:rsidRPr="00751DF1">
              <w:rPr>
                <w:rFonts w:hint="cs"/>
                <w:rtl/>
              </w:rPr>
              <w:tab/>
              <w:t xml:space="preserve">דיון בחקירת יכולת שאליו התייצב החייב לפי סעיפים 7(א1), 66ג(ב) או 66ה(ב); </w:t>
            </w:r>
          </w:p>
        </w:tc>
      </w:tr>
      <w:tr w:rsidR="0060229C" w:rsidRPr="00222B4D" w14:paraId="1E79C5E1" w14:textId="77777777" w:rsidTr="0060229C">
        <w:trPr>
          <w:cantSplit/>
        </w:trPr>
        <w:tc>
          <w:tcPr>
            <w:tcW w:w="1870" w:type="dxa"/>
            <w:tcMar>
              <w:top w:w="91" w:type="dxa"/>
              <w:left w:w="0" w:type="dxa"/>
              <w:bottom w:w="91" w:type="dxa"/>
              <w:right w:w="0" w:type="dxa"/>
            </w:tcMar>
          </w:tcPr>
          <w:p w14:paraId="1BDAB6DA" w14:textId="77777777" w:rsidR="0060229C" w:rsidRPr="00222B4D" w:rsidRDefault="0060229C" w:rsidP="0060229C">
            <w:pPr>
              <w:pStyle w:val="TableSideHeading"/>
              <w:spacing w:before="0"/>
            </w:pPr>
          </w:p>
        </w:tc>
        <w:tc>
          <w:tcPr>
            <w:tcW w:w="624" w:type="dxa"/>
            <w:tcMar>
              <w:top w:w="91" w:type="dxa"/>
              <w:left w:w="0" w:type="dxa"/>
              <w:bottom w:w="91" w:type="dxa"/>
              <w:right w:w="0" w:type="dxa"/>
            </w:tcMar>
          </w:tcPr>
          <w:p w14:paraId="30A584D7"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58E5F60F"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091D8202"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4C113110"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4A93FE57" w14:textId="77777777" w:rsidR="0060229C" w:rsidRPr="00222B4D" w:rsidRDefault="0060229C" w:rsidP="0060229C">
            <w:pPr>
              <w:pStyle w:val="TableText"/>
              <w:spacing w:before="0"/>
            </w:pPr>
          </w:p>
        </w:tc>
        <w:tc>
          <w:tcPr>
            <w:tcW w:w="4649" w:type="dxa"/>
            <w:tcMar>
              <w:top w:w="91" w:type="dxa"/>
              <w:left w:w="0" w:type="dxa"/>
              <w:bottom w:w="91" w:type="dxa"/>
              <w:right w:w="0" w:type="dxa"/>
            </w:tcMar>
            <w:hideMark/>
          </w:tcPr>
          <w:p w14:paraId="2A912D0B" w14:textId="77777777" w:rsidR="0060229C" w:rsidRPr="00751DF1" w:rsidRDefault="0060229C" w:rsidP="0060229C">
            <w:pPr>
              <w:pStyle w:val="TableBlock"/>
              <w:spacing w:before="0"/>
            </w:pPr>
            <w:r w:rsidRPr="00751DF1">
              <w:rPr>
                <w:rFonts w:hint="cs"/>
                <w:rtl/>
              </w:rPr>
              <w:t>(2)</w:t>
            </w:r>
            <w:r w:rsidRPr="00751DF1">
              <w:rPr>
                <w:rFonts w:hint="cs"/>
                <w:rtl/>
              </w:rPr>
              <w:tab/>
              <w:t>דיון שאליו הובא החייב על פי צו הבאה כאמור בסעיף 69יב(ג);</w:t>
            </w:r>
          </w:p>
        </w:tc>
      </w:tr>
      <w:tr w:rsidR="0060229C" w:rsidRPr="00222B4D" w14:paraId="20379829" w14:textId="77777777" w:rsidTr="0060229C">
        <w:trPr>
          <w:cantSplit/>
        </w:trPr>
        <w:tc>
          <w:tcPr>
            <w:tcW w:w="1870" w:type="dxa"/>
            <w:tcMar>
              <w:top w:w="91" w:type="dxa"/>
              <w:left w:w="0" w:type="dxa"/>
              <w:bottom w:w="91" w:type="dxa"/>
              <w:right w:w="0" w:type="dxa"/>
            </w:tcMar>
          </w:tcPr>
          <w:p w14:paraId="40A91C22" w14:textId="77777777" w:rsidR="0060229C" w:rsidRPr="00222B4D" w:rsidRDefault="0060229C" w:rsidP="0060229C">
            <w:pPr>
              <w:pStyle w:val="TableSideHeading"/>
              <w:spacing w:before="0"/>
            </w:pPr>
          </w:p>
        </w:tc>
        <w:tc>
          <w:tcPr>
            <w:tcW w:w="624" w:type="dxa"/>
            <w:tcMar>
              <w:top w:w="91" w:type="dxa"/>
              <w:left w:w="0" w:type="dxa"/>
              <w:bottom w:w="91" w:type="dxa"/>
              <w:right w:w="0" w:type="dxa"/>
            </w:tcMar>
          </w:tcPr>
          <w:p w14:paraId="32A92490"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1DEC647B"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10D7970E"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39CABBCB"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31932E11" w14:textId="77777777" w:rsidR="0060229C" w:rsidRPr="00222B4D" w:rsidRDefault="0060229C" w:rsidP="0060229C">
            <w:pPr>
              <w:pStyle w:val="TableText"/>
              <w:spacing w:before="0"/>
            </w:pPr>
          </w:p>
        </w:tc>
        <w:tc>
          <w:tcPr>
            <w:tcW w:w="4649" w:type="dxa"/>
            <w:tcMar>
              <w:top w:w="91" w:type="dxa"/>
              <w:left w:w="0" w:type="dxa"/>
              <w:bottom w:w="91" w:type="dxa"/>
              <w:right w:w="0" w:type="dxa"/>
            </w:tcMar>
            <w:hideMark/>
          </w:tcPr>
          <w:p w14:paraId="765B1B6A" w14:textId="77777777" w:rsidR="0060229C" w:rsidRPr="00751DF1" w:rsidRDefault="0060229C" w:rsidP="0060229C">
            <w:pPr>
              <w:pStyle w:val="TableBlock"/>
              <w:spacing w:before="0"/>
            </w:pPr>
            <w:r w:rsidRPr="00751DF1">
              <w:rPr>
                <w:rFonts w:hint="cs"/>
                <w:rtl/>
              </w:rPr>
              <w:t>(3)</w:t>
            </w:r>
            <w:r w:rsidRPr="00751DF1">
              <w:rPr>
                <w:rFonts w:hint="cs"/>
                <w:rtl/>
              </w:rPr>
              <w:tab/>
              <w:t>דיון שאליו הובא החייב לאחר שנאסר, כאמור בסעיפים 70(ד) או 74(ד).</w:t>
            </w:r>
          </w:p>
        </w:tc>
      </w:tr>
      <w:tr w:rsidR="0060229C" w:rsidRPr="00222B4D" w14:paraId="0D188040" w14:textId="77777777" w:rsidTr="0060229C">
        <w:trPr>
          <w:cantSplit/>
        </w:trPr>
        <w:tc>
          <w:tcPr>
            <w:tcW w:w="1870" w:type="dxa"/>
            <w:tcMar>
              <w:top w:w="91" w:type="dxa"/>
              <w:left w:w="0" w:type="dxa"/>
              <w:bottom w:w="91" w:type="dxa"/>
              <w:right w:w="0" w:type="dxa"/>
            </w:tcMar>
          </w:tcPr>
          <w:p w14:paraId="0FD5310B" w14:textId="77777777" w:rsidR="0060229C" w:rsidRPr="00222B4D" w:rsidRDefault="0060229C" w:rsidP="0060229C">
            <w:pPr>
              <w:pStyle w:val="TableSideHeading"/>
              <w:spacing w:before="0"/>
            </w:pPr>
          </w:p>
        </w:tc>
        <w:tc>
          <w:tcPr>
            <w:tcW w:w="624" w:type="dxa"/>
            <w:tcMar>
              <w:top w:w="91" w:type="dxa"/>
              <w:left w:w="0" w:type="dxa"/>
              <w:bottom w:w="91" w:type="dxa"/>
              <w:right w:w="0" w:type="dxa"/>
            </w:tcMar>
          </w:tcPr>
          <w:p w14:paraId="00C725CD" w14:textId="77777777" w:rsidR="0060229C" w:rsidRPr="00222B4D" w:rsidRDefault="0060229C" w:rsidP="0060229C">
            <w:pPr>
              <w:pStyle w:val="TableText"/>
              <w:spacing w:before="0"/>
            </w:pPr>
          </w:p>
        </w:tc>
        <w:tc>
          <w:tcPr>
            <w:tcW w:w="1872" w:type="dxa"/>
            <w:gridSpan w:val="3"/>
            <w:tcMar>
              <w:top w:w="91" w:type="dxa"/>
              <w:left w:w="0" w:type="dxa"/>
              <w:bottom w:w="91" w:type="dxa"/>
              <w:right w:w="0" w:type="dxa"/>
            </w:tcMar>
            <w:hideMark/>
          </w:tcPr>
          <w:p w14:paraId="7301E2CA" w14:textId="77777777" w:rsidR="0060229C" w:rsidRPr="00222B4D" w:rsidRDefault="0060229C" w:rsidP="0060229C">
            <w:pPr>
              <w:pStyle w:val="TableInnerSideHeading"/>
              <w:spacing w:before="0"/>
              <w:jc w:val="left"/>
              <w:rPr>
                <w:szCs w:val="24"/>
              </w:rPr>
            </w:pPr>
            <w:r w:rsidRPr="00222B4D">
              <w:rPr>
                <w:rFonts w:hint="cs"/>
                <w:rtl/>
              </w:rPr>
              <w:t>תנאים</w:t>
            </w:r>
            <w:r w:rsidRPr="00222B4D">
              <w:rPr>
                <w:rFonts w:hint="cs"/>
                <w:szCs w:val="24"/>
                <w:rtl/>
              </w:rPr>
              <w:t xml:space="preserve"> </w:t>
            </w:r>
            <w:r w:rsidRPr="00222B4D">
              <w:rPr>
                <w:rFonts w:hint="cs"/>
                <w:rtl/>
              </w:rPr>
              <w:t>לעריכת</w:t>
            </w:r>
            <w:r w:rsidRPr="00222B4D">
              <w:rPr>
                <w:rFonts w:hint="cs"/>
                <w:szCs w:val="24"/>
                <w:rtl/>
              </w:rPr>
              <w:t xml:space="preserve"> </w:t>
            </w:r>
            <w:r w:rsidRPr="00222B4D">
              <w:rPr>
                <w:rFonts w:hint="cs"/>
                <w:rtl/>
              </w:rPr>
              <w:t>דיון</w:t>
            </w:r>
            <w:r w:rsidRPr="00222B4D">
              <w:rPr>
                <w:rFonts w:hint="cs"/>
                <w:szCs w:val="24"/>
                <w:rtl/>
              </w:rPr>
              <w:t xml:space="preserve"> </w:t>
            </w:r>
            <w:r w:rsidRPr="00222B4D">
              <w:rPr>
                <w:rFonts w:hint="cs"/>
                <w:rtl/>
              </w:rPr>
              <w:t>בהיוועדות</w:t>
            </w:r>
            <w:r w:rsidRPr="00222B4D">
              <w:rPr>
                <w:rFonts w:hint="cs"/>
                <w:szCs w:val="24"/>
                <w:rtl/>
              </w:rPr>
              <w:t xml:space="preserve"> </w:t>
            </w:r>
            <w:r w:rsidRPr="00222B4D">
              <w:rPr>
                <w:rFonts w:hint="cs"/>
                <w:rtl/>
              </w:rPr>
              <w:t>חזותית</w:t>
            </w:r>
            <w:r w:rsidRPr="00222B4D">
              <w:rPr>
                <w:rFonts w:hint="cs"/>
                <w:szCs w:val="24"/>
                <w:rtl/>
              </w:rPr>
              <w:t xml:space="preserve"> </w:t>
            </w:r>
          </w:p>
        </w:tc>
        <w:tc>
          <w:tcPr>
            <w:tcW w:w="624" w:type="dxa"/>
            <w:tcMar>
              <w:top w:w="91" w:type="dxa"/>
              <w:left w:w="0" w:type="dxa"/>
              <w:bottom w:w="91" w:type="dxa"/>
              <w:right w:w="0" w:type="dxa"/>
            </w:tcMar>
            <w:hideMark/>
          </w:tcPr>
          <w:p w14:paraId="2A665DDD" w14:textId="77777777" w:rsidR="0060229C" w:rsidRPr="00222B4D" w:rsidRDefault="0060229C" w:rsidP="0060229C">
            <w:pPr>
              <w:pStyle w:val="TableText"/>
              <w:spacing w:before="0"/>
              <w:rPr>
                <w:sz w:val="26"/>
              </w:rPr>
            </w:pPr>
            <w:r w:rsidRPr="00222B4D">
              <w:rPr>
                <w:rFonts w:hint="cs"/>
                <w:sz w:val="26"/>
                <w:rtl/>
              </w:rPr>
              <w:t>74כה.</w:t>
            </w:r>
          </w:p>
        </w:tc>
        <w:tc>
          <w:tcPr>
            <w:tcW w:w="4649" w:type="dxa"/>
            <w:tcMar>
              <w:top w:w="91" w:type="dxa"/>
              <w:left w:w="0" w:type="dxa"/>
              <w:bottom w:w="91" w:type="dxa"/>
              <w:right w:w="0" w:type="dxa"/>
            </w:tcMar>
            <w:hideMark/>
          </w:tcPr>
          <w:p w14:paraId="342BBDAE" w14:textId="77777777" w:rsidR="0060229C" w:rsidRPr="00222B4D" w:rsidRDefault="0060229C" w:rsidP="0060229C">
            <w:pPr>
              <w:pStyle w:val="TableBlock"/>
              <w:spacing w:before="0"/>
              <w:rPr>
                <w:szCs w:val="24"/>
              </w:rPr>
            </w:pPr>
            <w:r w:rsidRPr="00222B4D">
              <w:rPr>
                <w:rFonts w:hint="cs"/>
                <w:szCs w:val="24"/>
                <w:rtl/>
              </w:rPr>
              <w:t>(</w:t>
            </w:r>
            <w:r w:rsidRPr="00222B4D">
              <w:rPr>
                <w:rFonts w:hint="cs"/>
                <w:rtl/>
              </w:rPr>
              <w:t>א</w:t>
            </w:r>
            <w:r w:rsidRPr="00222B4D">
              <w:rPr>
                <w:rFonts w:hint="cs"/>
                <w:szCs w:val="24"/>
                <w:rtl/>
              </w:rPr>
              <w:t>)</w:t>
            </w:r>
            <w:r w:rsidRPr="00222B4D">
              <w:rPr>
                <w:rFonts w:hint="cs"/>
                <w:szCs w:val="24"/>
                <w:rtl/>
              </w:rPr>
              <w:tab/>
            </w:r>
            <w:r w:rsidRPr="00222B4D">
              <w:rPr>
                <w:rFonts w:hint="cs"/>
                <w:rtl/>
              </w:rPr>
              <w:t>רשם</w:t>
            </w:r>
            <w:r w:rsidRPr="00222B4D">
              <w:rPr>
                <w:rFonts w:hint="cs"/>
                <w:szCs w:val="24"/>
                <w:rtl/>
              </w:rPr>
              <w:t xml:space="preserve"> </w:t>
            </w:r>
            <w:r>
              <w:rPr>
                <w:rFonts w:hint="cs"/>
                <w:rtl/>
              </w:rPr>
              <w:t>ה</w:t>
            </w:r>
            <w:r w:rsidRPr="00222B4D">
              <w:rPr>
                <w:rFonts w:hint="cs"/>
                <w:rtl/>
              </w:rPr>
              <w:t>הוצאה</w:t>
            </w:r>
            <w:r w:rsidRPr="00222B4D">
              <w:rPr>
                <w:rFonts w:hint="cs"/>
                <w:szCs w:val="24"/>
                <w:rtl/>
              </w:rPr>
              <w:t xml:space="preserve"> </w:t>
            </w:r>
            <w:r w:rsidRPr="00222B4D">
              <w:rPr>
                <w:rFonts w:hint="cs"/>
                <w:rtl/>
              </w:rPr>
              <w:t>לפועל</w:t>
            </w:r>
            <w:r w:rsidRPr="00222B4D">
              <w:rPr>
                <w:rFonts w:hint="cs"/>
                <w:szCs w:val="24"/>
                <w:rtl/>
              </w:rPr>
              <w:t xml:space="preserve"> </w:t>
            </w:r>
            <w:r w:rsidRPr="00222B4D">
              <w:rPr>
                <w:rFonts w:hint="cs"/>
                <w:rtl/>
              </w:rPr>
              <w:t>לא</w:t>
            </w:r>
            <w:r w:rsidRPr="00222B4D">
              <w:rPr>
                <w:rFonts w:hint="cs"/>
                <w:szCs w:val="24"/>
                <w:rtl/>
              </w:rPr>
              <w:t xml:space="preserve"> </w:t>
            </w:r>
            <w:r w:rsidRPr="00222B4D">
              <w:rPr>
                <w:rFonts w:hint="cs"/>
                <w:rtl/>
              </w:rPr>
              <w:t>יקיים</w:t>
            </w:r>
            <w:r w:rsidRPr="00222B4D">
              <w:rPr>
                <w:rFonts w:hint="cs"/>
                <w:szCs w:val="24"/>
                <w:rtl/>
              </w:rPr>
              <w:t xml:space="preserve"> </w:t>
            </w:r>
            <w:r w:rsidRPr="00222B4D">
              <w:rPr>
                <w:rFonts w:hint="cs"/>
                <w:rtl/>
              </w:rPr>
              <w:t>דיון</w:t>
            </w:r>
            <w:r w:rsidRPr="00222B4D">
              <w:rPr>
                <w:rFonts w:hint="cs"/>
                <w:szCs w:val="24"/>
                <w:rtl/>
              </w:rPr>
              <w:t xml:space="preserve"> </w:t>
            </w:r>
            <w:r w:rsidRPr="00222B4D">
              <w:rPr>
                <w:rFonts w:hint="cs"/>
                <w:rtl/>
              </w:rPr>
              <w:t>באמצעות</w:t>
            </w:r>
            <w:r w:rsidRPr="00222B4D">
              <w:rPr>
                <w:rFonts w:hint="cs"/>
                <w:szCs w:val="24"/>
                <w:rtl/>
              </w:rPr>
              <w:t xml:space="preserve"> </w:t>
            </w:r>
            <w:r w:rsidRPr="00222B4D">
              <w:rPr>
                <w:rFonts w:hint="cs"/>
                <w:rtl/>
              </w:rPr>
              <w:t>היוועדות</w:t>
            </w:r>
            <w:r w:rsidRPr="00222B4D">
              <w:rPr>
                <w:rFonts w:hint="cs"/>
                <w:szCs w:val="24"/>
                <w:rtl/>
              </w:rPr>
              <w:t xml:space="preserve"> </w:t>
            </w:r>
            <w:r w:rsidRPr="00222B4D">
              <w:rPr>
                <w:rFonts w:hint="cs"/>
                <w:rtl/>
              </w:rPr>
              <w:t>חזותית</w:t>
            </w:r>
            <w:r w:rsidRPr="00222B4D">
              <w:rPr>
                <w:rFonts w:hint="cs"/>
                <w:szCs w:val="24"/>
                <w:rtl/>
              </w:rPr>
              <w:t xml:space="preserve"> </w:t>
            </w:r>
            <w:r w:rsidRPr="00222B4D">
              <w:rPr>
                <w:rFonts w:hint="cs"/>
                <w:rtl/>
              </w:rPr>
              <w:t>כאמור</w:t>
            </w:r>
            <w:r w:rsidRPr="00222B4D">
              <w:rPr>
                <w:rFonts w:hint="cs"/>
                <w:szCs w:val="24"/>
                <w:rtl/>
              </w:rPr>
              <w:t xml:space="preserve"> </w:t>
            </w:r>
            <w:r w:rsidRPr="00222B4D">
              <w:rPr>
                <w:rFonts w:hint="cs"/>
                <w:rtl/>
              </w:rPr>
              <w:t>בסעיף</w:t>
            </w:r>
            <w:r w:rsidRPr="00222B4D">
              <w:rPr>
                <w:rFonts w:hint="cs"/>
                <w:szCs w:val="24"/>
                <w:rtl/>
              </w:rPr>
              <w:t xml:space="preserve"> 74</w:t>
            </w:r>
            <w:r w:rsidRPr="00222B4D">
              <w:rPr>
                <w:rFonts w:hint="cs"/>
                <w:rtl/>
              </w:rPr>
              <w:t>כד</w:t>
            </w:r>
            <w:r w:rsidRPr="00222B4D">
              <w:rPr>
                <w:rFonts w:hint="cs"/>
                <w:szCs w:val="24"/>
                <w:rtl/>
              </w:rPr>
              <w:t xml:space="preserve"> </w:t>
            </w:r>
            <w:r w:rsidRPr="00222B4D">
              <w:rPr>
                <w:rFonts w:hint="cs"/>
                <w:rtl/>
              </w:rPr>
              <w:t>אלא</w:t>
            </w:r>
            <w:r w:rsidRPr="00222B4D">
              <w:rPr>
                <w:rFonts w:hint="cs"/>
                <w:szCs w:val="24"/>
                <w:rtl/>
              </w:rPr>
              <w:t xml:space="preserve"> </w:t>
            </w:r>
            <w:r w:rsidRPr="00222B4D">
              <w:rPr>
                <w:rFonts w:hint="cs"/>
                <w:rtl/>
              </w:rPr>
              <w:t>לאחר</w:t>
            </w:r>
            <w:r w:rsidRPr="00222B4D">
              <w:rPr>
                <w:rFonts w:hint="cs"/>
                <w:szCs w:val="24"/>
                <w:rtl/>
              </w:rPr>
              <w:t xml:space="preserve"> </w:t>
            </w:r>
            <w:r w:rsidRPr="00222B4D">
              <w:rPr>
                <w:rFonts w:hint="cs"/>
                <w:rtl/>
              </w:rPr>
              <w:t>ש</w:t>
            </w:r>
            <w:r>
              <w:rPr>
                <w:rFonts w:hint="cs"/>
                <w:rtl/>
              </w:rPr>
              <w:t>הסביר לחייב בתחילת הדיון את משמעות קיום הדיון בהיוועדות חזותית וכי החייב רשאי לסרב, ולאחר ש</w:t>
            </w:r>
            <w:r w:rsidRPr="00222B4D">
              <w:rPr>
                <w:rFonts w:hint="cs"/>
                <w:rtl/>
              </w:rPr>
              <w:t>החייב</w:t>
            </w:r>
            <w:r w:rsidRPr="00222B4D">
              <w:rPr>
                <w:rFonts w:hint="cs"/>
                <w:szCs w:val="24"/>
                <w:rtl/>
              </w:rPr>
              <w:t xml:space="preserve"> </w:t>
            </w:r>
            <w:r w:rsidRPr="00222B4D">
              <w:rPr>
                <w:rFonts w:hint="cs"/>
                <w:rtl/>
              </w:rPr>
              <w:t>הסכים</w:t>
            </w:r>
            <w:r w:rsidRPr="00222B4D">
              <w:rPr>
                <w:rFonts w:hint="cs"/>
                <w:szCs w:val="24"/>
                <w:rtl/>
              </w:rPr>
              <w:t xml:space="preserve">, </w:t>
            </w:r>
            <w:r w:rsidRPr="00222B4D">
              <w:rPr>
                <w:rFonts w:hint="cs"/>
                <w:rtl/>
              </w:rPr>
              <w:t>בכתב</w:t>
            </w:r>
            <w:r w:rsidRPr="00222B4D">
              <w:rPr>
                <w:rFonts w:hint="cs"/>
                <w:szCs w:val="24"/>
                <w:rtl/>
              </w:rPr>
              <w:t xml:space="preserve">, </w:t>
            </w:r>
            <w:r w:rsidRPr="00222B4D">
              <w:rPr>
                <w:rFonts w:hint="cs"/>
                <w:rtl/>
              </w:rPr>
              <w:t>לעריכת</w:t>
            </w:r>
            <w:r w:rsidRPr="00222B4D">
              <w:rPr>
                <w:rFonts w:hint="cs"/>
                <w:szCs w:val="24"/>
                <w:rtl/>
              </w:rPr>
              <w:t xml:space="preserve"> </w:t>
            </w:r>
            <w:r w:rsidRPr="00222B4D">
              <w:rPr>
                <w:rFonts w:hint="cs"/>
                <w:rtl/>
              </w:rPr>
              <w:t>הדיון</w:t>
            </w:r>
            <w:r w:rsidRPr="00222B4D">
              <w:rPr>
                <w:rFonts w:hint="cs"/>
                <w:szCs w:val="24"/>
                <w:rtl/>
              </w:rPr>
              <w:t xml:space="preserve"> </w:t>
            </w:r>
            <w:r w:rsidRPr="00222B4D">
              <w:rPr>
                <w:rFonts w:hint="cs"/>
                <w:rtl/>
              </w:rPr>
              <w:t>בדרך</w:t>
            </w:r>
            <w:r w:rsidRPr="00222B4D">
              <w:rPr>
                <w:rFonts w:hint="cs"/>
                <w:szCs w:val="24"/>
                <w:rtl/>
              </w:rPr>
              <w:t xml:space="preserve"> </w:t>
            </w:r>
            <w:r w:rsidRPr="00222B4D">
              <w:rPr>
                <w:rFonts w:hint="cs"/>
                <w:rtl/>
              </w:rPr>
              <w:t>זו</w:t>
            </w:r>
            <w:r w:rsidRPr="00222B4D">
              <w:rPr>
                <w:rFonts w:hint="cs"/>
                <w:szCs w:val="24"/>
                <w:rtl/>
              </w:rPr>
              <w:t xml:space="preserve">, </w:t>
            </w:r>
            <w:r w:rsidRPr="00222B4D">
              <w:rPr>
                <w:rFonts w:hint="cs"/>
                <w:rtl/>
              </w:rPr>
              <w:t>והרשם</w:t>
            </w:r>
            <w:r w:rsidRPr="00222B4D">
              <w:rPr>
                <w:rFonts w:hint="cs"/>
                <w:szCs w:val="24"/>
                <w:rtl/>
              </w:rPr>
              <w:t xml:space="preserve"> </w:t>
            </w:r>
            <w:r w:rsidRPr="00222B4D">
              <w:rPr>
                <w:rFonts w:hint="cs"/>
                <w:rtl/>
              </w:rPr>
              <w:t>שוכנע</w:t>
            </w:r>
            <w:r w:rsidRPr="00222B4D">
              <w:rPr>
                <w:rFonts w:hint="cs"/>
                <w:szCs w:val="24"/>
                <w:rtl/>
              </w:rPr>
              <w:t xml:space="preserve"> </w:t>
            </w:r>
            <w:r w:rsidRPr="00222B4D">
              <w:rPr>
                <w:rFonts w:hint="cs"/>
                <w:rtl/>
              </w:rPr>
              <w:t>כי</w:t>
            </w:r>
            <w:r w:rsidRPr="00222B4D">
              <w:rPr>
                <w:rFonts w:hint="cs"/>
                <w:szCs w:val="24"/>
                <w:rtl/>
              </w:rPr>
              <w:t xml:space="preserve"> </w:t>
            </w:r>
            <w:r w:rsidRPr="00222B4D">
              <w:rPr>
                <w:rFonts w:hint="cs"/>
                <w:rtl/>
              </w:rPr>
              <w:t>החייב</w:t>
            </w:r>
            <w:r w:rsidRPr="00222B4D">
              <w:rPr>
                <w:rFonts w:hint="cs"/>
                <w:szCs w:val="24"/>
                <w:rtl/>
              </w:rPr>
              <w:t xml:space="preserve"> </w:t>
            </w:r>
            <w:r w:rsidRPr="00222B4D">
              <w:rPr>
                <w:rFonts w:hint="cs"/>
                <w:rtl/>
              </w:rPr>
              <w:t>מבין</w:t>
            </w:r>
            <w:r w:rsidRPr="00222B4D">
              <w:rPr>
                <w:rFonts w:hint="cs"/>
                <w:szCs w:val="24"/>
                <w:rtl/>
              </w:rPr>
              <w:t xml:space="preserve"> </w:t>
            </w:r>
            <w:r w:rsidRPr="00222B4D">
              <w:rPr>
                <w:rFonts w:hint="cs"/>
                <w:rtl/>
              </w:rPr>
              <w:t>את</w:t>
            </w:r>
            <w:r w:rsidRPr="00222B4D">
              <w:rPr>
                <w:rFonts w:hint="cs"/>
                <w:szCs w:val="24"/>
                <w:rtl/>
              </w:rPr>
              <w:t xml:space="preserve"> </w:t>
            </w:r>
            <w:r w:rsidRPr="00222B4D">
              <w:rPr>
                <w:rFonts w:hint="cs"/>
                <w:rtl/>
              </w:rPr>
              <w:t>משמעות</w:t>
            </w:r>
            <w:r w:rsidRPr="00222B4D">
              <w:rPr>
                <w:rFonts w:hint="cs"/>
                <w:szCs w:val="24"/>
                <w:rtl/>
              </w:rPr>
              <w:t xml:space="preserve"> </w:t>
            </w:r>
            <w:r w:rsidRPr="00222B4D">
              <w:rPr>
                <w:rFonts w:hint="cs"/>
                <w:rtl/>
              </w:rPr>
              <w:t>הסכמתו</w:t>
            </w:r>
            <w:r w:rsidRPr="00222B4D">
              <w:rPr>
                <w:rFonts w:hint="cs"/>
                <w:szCs w:val="24"/>
                <w:rtl/>
              </w:rPr>
              <w:t>.</w:t>
            </w:r>
          </w:p>
        </w:tc>
      </w:tr>
      <w:tr w:rsidR="0060229C" w:rsidRPr="00222B4D" w14:paraId="05D46940" w14:textId="77777777" w:rsidTr="0060229C">
        <w:trPr>
          <w:cantSplit/>
        </w:trPr>
        <w:tc>
          <w:tcPr>
            <w:tcW w:w="1870" w:type="dxa"/>
            <w:tcMar>
              <w:top w:w="91" w:type="dxa"/>
              <w:left w:w="0" w:type="dxa"/>
              <w:bottom w:w="91" w:type="dxa"/>
              <w:right w:w="0" w:type="dxa"/>
            </w:tcMar>
          </w:tcPr>
          <w:p w14:paraId="7FFCC806" w14:textId="77777777" w:rsidR="0060229C" w:rsidRPr="00222B4D" w:rsidRDefault="0060229C" w:rsidP="0060229C">
            <w:pPr>
              <w:pStyle w:val="TableSideHeading"/>
              <w:spacing w:before="0"/>
            </w:pPr>
          </w:p>
        </w:tc>
        <w:tc>
          <w:tcPr>
            <w:tcW w:w="624" w:type="dxa"/>
            <w:tcMar>
              <w:top w:w="91" w:type="dxa"/>
              <w:left w:w="0" w:type="dxa"/>
              <w:bottom w:w="91" w:type="dxa"/>
              <w:right w:w="0" w:type="dxa"/>
            </w:tcMar>
          </w:tcPr>
          <w:p w14:paraId="1F9297E6"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55DA26FF"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2D16F9AD"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6575310B"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5BE772F9" w14:textId="77777777" w:rsidR="0060229C" w:rsidRPr="00222B4D" w:rsidRDefault="0060229C" w:rsidP="0060229C">
            <w:pPr>
              <w:pStyle w:val="TableText"/>
              <w:spacing w:before="0"/>
            </w:pPr>
          </w:p>
        </w:tc>
        <w:tc>
          <w:tcPr>
            <w:tcW w:w="4649" w:type="dxa"/>
            <w:tcMar>
              <w:top w:w="91" w:type="dxa"/>
              <w:left w:w="0" w:type="dxa"/>
              <w:bottom w:w="91" w:type="dxa"/>
              <w:right w:w="0" w:type="dxa"/>
            </w:tcMar>
            <w:hideMark/>
          </w:tcPr>
          <w:p w14:paraId="59329D96" w14:textId="77777777" w:rsidR="0060229C" w:rsidRPr="00A242C9" w:rsidRDefault="0060229C" w:rsidP="0060229C">
            <w:pPr>
              <w:pStyle w:val="TableBlock"/>
              <w:spacing w:before="0"/>
            </w:pPr>
            <w:r w:rsidRPr="00A242C9">
              <w:rPr>
                <w:rFonts w:hint="cs"/>
                <w:rtl/>
              </w:rPr>
              <w:t>(ב)</w:t>
            </w:r>
            <w:r w:rsidRPr="00A242C9">
              <w:rPr>
                <w:rFonts w:hint="cs"/>
                <w:rtl/>
              </w:rPr>
              <w:tab/>
              <w:t xml:space="preserve">הסכים חייב שנעצר על פי צו הבאה או שנאסר, לקיום דיון באמצעות היוועדות חזותית כאמור בסעיף קטן (א), והתקיים הדיון כאמור, יראוהו, לעניין מניין התקופה הקבועה בסעיפים 69יב(ג), 70(ד) או 74(ד), לפי העניין, כאילו הובא לפני רשם ההוצאה לפועל; לא הסכים החייב לקיום הדיון באמצעות היוועדות חזותית, יובא החייב לפני רשם </w:t>
            </w:r>
            <w:r>
              <w:rPr>
                <w:rFonts w:hint="cs"/>
                <w:rtl/>
              </w:rPr>
              <w:t>ה</w:t>
            </w:r>
            <w:r w:rsidRPr="00A242C9">
              <w:rPr>
                <w:rFonts w:hint="cs"/>
                <w:rtl/>
              </w:rPr>
              <w:t>הוצאה לפועל, בתוך התקופה האמורה.</w:t>
            </w:r>
          </w:p>
        </w:tc>
      </w:tr>
      <w:tr w:rsidR="0060229C" w:rsidRPr="00222B4D" w14:paraId="62B7F7FE" w14:textId="77777777" w:rsidTr="0060229C">
        <w:trPr>
          <w:cantSplit/>
        </w:trPr>
        <w:tc>
          <w:tcPr>
            <w:tcW w:w="1870" w:type="dxa"/>
            <w:tcMar>
              <w:top w:w="91" w:type="dxa"/>
              <w:left w:w="0" w:type="dxa"/>
              <w:bottom w:w="91" w:type="dxa"/>
              <w:right w:w="0" w:type="dxa"/>
            </w:tcMar>
          </w:tcPr>
          <w:p w14:paraId="40D662FD" w14:textId="77777777" w:rsidR="0060229C" w:rsidRPr="00222B4D" w:rsidRDefault="0060229C" w:rsidP="0060229C">
            <w:pPr>
              <w:pStyle w:val="TableSideHeading"/>
              <w:spacing w:before="0"/>
            </w:pPr>
          </w:p>
        </w:tc>
        <w:tc>
          <w:tcPr>
            <w:tcW w:w="624" w:type="dxa"/>
            <w:tcMar>
              <w:top w:w="91" w:type="dxa"/>
              <w:left w:w="0" w:type="dxa"/>
              <w:bottom w:w="91" w:type="dxa"/>
              <w:right w:w="0" w:type="dxa"/>
            </w:tcMar>
          </w:tcPr>
          <w:p w14:paraId="7BA05A39" w14:textId="77777777" w:rsidR="0060229C" w:rsidRPr="00222B4D" w:rsidRDefault="0060229C" w:rsidP="0060229C">
            <w:pPr>
              <w:pStyle w:val="TableText"/>
              <w:spacing w:before="0"/>
            </w:pPr>
          </w:p>
        </w:tc>
        <w:tc>
          <w:tcPr>
            <w:tcW w:w="1872" w:type="dxa"/>
            <w:gridSpan w:val="3"/>
            <w:tcMar>
              <w:top w:w="91" w:type="dxa"/>
              <w:left w:w="0" w:type="dxa"/>
              <w:bottom w:w="91" w:type="dxa"/>
              <w:right w:w="0" w:type="dxa"/>
            </w:tcMar>
            <w:hideMark/>
          </w:tcPr>
          <w:p w14:paraId="51B24680" w14:textId="77777777" w:rsidR="0060229C" w:rsidRPr="00222B4D" w:rsidRDefault="0060229C" w:rsidP="0060229C">
            <w:pPr>
              <w:pStyle w:val="TableInnerSideHeading"/>
              <w:spacing w:before="0"/>
              <w:jc w:val="left"/>
              <w:rPr>
                <w:szCs w:val="24"/>
              </w:rPr>
            </w:pPr>
            <w:r w:rsidRPr="00222B4D">
              <w:rPr>
                <w:rFonts w:hint="cs"/>
                <w:rtl/>
              </w:rPr>
              <w:t>אופן</w:t>
            </w:r>
            <w:r w:rsidRPr="00222B4D">
              <w:rPr>
                <w:rFonts w:hint="cs"/>
                <w:szCs w:val="24"/>
                <w:rtl/>
              </w:rPr>
              <w:t xml:space="preserve"> </w:t>
            </w:r>
            <w:r w:rsidRPr="00222B4D">
              <w:rPr>
                <w:rFonts w:hint="cs"/>
                <w:rtl/>
              </w:rPr>
              <w:t>עריכת</w:t>
            </w:r>
            <w:r w:rsidRPr="00222B4D">
              <w:rPr>
                <w:rFonts w:hint="cs"/>
                <w:szCs w:val="24"/>
                <w:rtl/>
              </w:rPr>
              <w:t xml:space="preserve"> </w:t>
            </w:r>
            <w:r w:rsidRPr="00222B4D">
              <w:rPr>
                <w:rFonts w:hint="cs"/>
                <w:rtl/>
              </w:rPr>
              <w:t>היוועדות</w:t>
            </w:r>
            <w:r w:rsidRPr="00222B4D">
              <w:rPr>
                <w:rFonts w:hint="cs"/>
                <w:szCs w:val="24"/>
                <w:rtl/>
              </w:rPr>
              <w:t xml:space="preserve"> </w:t>
            </w:r>
            <w:r w:rsidRPr="00222B4D">
              <w:rPr>
                <w:rFonts w:hint="cs"/>
                <w:rtl/>
              </w:rPr>
              <w:t>חזותית</w:t>
            </w:r>
          </w:p>
        </w:tc>
        <w:tc>
          <w:tcPr>
            <w:tcW w:w="624" w:type="dxa"/>
            <w:tcMar>
              <w:top w:w="91" w:type="dxa"/>
              <w:left w:w="0" w:type="dxa"/>
              <w:bottom w:w="91" w:type="dxa"/>
              <w:right w:w="0" w:type="dxa"/>
            </w:tcMar>
            <w:hideMark/>
          </w:tcPr>
          <w:p w14:paraId="3F4777D7" w14:textId="77777777" w:rsidR="0060229C" w:rsidRPr="00222B4D" w:rsidRDefault="0060229C" w:rsidP="0060229C">
            <w:pPr>
              <w:pStyle w:val="TableText"/>
              <w:spacing w:before="0"/>
            </w:pPr>
            <w:r w:rsidRPr="00222B4D">
              <w:rPr>
                <w:rFonts w:hint="cs"/>
                <w:rtl/>
              </w:rPr>
              <w:t>74כו.</w:t>
            </w:r>
          </w:p>
        </w:tc>
        <w:tc>
          <w:tcPr>
            <w:tcW w:w="4649" w:type="dxa"/>
            <w:tcMar>
              <w:top w:w="91" w:type="dxa"/>
              <w:left w:w="0" w:type="dxa"/>
              <w:bottom w:w="91" w:type="dxa"/>
              <w:right w:w="0" w:type="dxa"/>
            </w:tcMar>
            <w:hideMark/>
          </w:tcPr>
          <w:p w14:paraId="33CD36B1" w14:textId="77777777" w:rsidR="0060229C" w:rsidRPr="00A242C9" w:rsidRDefault="0060229C" w:rsidP="0060229C">
            <w:pPr>
              <w:pStyle w:val="TableBlock"/>
              <w:spacing w:before="0"/>
            </w:pPr>
            <w:r w:rsidRPr="00A242C9">
              <w:rPr>
                <w:rFonts w:hint="cs"/>
                <w:rtl/>
              </w:rPr>
              <w:t>(א)</w:t>
            </w:r>
            <w:r w:rsidRPr="00A242C9">
              <w:rPr>
                <w:rFonts w:hint="cs"/>
                <w:rtl/>
              </w:rPr>
              <w:tab/>
              <w:t xml:space="preserve">דיון באמצעות היוועדות חזותית יתקיים בלשכות </w:t>
            </w:r>
            <w:r>
              <w:rPr>
                <w:rFonts w:hint="cs"/>
                <w:rtl/>
              </w:rPr>
              <w:t>ה</w:t>
            </w:r>
            <w:r w:rsidRPr="00A242C9">
              <w:rPr>
                <w:rFonts w:hint="cs"/>
                <w:rtl/>
              </w:rPr>
              <w:t>הוצאה לפועל שיקבע מנהל מערכת ההוצאה לפועל; רשימת הלשכות שנקבעו כאמור תפורסם ברשומות.</w:t>
            </w:r>
          </w:p>
        </w:tc>
      </w:tr>
      <w:tr w:rsidR="0060229C" w:rsidRPr="00222B4D" w14:paraId="2AF25DA5" w14:textId="77777777" w:rsidTr="0060229C">
        <w:trPr>
          <w:cantSplit/>
        </w:trPr>
        <w:tc>
          <w:tcPr>
            <w:tcW w:w="1870" w:type="dxa"/>
            <w:tcMar>
              <w:top w:w="91" w:type="dxa"/>
              <w:left w:w="0" w:type="dxa"/>
              <w:bottom w:w="91" w:type="dxa"/>
              <w:right w:w="0" w:type="dxa"/>
            </w:tcMar>
          </w:tcPr>
          <w:p w14:paraId="46B1C75B" w14:textId="77777777" w:rsidR="0060229C" w:rsidRPr="00222B4D" w:rsidRDefault="0060229C" w:rsidP="0060229C">
            <w:pPr>
              <w:pStyle w:val="TableSideHeading"/>
              <w:spacing w:before="0"/>
            </w:pPr>
          </w:p>
        </w:tc>
        <w:tc>
          <w:tcPr>
            <w:tcW w:w="624" w:type="dxa"/>
            <w:tcMar>
              <w:top w:w="91" w:type="dxa"/>
              <w:left w:w="0" w:type="dxa"/>
              <w:bottom w:w="91" w:type="dxa"/>
              <w:right w:w="0" w:type="dxa"/>
            </w:tcMar>
          </w:tcPr>
          <w:p w14:paraId="2D39C01B"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1B8BA1AE"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56C649D4"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100B3E02"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1A568D19" w14:textId="77777777" w:rsidR="0060229C" w:rsidRPr="00222B4D" w:rsidRDefault="0060229C" w:rsidP="0060229C">
            <w:pPr>
              <w:pStyle w:val="TableText"/>
              <w:spacing w:before="0"/>
            </w:pPr>
          </w:p>
        </w:tc>
        <w:tc>
          <w:tcPr>
            <w:tcW w:w="4649" w:type="dxa"/>
            <w:tcMar>
              <w:top w:w="91" w:type="dxa"/>
              <w:left w:w="0" w:type="dxa"/>
              <w:bottom w:w="91" w:type="dxa"/>
              <w:right w:w="0" w:type="dxa"/>
            </w:tcMar>
            <w:hideMark/>
          </w:tcPr>
          <w:p w14:paraId="056FBEAB" w14:textId="77777777" w:rsidR="0060229C" w:rsidRPr="00A242C9" w:rsidRDefault="0060229C" w:rsidP="0060229C">
            <w:pPr>
              <w:pStyle w:val="TableBlock"/>
              <w:spacing w:before="0"/>
            </w:pPr>
            <w:r w:rsidRPr="00A242C9">
              <w:rPr>
                <w:rFonts w:hint="cs"/>
                <w:rtl/>
              </w:rPr>
              <w:t>(ב)</w:t>
            </w:r>
            <w:r w:rsidRPr="00A242C9">
              <w:rPr>
                <w:rFonts w:hint="cs"/>
                <w:rtl/>
              </w:rPr>
              <w:tab/>
              <w:t>החייב שעניינו נדון באמצעות היוועדות חזותית, יוכל, בלשכת ההוצאה לפועל שבה הוא נמצא, לראות באמצעות מסך ולשמוע את הנעשה במהלך הדיון בלשכת ההוצאה לפועל שבה נמצא רשם ההוצאה לפועל.</w:t>
            </w:r>
          </w:p>
        </w:tc>
      </w:tr>
      <w:tr w:rsidR="0060229C" w:rsidRPr="00222B4D" w14:paraId="3CD7AEBB" w14:textId="77777777" w:rsidTr="0060229C">
        <w:trPr>
          <w:cantSplit/>
        </w:trPr>
        <w:tc>
          <w:tcPr>
            <w:tcW w:w="1870" w:type="dxa"/>
            <w:tcMar>
              <w:top w:w="91" w:type="dxa"/>
              <w:left w:w="0" w:type="dxa"/>
              <w:bottom w:w="91" w:type="dxa"/>
              <w:right w:w="0" w:type="dxa"/>
            </w:tcMar>
          </w:tcPr>
          <w:p w14:paraId="2EFF4D46" w14:textId="77777777" w:rsidR="0060229C" w:rsidRPr="00222B4D" w:rsidRDefault="0060229C" w:rsidP="0060229C">
            <w:pPr>
              <w:pStyle w:val="TableSideHeading"/>
              <w:spacing w:before="0"/>
            </w:pPr>
          </w:p>
        </w:tc>
        <w:tc>
          <w:tcPr>
            <w:tcW w:w="624" w:type="dxa"/>
            <w:tcMar>
              <w:top w:w="91" w:type="dxa"/>
              <w:left w:w="0" w:type="dxa"/>
              <w:bottom w:w="91" w:type="dxa"/>
              <w:right w:w="0" w:type="dxa"/>
            </w:tcMar>
          </w:tcPr>
          <w:p w14:paraId="1344311A"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3A1C6E8A"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6FC97188"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1E156099"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3527A087" w14:textId="77777777" w:rsidR="0060229C" w:rsidRPr="00222B4D" w:rsidRDefault="0060229C" w:rsidP="0060229C">
            <w:pPr>
              <w:pStyle w:val="TableText"/>
              <w:spacing w:before="0"/>
            </w:pPr>
          </w:p>
        </w:tc>
        <w:tc>
          <w:tcPr>
            <w:tcW w:w="4649" w:type="dxa"/>
            <w:tcMar>
              <w:top w:w="91" w:type="dxa"/>
              <w:left w:w="0" w:type="dxa"/>
              <w:bottom w:w="91" w:type="dxa"/>
              <w:right w:w="0" w:type="dxa"/>
            </w:tcMar>
            <w:hideMark/>
          </w:tcPr>
          <w:p w14:paraId="4C4637CE" w14:textId="77777777" w:rsidR="0060229C" w:rsidRPr="00A242C9" w:rsidRDefault="0060229C" w:rsidP="0060229C">
            <w:pPr>
              <w:pStyle w:val="TableBlock"/>
              <w:spacing w:before="0"/>
            </w:pPr>
            <w:r w:rsidRPr="00A242C9">
              <w:rPr>
                <w:rFonts w:hint="cs"/>
                <w:rtl/>
              </w:rPr>
              <w:t>(ג)</w:t>
            </w:r>
            <w:r w:rsidRPr="00A242C9">
              <w:rPr>
                <w:rFonts w:hint="cs"/>
                <w:rtl/>
              </w:rPr>
              <w:tab/>
              <w:t>רשם ההוצאה לפועל יראה וישמע את החייב וסביבתו במהלך הדיון.</w:t>
            </w:r>
          </w:p>
        </w:tc>
      </w:tr>
      <w:tr w:rsidR="0060229C" w:rsidRPr="00222B4D" w14:paraId="53815D70" w14:textId="77777777" w:rsidTr="0060229C">
        <w:trPr>
          <w:cantSplit/>
        </w:trPr>
        <w:tc>
          <w:tcPr>
            <w:tcW w:w="1870" w:type="dxa"/>
            <w:tcMar>
              <w:top w:w="91" w:type="dxa"/>
              <w:left w:w="0" w:type="dxa"/>
              <w:bottom w:w="91" w:type="dxa"/>
              <w:right w:w="0" w:type="dxa"/>
            </w:tcMar>
          </w:tcPr>
          <w:p w14:paraId="39570E0E" w14:textId="77777777" w:rsidR="0060229C" w:rsidRPr="00222B4D" w:rsidRDefault="0060229C" w:rsidP="0060229C">
            <w:pPr>
              <w:pStyle w:val="TableSideHeading"/>
              <w:spacing w:before="0"/>
            </w:pPr>
          </w:p>
        </w:tc>
        <w:tc>
          <w:tcPr>
            <w:tcW w:w="624" w:type="dxa"/>
            <w:tcMar>
              <w:top w:w="91" w:type="dxa"/>
              <w:left w:w="0" w:type="dxa"/>
              <w:bottom w:w="91" w:type="dxa"/>
              <w:right w:w="0" w:type="dxa"/>
            </w:tcMar>
          </w:tcPr>
          <w:p w14:paraId="5BC30BEC"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64AD3898"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64611395"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7B391856"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586799F2" w14:textId="77777777" w:rsidR="0060229C" w:rsidRPr="00222B4D" w:rsidRDefault="0060229C" w:rsidP="0060229C">
            <w:pPr>
              <w:pStyle w:val="TableText"/>
              <w:spacing w:before="0"/>
            </w:pPr>
          </w:p>
        </w:tc>
        <w:tc>
          <w:tcPr>
            <w:tcW w:w="4649" w:type="dxa"/>
            <w:tcMar>
              <w:top w:w="91" w:type="dxa"/>
              <w:left w:w="0" w:type="dxa"/>
              <w:bottom w:w="91" w:type="dxa"/>
              <w:right w:w="0" w:type="dxa"/>
            </w:tcMar>
            <w:hideMark/>
          </w:tcPr>
          <w:p w14:paraId="1989B8C0" w14:textId="77777777" w:rsidR="0060229C" w:rsidRPr="00A242C9" w:rsidRDefault="0060229C" w:rsidP="0060229C">
            <w:pPr>
              <w:pStyle w:val="TableBlock"/>
              <w:spacing w:before="0"/>
            </w:pPr>
            <w:r w:rsidRPr="00A242C9">
              <w:rPr>
                <w:rFonts w:hint="cs"/>
                <w:rtl/>
              </w:rPr>
              <w:t>(ד)</w:t>
            </w:r>
            <w:r w:rsidRPr="00A242C9">
              <w:rPr>
                <w:rFonts w:hint="cs"/>
                <w:rtl/>
              </w:rPr>
              <w:tab/>
            </w:r>
            <w:r>
              <w:rPr>
                <w:rFonts w:hint="cs"/>
                <w:rtl/>
              </w:rPr>
              <w:t>נכחו</w:t>
            </w:r>
            <w:r w:rsidRPr="00A242C9">
              <w:rPr>
                <w:rFonts w:hint="cs"/>
                <w:rtl/>
              </w:rPr>
              <w:t xml:space="preserve"> בא כוח החייב, בא כוח הזוכה או הזוכה בלשכת ההוצאה לפועל שבה נמצא החייב או בלשכת ההוצאה לפועל שבה נמצא רשם ההוצאה לפועל, יחולו לגביהם הוראות סעיפים קטנים (ב) או (ג), לפי העניין.</w:t>
            </w:r>
          </w:p>
        </w:tc>
      </w:tr>
      <w:tr w:rsidR="0060229C" w:rsidRPr="00222B4D" w14:paraId="55381AF2" w14:textId="77777777" w:rsidTr="0060229C">
        <w:trPr>
          <w:cantSplit/>
        </w:trPr>
        <w:tc>
          <w:tcPr>
            <w:tcW w:w="1870" w:type="dxa"/>
            <w:tcMar>
              <w:top w:w="91" w:type="dxa"/>
              <w:left w:w="0" w:type="dxa"/>
              <w:bottom w:w="91" w:type="dxa"/>
              <w:right w:w="0" w:type="dxa"/>
            </w:tcMar>
          </w:tcPr>
          <w:p w14:paraId="24EA7AAA" w14:textId="77777777" w:rsidR="0060229C" w:rsidRPr="00222B4D" w:rsidRDefault="0060229C" w:rsidP="0060229C">
            <w:pPr>
              <w:pStyle w:val="TableSideHeading"/>
              <w:spacing w:before="0"/>
            </w:pPr>
          </w:p>
        </w:tc>
        <w:tc>
          <w:tcPr>
            <w:tcW w:w="624" w:type="dxa"/>
            <w:tcMar>
              <w:top w:w="91" w:type="dxa"/>
              <w:left w:w="0" w:type="dxa"/>
              <w:bottom w:w="91" w:type="dxa"/>
              <w:right w:w="0" w:type="dxa"/>
            </w:tcMar>
          </w:tcPr>
          <w:p w14:paraId="52709197"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438E32C9"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413F1632"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2C435974" w14:textId="77777777" w:rsidR="0060229C" w:rsidRPr="00222B4D" w:rsidRDefault="0060229C" w:rsidP="0060229C">
            <w:pPr>
              <w:pStyle w:val="TableText"/>
              <w:spacing w:before="0"/>
            </w:pPr>
          </w:p>
        </w:tc>
        <w:tc>
          <w:tcPr>
            <w:tcW w:w="624" w:type="dxa"/>
            <w:tcMar>
              <w:top w:w="91" w:type="dxa"/>
              <w:left w:w="0" w:type="dxa"/>
              <w:bottom w:w="91" w:type="dxa"/>
              <w:right w:w="0" w:type="dxa"/>
            </w:tcMar>
          </w:tcPr>
          <w:p w14:paraId="2ECB7016" w14:textId="77777777" w:rsidR="0060229C" w:rsidRPr="00222B4D" w:rsidRDefault="0060229C" w:rsidP="0060229C">
            <w:pPr>
              <w:pStyle w:val="TableText"/>
              <w:spacing w:before="0"/>
            </w:pPr>
          </w:p>
        </w:tc>
        <w:tc>
          <w:tcPr>
            <w:tcW w:w="4649" w:type="dxa"/>
            <w:tcMar>
              <w:top w:w="91" w:type="dxa"/>
              <w:left w:w="0" w:type="dxa"/>
              <w:bottom w:w="91" w:type="dxa"/>
              <w:right w:w="0" w:type="dxa"/>
            </w:tcMar>
          </w:tcPr>
          <w:p w14:paraId="7CFA6360" w14:textId="01CF4901" w:rsidR="0060229C" w:rsidRDefault="0060229C" w:rsidP="0060229C">
            <w:pPr>
              <w:pStyle w:val="TableBlock"/>
              <w:spacing w:before="0"/>
              <w:rPr>
                <w:rtl/>
              </w:rPr>
            </w:pPr>
            <w:r>
              <w:rPr>
                <w:rFonts w:hint="cs"/>
                <w:rtl/>
              </w:rPr>
              <w:t>(ה)</w:t>
            </w:r>
            <w:r>
              <w:rPr>
                <w:rtl/>
              </w:rPr>
              <w:tab/>
            </w:r>
            <w:r>
              <w:rPr>
                <w:rFonts w:hint="cs"/>
                <w:rtl/>
              </w:rPr>
              <w:t>היה החייב מיוצג, יתאפשר לו לקיים שיחה חסויה עם בא כוחו, לפני הדיון ובמהלכו.</w:t>
            </w:r>
          </w:p>
          <w:p w14:paraId="4D97D7A1" w14:textId="1AE276F5" w:rsidR="0060229C" w:rsidRPr="00A242C9" w:rsidRDefault="0060229C" w:rsidP="0060229C">
            <w:pPr>
              <w:pStyle w:val="TableBlock"/>
              <w:spacing w:before="0"/>
              <w:rPr>
                <w:rtl/>
              </w:rPr>
            </w:pPr>
          </w:p>
        </w:tc>
      </w:tr>
      <w:tr w:rsidR="0060229C" w14:paraId="26CC2155" w14:textId="77777777" w:rsidTr="0060229C">
        <w:tblPrEx>
          <w:tblLook w:val="01E0" w:firstRow="1" w:lastRow="1" w:firstColumn="1" w:lastColumn="1" w:noHBand="0" w:noVBand="0"/>
        </w:tblPrEx>
        <w:trPr>
          <w:cantSplit/>
          <w:trHeight w:val="60"/>
        </w:trPr>
        <w:tc>
          <w:tcPr>
            <w:tcW w:w="1870" w:type="dxa"/>
          </w:tcPr>
          <w:p w14:paraId="646E9F7C" w14:textId="77777777" w:rsidR="0060229C" w:rsidRDefault="0060229C" w:rsidP="0060229C">
            <w:pPr>
              <w:pStyle w:val="TableSideHeading"/>
              <w:keepLines w:val="0"/>
              <w:spacing w:before="0"/>
            </w:pPr>
          </w:p>
        </w:tc>
        <w:tc>
          <w:tcPr>
            <w:tcW w:w="624" w:type="dxa"/>
          </w:tcPr>
          <w:p w14:paraId="02E955A1" w14:textId="77777777" w:rsidR="0060229C" w:rsidRDefault="0060229C" w:rsidP="0060229C">
            <w:pPr>
              <w:pStyle w:val="TableText"/>
              <w:keepLines w:val="0"/>
              <w:spacing w:before="0"/>
            </w:pPr>
          </w:p>
        </w:tc>
        <w:tc>
          <w:tcPr>
            <w:tcW w:w="1872" w:type="dxa"/>
            <w:gridSpan w:val="3"/>
          </w:tcPr>
          <w:p w14:paraId="4C86C573" w14:textId="77777777" w:rsidR="0060229C" w:rsidRDefault="0060229C" w:rsidP="0060229C">
            <w:pPr>
              <w:pStyle w:val="TableInnerSideHeading"/>
              <w:spacing w:before="0"/>
            </w:pPr>
            <w:r>
              <w:rPr>
                <w:rFonts w:hint="cs"/>
                <w:rtl/>
              </w:rPr>
              <w:t>תוקף</w:t>
            </w:r>
          </w:p>
        </w:tc>
        <w:tc>
          <w:tcPr>
            <w:tcW w:w="624" w:type="dxa"/>
          </w:tcPr>
          <w:p w14:paraId="69519CF3" w14:textId="77777777" w:rsidR="0060229C" w:rsidRDefault="0060229C" w:rsidP="0060229C">
            <w:pPr>
              <w:pStyle w:val="TableText"/>
              <w:spacing w:before="0"/>
            </w:pPr>
            <w:r>
              <w:rPr>
                <w:rFonts w:hint="cs"/>
                <w:rtl/>
              </w:rPr>
              <w:t>74כז.</w:t>
            </w:r>
          </w:p>
        </w:tc>
        <w:tc>
          <w:tcPr>
            <w:tcW w:w="4649" w:type="dxa"/>
          </w:tcPr>
          <w:p w14:paraId="7AFF14C1" w14:textId="77777777" w:rsidR="0060229C" w:rsidRDefault="0060229C" w:rsidP="0060229C">
            <w:pPr>
              <w:pStyle w:val="TableBlock"/>
              <w:spacing w:before="0"/>
            </w:pPr>
            <w:r>
              <w:rPr>
                <w:rFonts w:hint="cs"/>
                <w:rtl/>
              </w:rPr>
              <w:t xml:space="preserve">הוראות פרק ז'5 יעמדו בתוקפן עד תום שנתיים מיום תחילתו של חוק </w:t>
            </w:r>
            <w:r w:rsidRPr="00213E70">
              <w:rPr>
                <w:rFonts w:hint="cs"/>
                <w:rtl/>
              </w:rPr>
              <w:t xml:space="preserve">ההוצאה לפועל (תיקון מס' 48 </w:t>
            </w:r>
            <w:r w:rsidRPr="00213E70">
              <w:rPr>
                <w:rtl/>
              </w:rPr>
              <w:t>–</w:t>
            </w:r>
            <w:r w:rsidRPr="00213E70">
              <w:rPr>
                <w:rFonts w:hint="cs"/>
                <w:rtl/>
              </w:rPr>
              <w:t xml:space="preserve"> הוראת שעה), התשע"ו</w:t>
            </w:r>
            <w:r>
              <w:rPr>
                <w:rFonts w:hint="eastAsia"/>
                <w:rtl/>
              </w:rPr>
              <w:t>–</w:t>
            </w:r>
            <w:r w:rsidRPr="00213E70">
              <w:rPr>
                <w:rFonts w:hint="cs"/>
                <w:rtl/>
              </w:rPr>
              <w:t>2015."</w:t>
            </w:r>
          </w:p>
        </w:tc>
      </w:tr>
    </w:tbl>
    <w:p w14:paraId="11F1CEAE" w14:textId="77777777" w:rsidR="008525E2" w:rsidRDefault="008525E2" w:rsidP="008525E2">
      <w:pPr>
        <w:pStyle w:val="Noparagraphstyle"/>
        <w:rPr>
          <w:sz w:val="26"/>
          <w:rtl/>
        </w:rPr>
      </w:pPr>
    </w:p>
    <w:p w14:paraId="6B316470" w14:textId="48E52579" w:rsidR="0060229C" w:rsidRDefault="0060229C" w:rsidP="008525E2">
      <w:pPr>
        <w:pStyle w:val="Noparagraphstyle"/>
        <w:rPr>
          <w:sz w:val="26"/>
          <w:rtl/>
        </w:rPr>
      </w:pPr>
    </w:p>
    <w:p w14:paraId="1E47F094" w14:textId="77777777" w:rsidR="0060229C" w:rsidRDefault="0060229C" w:rsidP="008525E2">
      <w:pPr>
        <w:pStyle w:val="Noparagraphstyle"/>
        <w:rPr>
          <w:sz w:val="26"/>
          <w:rtl/>
        </w:rPr>
      </w:pPr>
    </w:p>
    <w:p w14:paraId="61AA79F1" w14:textId="77777777" w:rsidR="0060229C" w:rsidRDefault="0060229C" w:rsidP="008525E2">
      <w:pPr>
        <w:pStyle w:val="Noparagraphstyle"/>
        <w:rPr>
          <w:sz w:val="26"/>
          <w:rtl/>
        </w:rPr>
      </w:pPr>
    </w:p>
    <w:p w14:paraId="14303850" w14:textId="77777777" w:rsidR="0060229C" w:rsidRPr="00E125CC" w:rsidRDefault="0060229C" w:rsidP="008525E2">
      <w:pPr>
        <w:pStyle w:val="Noparagraphstyle"/>
        <w:rPr>
          <w:sz w:val="26"/>
          <w:rtl/>
        </w:rPr>
      </w:pPr>
    </w:p>
    <w:tbl>
      <w:tblPr>
        <w:bidiVisual/>
        <w:tblW w:w="9639" w:type="dxa"/>
        <w:tblLook w:val="00A0" w:firstRow="1" w:lastRow="0" w:firstColumn="1" w:lastColumn="0" w:noHBand="0" w:noVBand="0"/>
      </w:tblPr>
      <w:tblGrid>
        <w:gridCol w:w="2409"/>
        <w:gridCol w:w="2410"/>
        <w:gridCol w:w="2410"/>
        <w:gridCol w:w="2410"/>
      </w:tblGrid>
      <w:tr w:rsidR="008525E2" w:rsidRPr="00D466D4" w14:paraId="11F1CEB9" w14:textId="77777777" w:rsidTr="0060229C">
        <w:tc>
          <w:tcPr>
            <w:tcW w:w="2409" w:type="dxa"/>
            <w:shd w:val="clear" w:color="auto" w:fill="auto"/>
          </w:tcPr>
          <w:p w14:paraId="11F1CEB3"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4" w14:textId="77777777" w:rsidR="008525E2" w:rsidRPr="00D466D4" w:rsidRDefault="00220CAF" w:rsidP="006F3CC7">
            <w:pPr>
              <w:spacing w:before="0" w:line="360" w:lineRule="auto"/>
              <w:ind w:firstLine="0"/>
              <w:jc w:val="center"/>
              <w:rPr>
                <w:rFonts w:cs="David"/>
                <w:sz w:val="26"/>
                <w:szCs w:val="26"/>
                <w:rtl/>
              </w:rPr>
            </w:pPr>
            <w:bookmarkStart w:id="7" w:name="PrimeMinistryName"/>
            <w:r>
              <w:rPr>
                <w:rFonts w:cs="David" w:hint="cs"/>
                <w:sz w:val="26"/>
                <w:szCs w:val="26"/>
                <w:rtl/>
              </w:rPr>
              <w:t>בנימין נתניהו</w:t>
            </w:r>
            <w:bookmarkEnd w:id="7"/>
          </w:p>
          <w:p w14:paraId="11F1CEB5"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ראש הממשלה</w:t>
            </w:r>
          </w:p>
        </w:tc>
        <w:tc>
          <w:tcPr>
            <w:tcW w:w="2410" w:type="dxa"/>
            <w:shd w:val="clear" w:color="auto" w:fill="auto"/>
          </w:tcPr>
          <w:p w14:paraId="11F1CEB6"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7" w14:textId="17414D52" w:rsidR="008525E2" w:rsidRPr="00D466D4" w:rsidRDefault="006750BF" w:rsidP="006F3CC7">
            <w:pPr>
              <w:spacing w:before="0" w:line="360" w:lineRule="auto"/>
              <w:ind w:firstLine="0"/>
              <w:jc w:val="center"/>
              <w:rPr>
                <w:rFonts w:cs="David"/>
                <w:sz w:val="26"/>
                <w:szCs w:val="26"/>
                <w:rtl/>
              </w:rPr>
            </w:pPr>
            <w:r>
              <w:rPr>
                <w:rFonts w:cs="David" w:hint="cs"/>
                <w:sz w:val="26"/>
                <w:szCs w:val="26"/>
                <w:rtl/>
              </w:rPr>
              <w:t>איילת שקד</w:t>
            </w:r>
          </w:p>
          <w:p w14:paraId="11F1CEB8" w14:textId="483DDE68" w:rsidR="008525E2" w:rsidRPr="00D466D4" w:rsidRDefault="0060229C" w:rsidP="006F3CC7">
            <w:pPr>
              <w:spacing w:before="0" w:line="360" w:lineRule="auto"/>
              <w:ind w:firstLine="0"/>
              <w:jc w:val="center"/>
              <w:rPr>
                <w:rFonts w:cs="David"/>
                <w:sz w:val="26"/>
                <w:szCs w:val="26"/>
                <w:rtl/>
              </w:rPr>
            </w:pPr>
            <w:r>
              <w:rPr>
                <w:rFonts w:cs="David" w:hint="cs"/>
                <w:sz w:val="26"/>
                <w:szCs w:val="26"/>
                <w:rtl/>
              </w:rPr>
              <w:t>שר</w:t>
            </w:r>
            <w:r w:rsidR="006750BF">
              <w:rPr>
                <w:rFonts w:cs="David" w:hint="cs"/>
                <w:sz w:val="26"/>
                <w:szCs w:val="26"/>
                <w:rtl/>
              </w:rPr>
              <w:t>ת המשפטים</w:t>
            </w:r>
          </w:p>
        </w:tc>
      </w:tr>
      <w:tr w:rsidR="008525E2" w:rsidRPr="00D466D4" w14:paraId="11F1CEC0" w14:textId="77777777" w:rsidTr="0060229C">
        <w:tc>
          <w:tcPr>
            <w:tcW w:w="2409" w:type="dxa"/>
            <w:shd w:val="clear" w:color="auto" w:fill="auto"/>
          </w:tcPr>
          <w:p w14:paraId="11F1CEBA" w14:textId="77777777" w:rsidR="008525E2" w:rsidRPr="00D466D4" w:rsidRDefault="008525E2" w:rsidP="006F3CC7">
            <w:pPr>
              <w:spacing w:before="0" w:line="360" w:lineRule="auto"/>
              <w:ind w:firstLine="0"/>
              <w:jc w:val="center"/>
              <w:rPr>
                <w:rFonts w:cs="David"/>
                <w:sz w:val="26"/>
                <w:szCs w:val="26"/>
                <w:rtl/>
              </w:rPr>
            </w:pPr>
          </w:p>
          <w:p w14:paraId="11F1CEBB"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C"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D"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E" w14:textId="77777777" w:rsidR="008525E2" w:rsidRPr="00D466D4" w:rsidRDefault="008525E2" w:rsidP="006F3CC7">
            <w:pPr>
              <w:spacing w:before="0" w:line="360" w:lineRule="auto"/>
              <w:ind w:firstLine="0"/>
              <w:jc w:val="center"/>
              <w:rPr>
                <w:rFonts w:cs="David"/>
                <w:sz w:val="26"/>
                <w:szCs w:val="26"/>
                <w:rtl/>
              </w:rPr>
            </w:pPr>
          </w:p>
          <w:p w14:paraId="11F1CEBF" w14:textId="77777777" w:rsidR="008525E2" w:rsidRPr="00D466D4" w:rsidRDefault="008525E2" w:rsidP="006F3CC7">
            <w:pPr>
              <w:spacing w:before="0" w:line="360" w:lineRule="auto"/>
              <w:ind w:firstLine="0"/>
              <w:jc w:val="center"/>
              <w:rPr>
                <w:rFonts w:cs="David"/>
                <w:sz w:val="26"/>
                <w:szCs w:val="26"/>
                <w:rtl/>
              </w:rPr>
            </w:pPr>
          </w:p>
        </w:tc>
      </w:tr>
      <w:tr w:rsidR="008525E2" w:rsidRPr="00D466D4" w14:paraId="11F1CEC7" w14:textId="77777777" w:rsidTr="0060229C">
        <w:tc>
          <w:tcPr>
            <w:tcW w:w="2409" w:type="dxa"/>
            <w:shd w:val="clear" w:color="auto" w:fill="auto"/>
          </w:tcPr>
          <w:p w14:paraId="11F1CEC1" w14:textId="77777777" w:rsidR="008525E2" w:rsidRPr="00D466D4" w:rsidRDefault="008525E2" w:rsidP="006F3CC7">
            <w:pPr>
              <w:spacing w:before="0" w:line="360" w:lineRule="auto"/>
              <w:ind w:firstLine="0"/>
              <w:jc w:val="center"/>
              <w:rPr>
                <w:rFonts w:cs="David"/>
                <w:sz w:val="26"/>
                <w:szCs w:val="26"/>
                <w:rtl/>
              </w:rPr>
            </w:pPr>
            <w:r w:rsidRPr="003710E7">
              <w:rPr>
                <w:rFonts w:cs="David" w:hint="cs"/>
                <w:sz w:val="26"/>
                <w:szCs w:val="26"/>
                <w:rtl/>
              </w:rPr>
              <w:t>ראובן ריבלין</w:t>
            </w:r>
          </w:p>
          <w:p w14:paraId="11F1CEC2"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נשיא המדינה</w:t>
            </w:r>
          </w:p>
        </w:tc>
        <w:tc>
          <w:tcPr>
            <w:tcW w:w="2410" w:type="dxa"/>
            <w:shd w:val="clear" w:color="auto" w:fill="auto"/>
          </w:tcPr>
          <w:p w14:paraId="11F1CEC3"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C4" w14:textId="77777777" w:rsidR="008525E2" w:rsidRPr="00D466D4" w:rsidRDefault="00220CAF" w:rsidP="006F3CC7">
            <w:pPr>
              <w:spacing w:before="0" w:line="360" w:lineRule="auto"/>
              <w:ind w:firstLine="0"/>
              <w:jc w:val="center"/>
              <w:rPr>
                <w:rFonts w:cs="David"/>
                <w:sz w:val="26"/>
                <w:szCs w:val="26"/>
                <w:rtl/>
              </w:rPr>
            </w:pPr>
            <w:bookmarkStart w:id="8" w:name="HeadKnessetName"/>
            <w:r>
              <w:rPr>
                <w:rFonts w:cs="David" w:hint="cs"/>
                <w:sz w:val="26"/>
                <w:szCs w:val="26"/>
                <w:rtl/>
              </w:rPr>
              <w:t>יולי יואל אדלשטיין</w:t>
            </w:r>
            <w:bookmarkEnd w:id="8"/>
          </w:p>
          <w:p w14:paraId="11F1CEC5"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יושב ראש הכנסת</w:t>
            </w:r>
          </w:p>
        </w:tc>
        <w:tc>
          <w:tcPr>
            <w:tcW w:w="2410" w:type="dxa"/>
            <w:shd w:val="clear" w:color="auto" w:fill="auto"/>
          </w:tcPr>
          <w:p w14:paraId="11F1CEC6" w14:textId="77777777" w:rsidR="008525E2" w:rsidRPr="00D466D4" w:rsidRDefault="008525E2" w:rsidP="006F3CC7">
            <w:pPr>
              <w:spacing w:before="0" w:line="360" w:lineRule="auto"/>
              <w:ind w:firstLine="0"/>
              <w:jc w:val="center"/>
              <w:rPr>
                <w:rFonts w:cs="David"/>
                <w:sz w:val="26"/>
                <w:szCs w:val="26"/>
                <w:rtl/>
              </w:rPr>
            </w:pPr>
          </w:p>
        </w:tc>
      </w:tr>
    </w:tbl>
    <w:p w14:paraId="11F1CEC8" w14:textId="77777777" w:rsidR="008525E2" w:rsidRDefault="008525E2" w:rsidP="008525E2">
      <w:pPr>
        <w:pStyle w:val="Hesber"/>
        <w:spacing w:before="0"/>
        <w:rPr>
          <w:rtl/>
        </w:rPr>
      </w:pPr>
    </w:p>
    <w:p w14:paraId="11F1CEC9" w14:textId="77777777" w:rsidR="008525E2" w:rsidRPr="00FD6E55" w:rsidRDefault="008525E2" w:rsidP="008525E2">
      <w:pPr>
        <w:rPr>
          <w:rtl/>
        </w:rPr>
      </w:pPr>
    </w:p>
    <w:p w14:paraId="11F1CECA" w14:textId="77777777" w:rsidR="002137F8" w:rsidRPr="008525E2" w:rsidRDefault="002137F8" w:rsidP="008525E2">
      <w:pPr>
        <w:rPr>
          <w:rtl/>
        </w:rPr>
      </w:pPr>
    </w:p>
    <w:sectPr w:rsidR="002137F8" w:rsidRPr="008525E2" w:rsidSect="0060229C">
      <w:headerReference w:type="even" r:id="rId13"/>
      <w:headerReference w:type="default" r:id="rId14"/>
      <w:footerReference w:type="even" r:id="rId15"/>
      <w:pgSz w:w="11906" w:h="16838"/>
      <w:pgMar w:top="1418" w:right="1134" w:bottom="2268"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CECF" w14:textId="77777777" w:rsidR="00707F31" w:rsidRDefault="00707F31" w:rsidP="00B416AF">
      <w:pPr>
        <w:pStyle w:val="HeadHatzaotHok"/>
      </w:pPr>
      <w:r>
        <w:separator/>
      </w:r>
    </w:p>
  </w:endnote>
  <w:endnote w:type="continuationSeparator" w:id="0">
    <w:p w14:paraId="11F1CED0" w14:textId="77777777" w:rsidR="00707F31" w:rsidRDefault="00707F31"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5" w14:textId="77777777" w:rsidR="002137F8" w:rsidRDefault="002137F8" w:rsidP="00B416AF">
    <w:pPr>
      <w:pStyle w:val="a7"/>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14:paraId="11F1CED6" w14:textId="77777777" w:rsidR="002137F8" w:rsidRDefault="002137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1CECD" w14:textId="77777777" w:rsidR="00707F31" w:rsidRDefault="00707F31" w:rsidP="00696C5E">
      <w:pPr>
        <w:pStyle w:val="HeadHatzaotHok"/>
        <w:spacing w:before="0"/>
        <w:ind w:firstLine="0"/>
        <w:jc w:val="left"/>
      </w:pPr>
      <w:r>
        <w:separator/>
      </w:r>
    </w:p>
  </w:footnote>
  <w:footnote w:type="continuationSeparator" w:id="0">
    <w:p w14:paraId="11F1CECE" w14:textId="77777777" w:rsidR="00707F31" w:rsidRPr="00696C5E" w:rsidRDefault="00707F31" w:rsidP="00696C5E">
      <w:pPr>
        <w:pStyle w:val="HeadHatzaotHok"/>
        <w:spacing w:before="0"/>
        <w:ind w:firstLine="0"/>
        <w:jc w:val="left"/>
      </w:pPr>
      <w:r>
        <w:separator/>
      </w:r>
    </w:p>
  </w:footnote>
  <w:footnote w:id="1">
    <w:p w14:paraId="11F1CED7" w14:textId="729B49D1" w:rsidR="008525E2" w:rsidRDefault="008525E2" w:rsidP="0024044E">
      <w:pPr>
        <w:pStyle w:val="a9"/>
        <w:rPr>
          <w:rtl/>
        </w:rPr>
      </w:pPr>
      <w:r>
        <w:rPr>
          <w:rStyle w:val="a8"/>
        </w:rPr>
        <w:t>*</w:t>
      </w:r>
      <w:r>
        <w:rPr>
          <w:rFonts w:hint="cs"/>
          <w:rtl/>
        </w:rPr>
        <w:t xml:space="preserve"> התקבל בכנסת ביום </w:t>
      </w:r>
      <w:bookmarkStart w:id="2" w:name="LGSVote3Date"/>
      <w:r w:rsidR="00832C39">
        <w:rPr>
          <w:rFonts w:hint="cs"/>
          <w:rtl/>
        </w:rPr>
        <w:t>כ' בחשוון התשע"ו</w:t>
      </w:r>
      <w:r w:rsidR="0060229C">
        <w:rPr>
          <w:rFonts w:hint="cs"/>
          <w:rtl/>
        </w:rPr>
        <w:t xml:space="preserve"> (2 בנובמבר 2015)</w:t>
      </w:r>
      <w:bookmarkEnd w:id="2"/>
      <w:r>
        <w:rPr>
          <w:rFonts w:hint="cs"/>
          <w:rtl/>
        </w:rPr>
        <w:t xml:space="preserve">; הצעת החוק ודברי הסבר פורסמו בהצעות חוק </w:t>
      </w:r>
      <w:bookmarkStart w:id="3" w:name="LGSType"/>
      <w:r>
        <w:rPr>
          <w:rFonts w:hint="cs"/>
          <w:rtl/>
        </w:rPr>
        <w:t>הממשלה</w:t>
      </w:r>
      <w:bookmarkEnd w:id="3"/>
      <w:r>
        <w:rPr>
          <w:rFonts w:hint="cs"/>
          <w:rtl/>
        </w:rPr>
        <w:t xml:space="preserve"> </w:t>
      </w:r>
      <w:r>
        <w:rPr>
          <w:rFonts w:hint="eastAsia"/>
          <w:rtl/>
        </w:rPr>
        <w:t>–</w:t>
      </w:r>
      <w:r>
        <w:rPr>
          <w:rFonts w:hint="cs"/>
          <w:rtl/>
        </w:rPr>
        <w:t xml:space="preserve"> </w:t>
      </w:r>
      <w:bookmarkStart w:id="4" w:name="LGSNum"/>
      <w:r>
        <w:rPr>
          <w:rFonts w:hint="cs"/>
          <w:rtl/>
        </w:rPr>
        <w:t>874</w:t>
      </w:r>
      <w:bookmarkEnd w:id="4"/>
      <w:r>
        <w:rPr>
          <w:rFonts w:hint="eastAsia"/>
          <w:rtl/>
        </w:rPr>
        <w:t xml:space="preserve">, מיום </w:t>
      </w:r>
      <w:bookmarkStart w:id="5" w:name="HebDate"/>
      <w:r>
        <w:rPr>
          <w:rFonts w:hint="cs"/>
          <w:rtl/>
        </w:rPr>
        <w:t>י"ח בסיוון התשע"ד</w:t>
      </w:r>
      <w:bookmarkEnd w:id="5"/>
      <w:r w:rsidRPr="00827E61">
        <w:rPr>
          <w:rFonts w:hint="cs"/>
          <w:rtl/>
        </w:rPr>
        <w:t xml:space="preserve"> (</w:t>
      </w:r>
      <w:bookmarkStart w:id="6" w:name="EngDate"/>
      <w:r>
        <w:rPr>
          <w:rFonts w:hint="cs"/>
          <w:rtl/>
        </w:rPr>
        <w:t>16 ביוני 2014</w:t>
      </w:r>
      <w:bookmarkEnd w:id="6"/>
      <w:r w:rsidRPr="00827E61">
        <w:rPr>
          <w:rFonts w:hint="cs"/>
          <w:rtl/>
        </w:rPr>
        <w:t>), עמ'</w:t>
      </w:r>
      <w:r w:rsidR="0060229C">
        <w:rPr>
          <w:rFonts w:hint="cs"/>
          <w:rtl/>
        </w:rPr>
        <w:t xml:space="preserve"> 800</w:t>
      </w:r>
      <w:r>
        <w:rPr>
          <w:rFonts w:hint="cs"/>
          <w:rtl/>
        </w:rPr>
        <w:t>.</w:t>
      </w:r>
    </w:p>
  </w:footnote>
  <w:footnote w:id="2">
    <w:p w14:paraId="00277F0B" w14:textId="77777777" w:rsidR="0060229C" w:rsidRDefault="0060229C" w:rsidP="0060229C">
      <w:pPr>
        <w:pStyle w:val="a9"/>
        <w:rPr>
          <w:rFonts w:ascii="Hadasa Roso SL" w:hAnsi="Hadasa Roso SL" w:cs="Hadasa Roso SL"/>
          <w:sz w:val="20"/>
        </w:rPr>
      </w:pPr>
      <w:r w:rsidRPr="00F27540">
        <w:rPr>
          <w:rStyle w:val="a8"/>
        </w:rPr>
        <w:footnoteRef/>
      </w:r>
      <w:r w:rsidRPr="00F27540">
        <w:rPr>
          <w:rtl/>
        </w:rPr>
        <w:t xml:space="preserve"> </w:t>
      </w:r>
      <w:r w:rsidRPr="00F27540">
        <w:rPr>
          <w:rFonts w:hint="cs"/>
          <w:rtl/>
        </w:rPr>
        <w:t>ס"ח התשכ"ז, עמ' 116; התשע"ה, עמ' 204.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1" w14:textId="77777777" w:rsidR="002137F8" w:rsidRDefault="002137F8">
    <w:pPr>
      <w:pStyle w:val="ab"/>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end"/>
    </w:r>
  </w:p>
  <w:p w14:paraId="11F1CED2" w14:textId="77777777" w:rsidR="002137F8" w:rsidRDefault="002137F8">
    <w:pPr>
      <w:pStyle w:val="ab"/>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3" w14:textId="77777777" w:rsidR="002137F8" w:rsidRPr="00E125CC" w:rsidRDefault="002137F8">
    <w:pPr>
      <w:pStyle w:val="ab"/>
      <w:framePr w:wrap="around" w:vAnchor="text" w:hAnchor="margin" w:xAlign="center" w:y="1"/>
      <w:rPr>
        <w:rStyle w:val="ac"/>
        <w:rFonts w:cs="David"/>
        <w:sz w:val="24"/>
        <w:szCs w:val="24"/>
        <w:rtl/>
      </w:rPr>
    </w:pPr>
    <w:r>
      <w:rPr>
        <w:rStyle w:val="ac"/>
        <w:rFonts w:cs="David" w:hint="cs"/>
        <w:sz w:val="24"/>
        <w:szCs w:val="24"/>
        <w:rtl/>
      </w:rPr>
      <w:t xml:space="preserve">- </w:t>
    </w:r>
    <w:r w:rsidRPr="00E125CC">
      <w:rPr>
        <w:rStyle w:val="ac"/>
        <w:rFonts w:cs="David"/>
        <w:sz w:val="24"/>
        <w:szCs w:val="24"/>
        <w:rtl/>
      </w:rPr>
      <w:fldChar w:fldCharType="begin"/>
    </w:r>
    <w:r w:rsidRPr="00E125CC">
      <w:rPr>
        <w:rStyle w:val="ac"/>
        <w:rFonts w:cs="David"/>
        <w:sz w:val="24"/>
        <w:szCs w:val="24"/>
      </w:rPr>
      <w:instrText xml:space="preserve">PAGE  </w:instrText>
    </w:r>
    <w:r w:rsidRPr="00E125CC">
      <w:rPr>
        <w:rStyle w:val="ac"/>
        <w:rFonts w:cs="David"/>
        <w:sz w:val="24"/>
        <w:szCs w:val="24"/>
        <w:rtl/>
      </w:rPr>
      <w:fldChar w:fldCharType="separate"/>
    </w:r>
    <w:r w:rsidR="00592E80">
      <w:rPr>
        <w:rStyle w:val="ac"/>
        <w:rFonts w:cs="David"/>
        <w:noProof/>
        <w:sz w:val="24"/>
        <w:szCs w:val="24"/>
        <w:rtl/>
      </w:rPr>
      <w:t>2</w:t>
    </w:r>
    <w:r w:rsidRPr="00E125CC">
      <w:rPr>
        <w:rStyle w:val="ac"/>
        <w:rFonts w:cs="David"/>
        <w:sz w:val="24"/>
        <w:szCs w:val="24"/>
        <w:rtl/>
      </w:rPr>
      <w:fldChar w:fldCharType="end"/>
    </w:r>
    <w:r>
      <w:rPr>
        <w:rStyle w:val="ac"/>
        <w:rFonts w:cs="David" w:hint="cs"/>
        <w:sz w:val="24"/>
        <w:szCs w:val="24"/>
        <w:rtl/>
      </w:rPr>
      <w:t xml:space="preserve"> -</w:t>
    </w:r>
  </w:p>
  <w:p w14:paraId="11F1CED4" w14:textId="77777777" w:rsidR="002137F8" w:rsidRDefault="002137F8">
    <w:pPr>
      <w:pStyle w:val="ab"/>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43"/>
    <w:rsid w:val="00022EBF"/>
    <w:rsid w:val="0002643E"/>
    <w:rsid w:val="0002757A"/>
    <w:rsid w:val="00027E2D"/>
    <w:rsid w:val="00033033"/>
    <w:rsid w:val="00047882"/>
    <w:rsid w:val="00077AF1"/>
    <w:rsid w:val="00097925"/>
    <w:rsid w:val="000B3A00"/>
    <w:rsid w:val="000E3B18"/>
    <w:rsid w:val="000E4563"/>
    <w:rsid w:val="000E7E08"/>
    <w:rsid w:val="000F6D7C"/>
    <w:rsid w:val="001253F6"/>
    <w:rsid w:val="00135743"/>
    <w:rsid w:val="001C4A6C"/>
    <w:rsid w:val="002000B0"/>
    <w:rsid w:val="00205DFF"/>
    <w:rsid w:val="0020610D"/>
    <w:rsid w:val="0020793A"/>
    <w:rsid w:val="002137F8"/>
    <w:rsid w:val="00220CAF"/>
    <w:rsid w:val="00222DA1"/>
    <w:rsid w:val="0024044E"/>
    <w:rsid w:val="00280B87"/>
    <w:rsid w:val="002C4285"/>
    <w:rsid w:val="002C4FF8"/>
    <w:rsid w:val="002E1F11"/>
    <w:rsid w:val="002E6458"/>
    <w:rsid w:val="00331786"/>
    <w:rsid w:val="0034385F"/>
    <w:rsid w:val="00352E82"/>
    <w:rsid w:val="003710E7"/>
    <w:rsid w:val="0037452B"/>
    <w:rsid w:val="003948C0"/>
    <w:rsid w:val="003B4BC6"/>
    <w:rsid w:val="003C03C8"/>
    <w:rsid w:val="003C1215"/>
    <w:rsid w:val="003D27C5"/>
    <w:rsid w:val="003D58F4"/>
    <w:rsid w:val="004239B4"/>
    <w:rsid w:val="004265E2"/>
    <w:rsid w:val="00443D7D"/>
    <w:rsid w:val="004B1418"/>
    <w:rsid w:val="004B1FDD"/>
    <w:rsid w:val="004C68A2"/>
    <w:rsid w:val="004D7542"/>
    <w:rsid w:val="004E5E15"/>
    <w:rsid w:val="004E77B7"/>
    <w:rsid w:val="0052521E"/>
    <w:rsid w:val="005527D3"/>
    <w:rsid w:val="005652C2"/>
    <w:rsid w:val="0057628C"/>
    <w:rsid w:val="00592E80"/>
    <w:rsid w:val="005A2EB8"/>
    <w:rsid w:val="005B6107"/>
    <w:rsid w:val="005C5383"/>
    <w:rsid w:val="005D1A36"/>
    <w:rsid w:val="005F20ED"/>
    <w:rsid w:val="0060229C"/>
    <w:rsid w:val="00606368"/>
    <w:rsid w:val="006750BF"/>
    <w:rsid w:val="00696C5E"/>
    <w:rsid w:val="006B4B3F"/>
    <w:rsid w:val="006C2108"/>
    <w:rsid w:val="006D0910"/>
    <w:rsid w:val="006F219C"/>
    <w:rsid w:val="006F3CC7"/>
    <w:rsid w:val="00707F31"/>
    <w:rsid w:val="00732EFC"/>
    <w:rsid w:val="007428E7"/>
    <w:rsid w:val="00765153"/>
    <w:rsid w:val="00787D9C"/>
    <w:rsid w:val="007C2914"/>
    <w:rsid w:val="007C4213"/>
    <w:rsid w:val="007E362D"/>
    <w:rsid w:val="00827E61"/>
    <w:rsid w:val="0083056F"/>
    <w:rsid w:val="00832C39"/>
    <w:rsid w:val="00847132"/>
    <w:rsid w:val="008525E2"/>
    <w:rsid w:val="00854E28"/>
    <w:rsid w:val="00855A92"/>
    <w:rsid w:val="00861CDE"/>
    <w:rsid w:val="008836D8"/>
    <w:rsid w:val="00885A35"/>
    <w:rsid w:val="00890350"/>
    <w:rsid w:val="008A5C70"/>
    <w:rsid w:val="008B055C"/>
    <w:rsid w:val="009579F7"/>
    <w:rsid w:val="009B1679"/>
    <w:rsid w:val="009C37CC"/>
    <w:rsid w:val="009C7FC7"/>
    <w:rsid w:val="009E19BF"/>
    <w:rsid w:val="009F0EF8"/>
    <w:rsid w:val="00A03A03"/>
    <w:rsid w:val="00A15945"/>
    <w:rsid w:val="00A54DE5"/>
    <w:rsid w:val="00A9474C"/>
    <w:rsid w:val="00AA5399"/>
    <w:rsid w:val="00AC4CCE"/>
    <w:rsid w:val="00B16515"/>
    <w:rsid w:val="00B416AF"/>
    <w:rsid w:val="00B4412A"/>
    <w:rsid w:val="00B6418A"/>
    <w:rsid w:val="00BA09A3"/>
    <w:rsid w:val="00BA2FCA"/>
    <w:rsid w:val="00BD0880"/>
    <w:rsid w:val="00C0211F"/>
    <w:rsid w:val="00C35CC5"/>
    <w:rsid w:val="00C61EBB"/>
    <w:rsid w:val="00C63E8C"/>
    <w:rsid w:val="00C7276B"/>
    <w:rsid w:val="00C72DFC"/>
    <w:rsid w:val="00CA7AA2"/>
    <w:rsid w:val="00CA7D8A"/>
    <w:rsid w:val="00CA7E27"/>
    <w:rsid w:val="00CC515F"/>
    <w:rsid w:val="00CD1A3B"/>
    <w:rsid w:val="00CD2734"/>
    <w:rsid w:val="00CD5774"/>
    <w:rsid w:val="00D24673"/>
    <w:rsid w:val="00D4588A"/>
    <w:rsid w:val="00D82284"/>
    <w:rsid w:val="00D92FDC"/>
    <w:rsid w:val="00D9552D"/>
    <w:rsid w:val="00DF5CB6"/>
    <w:rsid w:val="00E26850"/>
    <w:rsid w:val="00E36A7E"/>
    <w:rsid w:val="00E449A1"/>
    <w:rsid w:val="00E61062"/>
    <w:rsid w:val="00EC7E05"/>
    <w:rsid w:val="00EE492B"/>
    <w:rsid w:val="00F05158"/>
    <w:rsid w:val="00F93ADC"/>
    <w:rsid w:val="00FD1D3D"/>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1CEA6"/>
  <w15:docId w15:val="{502A53F3-28DA-4344-8833-FF157DC0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6AF"/>
    <w:pPr>
      <w:widowControl w:val="0"/>
      <w:autoSpaceDE w:val="0"/>
      <w:autoSpaceDN w:val="0"/>
      <w:bidi/>
      <w:adjustRightInd w:val="0"/>
      <w:spacing w:before="102"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qFormat/>
    <w:rsid w:val="009579F7"/>
    <w:pPr>
      <w:keepNext/>
      <w:jc w:val="center"/>
      <w:outlineLvl w:val="0"/>
    </w:pPr>
    <w:rPr>
      <w:rFonts w:cs="David"/>
      <w:b/>
      <w:bCs/>
      <w:sz w:val="28"/>
      <w:szCs w:val="28"/>
      <w:u w:val="single"/>
    </w:rPr>
  </w:style>
  <w:style w:type="paragraph" w:styleId="2">
    <w:name w:val="heading 2"/>
    <w:basedOn w:val="a"/>
    <w:next w:val="a"/>
    <w:qFormat/>
    <w:rsid w:val="009579F7"/>
    <w:pPr>
      <w:keepNext/>
      <w:jc w:val="center"/>
      <w:outlineLvl w:val="1"/>
    </w:pPr>
    <w:rPr>
      <w:rFonts w:cs="David"/>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9579F7"/>
    <w:pPr>
      <w:tabs>
        <w:tab w:val="left" w:pos="1191"/>
        <w:tab w:val="left" w:pos="1587"/>
      </w:tabs>
      <w:snapToGrid w:val="0"/>
      <w:spacing w:before="240" w:after="240" w:line="480" w:lineRule="auto"/>
      <w:jc w:val="center"/>
    </w:pPr>
    <w:rPr>
      <w:rFonts w:ascii="Arial" w:eastAsia="Arial Unicode MS" w:hAnsi="Arial" w:cs="David"/>
      <w:snapToGrid w:val="0"/>
      <w:sz w:val="20"/>
      <w:szCs w:val="26"/>
    </w:rPr>
  </w:style>
  <w:style w:type="paragraph" w:customStyle="1" w:styleId="Cover2-HatzaotHok">
    <w:name w:val="Cover 2-HatzaotHok"/>
    <w:basedOn w:val="Cover1-Reshumot"/>
    <w:rsid w:val="009579F7"/>
    <w:rPr>
      <w:sz w:val="36"/>
      <w:szCs w:val="52"/>
    </w:rPr>
  </w:style>
  <w:style w:type="paragraph" w:customStyle="1" w:styleId="Cover3-Haknesset">
    <w:name w:val="Cover 3-Haknesset"/>
    <w:basedOn w:val="Cover1-Reshumot"/>
    <w:rsid w:val="009579F7"/>
    <w:rPr>
      <w:b/>
      <w:bCs/>
      <w:spacing w:val="60"/>
    </w:rPr>
  </w:style>
  <w:style w:type="paragraph" w:customStyle="1" w:styleId="Cover4-Date">
    <w:name w:val="Cover 4-Date"/>
    <w:basedOn w:val="a"/>
    <w:rsid w:val="009579F7"/>
    <w:pPr>
      <w:pBdr>
        <w:bottom w:val="single" w:sz="4" w:space="0" w:color="auto"/>
      </w:pBdr>
      <w:tabs>
        <w:tab w:val="center" w:pos="4820"/>
        <w:tab w:val="right" w:pos="9639"/>
      </w:tabs>
      <w:snapToGrid w:val="0"/>
      <w:spacing w:before="240" w:after="240" w:line="360" w:lineRule="auto"/>
    </w:pPr>
    <w:rPr>
      <w:rFonts w:ascii="Arial" w:eastAsia="Arial Unicode MS" w:hAnsi="Arial" w:cs="David"/>
      <w:snapToGrid w:val="0"/>
      <w:sz w:val="20"/>
      <w:szCs w:val="26"/>
    </w:rPr>
  </w:style>
  <w:style w:type="character" w:styleId="a5">
    <w:name w:val="endnote reference"/>
    <w:semiHidden/>
    <w:rsid w:val="009579F7"/>
    <w:rPr>
      <w:vertAlign w:val="superscript"/>
    </w:rPr>
  </w:style>
  <w:style w:type="paragraph" w:customStyle="1" w:styleId="Ragil">
    <w:name w:val="Ragil"/>
    <w:basedOn w:val="a"/>
    <w:rsid w:val="009579F7"/>
    <w:pPr>
      <w:snapToGrid w:val="0"/>
      <w:spacing w:line="360" w:lineRule="auto"/>
    </w:pPr>
    <w:rPr>
      <w:rFonts w:ascii="Arial" w:eastAsia="Arial Unicode MS" w:hAnsi="Arial" w:cs="David"/>
      <w:snapToGrid w:val="0"/>
      <w:sz w:val="20"/>
      <w:szCs w:val="26"/>
    </w:rPr>
  </w:style>
  <w:style w:type="paragraph" w:styleId="a6">
    <w:name w:val="endnote text"/>
    <w:basedOn w:val="Ragil"/>
    <w:semiHidden/>
    <w:rsid w:val="009579F7"/>
    <w:pPr>
      <w:ind w:left="227" w:hanging="227"/>
    </w:pPr>
    <w:rPr>
      <w:sz w:val="14"/>
      <w:szCs w:val="22"/>
    </w:rPr>
  </w:style>
  <w:style w:type="paragraph" w:styleId="a7">
    <w:name w:val="footer"/>
    <w:basedOn w:val="a"/>
    <w:rsid w:val="009579F7"/>
    <w:pPr>
      <w:tabs>
        <w:tab w:val="center" w:pos="4153"/>
        <w:tab w:val="right" w:pos="8306"/>
      </w:tabs>
    </w:pPr>
  </w:style>
  <w:style w:type="character" w:styleId="a8">
    <w:name w:val="footnote reference"/>
    <w:aliases w:val="Footnote Reference"/>
    <w:rsid w:val="009579F7"/>
    <w:rPr>
      <w:vertAlign w:val="superscript"/>
    </w:rPr>
  </w:style>
  <w:style w:type="paragraph" w:styleId="a9">
    <w:name w:val="footnote text"/>
    <w:basedOn w:val="Ragil"/>
    <w:link w:val="aa"/>
    <w:autoRedefine/>
    <w:rsid w:val="00FD1D3D"/>
    <w:pPr>
      <w:spacing w:before="0" w:line="240" w:lineRule="auto"/>
      <w:ind w:left="227" w:hanging="227"/>
    </w:pPr>
    <w:rPr>
      <w:sz w:val="14"/>
      <w:szCs w:val="20"/>
    </w:rPr>
  </w:style>
  <w:style w:type="paragraph" w:customStyle="1" w:styleId="HeadDivreiHesber">
    <w:name w:val="Head DivreiHesber"/>
    <w:basedOn w:val="Ragil"/>
    <w:rsid w:val="009579F7"/>
    <w:pPr>
      <w:spacing w:before="360" w:after="120"/>
      <w:ind w:firstLine="0"/>
      <w:jc w:val="center"/>
    </w:pPr>
    <w:rPr>
      <w:b/>
      <w:spacing w:val="40"/>
    </w:rPr>
  </w:style>
  <w:style w:type="paragraph" w:customStyle="1" w:styleId="HeadHatzaotHok">
    <w:name w:val="Head HatzaotHok"/>
    <w:basedOn w:val="a"/>
    <w:link w:val="HeadHatzaotHok0"/>
    <w:rsid w:val="009579F7"/>
    <w:pPr>
      <w:keepNext/>
      <w:keepLines/>
      <w:snapToGrid w:val="0"/>
      <w:spacing w:before="240" w:line="360" w:lineRule="auto"/>
      <w:jc w:val="center"/>
    </w:pPr>
    <w:rPr>
      <w:rFonts w:ascii="Arial" w:eastAsia="Arial Unicode MS" w:hAnsi="Arial" w:cs="David"/>
      <w:b/>
      <w:bCs/>
      <w:snapToGrid w:val="0"/>
      <w:sz w:val="20"/>
      <w:szCs w:val="26"/>
    </w:rPr>
  </w:style>
  <w:style w:type="paragraph" w:customStyle="1" w:styleId="HeadHatzaotHok4Futer">
    <w:name w:val="Head HatzaotHok4Futer"/>
    <w:basedOn w:val="HeadHatzaotHok"/>
    <w:rsid w:val="009579F7"/>
    <w:pPr>
      <w:spacing w:before="120" w:after="120"/>
    </w:pPr>
    <w:rPr>
      <w:color w:val="FF0000"/>
      <w:w w:val="80"/>
    </w:rPr>
  </w:style>
  <w:style w:type="paragraph" w:customStyle="1" w:styleId="HeadMitparsemetBaze">
    <w:name w:val="Head MitparsemetBaze"/>
    <w:basedOn w:val="a"/>
    <w:rsid w:val="009579F7"/>
    <w:pPr>
      <w:keepNext/>
      <w:keepLines/>
      <w:pageBreakBefore/>
      <w:snapToGrid w:val="0"/>
      <w:spacing w:before="480" w:line="360" w:lineRule="auto"/>
    </w:pPr>
    <w:rPr>
      <w:rFonts w:ascii="Arial" w:eastAsia="Arial Unicode MS" w:hAnsi="Arial" w:cs="David"/>
      <w:b/>
      <w:bCs/>
      <w:snapToGrid w:val="0"/>
      <w:sz w:val="20"/>
      <w:szCs w:val="26"/>
    </w:rPr>
  </w:style>
  <w:style w:type="paragraph" w:styleId="ab">
    <w:name w:val="header"/>
    <w:basedOn w:val="a"/>
    <w:rsid w:val="009579F7"/>
    <w:pPr>
      <w:tabs>
        <w:tab w:val="center" w:pos="4153"/>
        <w:tab w:val="right" w:pos="8306"/>
      </w:tabs>
    </w:pPr>
  </w:style>
  <w:style w:type="paragraph" w:customStyle="1" w:styleId="Hesber">
    <w:name w:val="Hesber"/>
    <w:basedOn w:val="Ragil"/>
    <w:rsid w:val="009579F7"/>
  </w:style>
  <w:style w:type="paragraph" w:customStyle="1" w:styleId="Hesber1st">
    <w:name w:val="Hesber 1st"/>
    <w:basedOn w:val="Hesber"/>
    <w:rsid w:val="009579F7"/>
    <w:pPr>
      <w:tabs>
        <w:tab w:val="left" w:pos="680"/>
        <w:tab w:val="left" w:pos="1020"/>
      </w:tabs>
      <w:ind w:firstLine="0"/>
    </w:pPr>
  </w:style>
  <w:style w:type="paragraph" w:customStyle="1" w:styleId="HesberHeading">
    <w:name w:val="Hesber Heading"/>
    <w:basedOn w:val="Hesber"/>
    <w:rsid w:val="009579F7"/>
    <w:pPr>
      <w:keepNext/>
      <w:keepLines/>
      <w:spacing w:before="240"/>
      <w:ind w:firstLine="0"/>
    </w:pPr>
    <w:rPr>
      <w:b/>
      <w:bCs/>
    </w:rPr>
  </w:style>
  <w:style w:type="paragraph" w:customStyle="1" w:styleId="HesberWriters">
    <w:name w:val="Hesber Writers"/>
    <w:basedOn w:val="Hesber"/>
    <w:rsid w:val="009579F7"/>
    <w:pPr>
      <w:spacing w:before="120" w:after="6000"/>
      <w:ind w:left="1418" w:firstLine="0"/>
      <w:jc w:val="right"/>
    </w:pPr>
    <w:rPr>
      <w:b/>
      <w:bCs/>
    </w:rPr>
  </w:style>
  <w:style w:type="character" w:styleId="Hyperlink">
    <w:name w:val="Hyperlink"/>
    <w:rsid w:val="009579F7"/>
    <w:rPr>
      <w:color w:val="0000FF"/>
      <w:u w:val="single"/>
    </w:rPr>
  </w:style>
  <w:style w:type="character" w:styleId="ac">
    <w:name w:val="page number"/>
    <w:basedOn w:val="a0"/>
    <w:rsid w:val="009579F7"/>
  </w:style>
  <w:style w:type="paragraph" w:customStyle="1" w:styleId="TableText">
    <w:name w:val="Table Text"/>
    <w:basedOn w:val="Ragil"/>
    <w:rsid w:val="009579F7"/>
    <w:pPr>
      <w:keepLines/>
      <w:tabs>
        <w:tab w:val="left" w:pos="624"/>
        <w:tab w:val="left" w:pos="1247"/>
      </w:tabs>
      <w:ind w:right="57" w:firstLine="0"/>
    </w:pPr>
  </w:style>
  <w:style w:type="paragraph" w:customStyle="1" w:styleId="TableBlock">
    <w:name w:val="Table Block"/>
    <w:basedOn w:val="TableText"/>
    <w:rsid w:val="009579F7"/>
    <w:pPr>
      <w:ind w:right="0"/>
    </w:pPr>
  </w:style>
  <w:style w:type="paragraph" w:customStyle="1" w:styleId="TableBlockOutdent">
    <w:name w:val="Table BlockOutdent"/>
    <w:basedOn w:val="TableBlock"/>
    <w:rsid w:val="009579F7"/>
    <w:pPr>
      <w:ind w:left="624" w:hanging="624"/>
    </w:pPr>
  </w:style>
  <w:style w:type="table" w:customStyle="1" w:styleId="10">
    <w:name w:val="טבלת רשת1"/>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9579F7"/>
    <w:pPr>
      <w:ind w:right="0"/>
      <w:jc w:val="center"/>
    </w:pPr>
    <w:rPr>
      <w:b/>
      <w:bCs/>
    </w:rPr>
  </w:style>
  <w:style w:type="paragraph" w:customStyle="1" w:styleId="TableSideHeading">
    <w:name w:val="Table SideHeading"/>
    <w:basedOn w:val="TableText"/>
    <w:rsid w:val="009579F7"/>
  </w:style>
  <w:style w:type="paragraph" w:customStyle="1" w:styleId="TableInnerSideHeading">
    <w:name w:val="Table InnerSideHeading"/>
    <w:basedOn w:val="TableSideHeading"/>
    <w:rsid w:val="009579F7"/>
  </w:style>
  <w:style w:type="paragraph" w:customStyle="1" w:styleId="TableText2">
    <w:name w:val="Table Text2"/>
    <w:basedOn w:val="TableText"/>
    <w:rsid w:val="009579F7"/>
  </w:style>
  <w:style w:type="paragraph" w:styleId="ad">
    <w:name w:val="Title"/>
    <w:basedOn w:val="a"/>
    <w:qFormat/>
    <w:rsid w:val="009579F7"/>
    <w:pPr>
      <w:jc w:val="center"/>
    </w:pPr>
    <w:rPr>
      <w:rFonts w:cs="David"/>
      <w:b/>
      <w:bCs/>
      <w:sz w:val="28"/>
      <w:szCs w:val="28"/>
      <w:u w:val="single"/>
    </w:rPr>
  </w:style>
  <w:style w:type="paragraph" w:customStyle="1" w:styleId="TOC">
    <w:name w:val="TOC"/>
    <w:basedOn w:val="a"/>
    <w:rsid w:val="009579F7"/>
    <w:pPr>
      <w:tabs>
        <w:tab w:val="left" w:leader="dot" w:pos="8789"/>
      </w:tabs>
      <w:snapToGrid w:val="0"/>
      <w:spacing w:before="120" w:line="360" w:lineRule="auto"/>
      <w:ind w:left="284" w:right="284"/>
    </w:pPr>
    <w:rPr>
      <w:rFonts w:ascii="Arial" w:eastAsia="Arial Unicode MS" w:hAnsi="Arial" w:cs="David"/>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color w:val="000000"/>
      <w:spacing w:val="1"/>
      <w:szCs w:val="26"/>
      <w:lang w:val="en-US" w:eastAsia="ja-JP" w:bidi="he-IL"/>
    </w:rPr>
  </w:style>
  <w:style w:type="character" w:customStyle="1" w:styleId="aa">
    <w:name w:val="טקסט הערת שוליים תו"/>
    <w:link w:val="a9"/>
    <w:rsid w:val="008525E2"/>
    <w:rPr>
      <w:rFonts w:ascii="Arial" w:eastAsia="Arial Unicode MS" w:hAnsi="Arial" w:cs="David"/>
      <w:snapToGrid w:val="0"/>
      <w:color w:val="000000"/>
      <w:spacing w:val="1"/>
      <w:sz w:val="14"/>
      <w:lang w:eastAsia="ja-JP"/>
    </w:rPr>
  </w:style>
  <w:style w:type="paragraph" w:styleId="ae">
    <w:name w:val="Balloon Text"/>
    <w:basedOn w:val="a"/>
    <w:link w:val="af"/>
    <w:rsid w:val="0024044E"/>
    <w:pPr>
      <w:spacing w:before="0" w:line="240" w:lineRule="auto"/>
    </w:pPr>
    <w:rPr>
      <w:rFonts w:ascii="Tahoma" w:hAnsi="Tahoma" w:cs="Tahoma"/>
      <w:sz w:val="16"/>
      <w:szCs w:val="16"/>
    </w:rPr>
  </w:style>
  <w:style w:type="character" w:customStyle="1" w:styleId="af">
    <w:name w:val="טקסט בלונים תו"/>
    <w:basedOn w:val="a0"/>
    <w:link w:val="ae"/>
    <w:rsid w:val="0024044E"/>
    <w:rPr>
      <w:rFonts w:ascii="Tahoma" w:eastAsia="MS Mincho"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90E72-2A10-47B5-8633-F22511D80AB8}"/>
</file>

<file path=customXml/itemProps2.xml><?xml version="1.0" encoding="utf-8"?>
<ds:datastoreItem xmlns:ds="http://schemas.openxmlformats.org/officeDocument/2006/customXml" ds:itemID="{C3E1657D-317C-48BB-A872-2C64BBB17B1B}"/>
</file>

<file path=customXml/itemProps3.xml><?xml version="1.0" encoding="utf-8"?>
<ds:datastoreItem xmlns:ds="http://schemas.openxmlformats.org/officeDocument/2006/customXml" ds:itemID="{9AAD3E59-1685-4866-88AE-10917921A27A}"/>
</file>

<file path=customXml/itemProps4.xml><?xml version="1.0" encoding="utf-8"?>
<ds:datastoreItem xmlns:ds="http://schemas.openxmlformats.org/officeDocument/2006/customXml" ds:itemID="{C9131661-64B4-4E00-BEB3-C5C1855CF66B}">
  <ds:schemaRefs>
    <ds:schemaRef ds:uri="http://schemas.microsoft.com/sharepoint/events"/>
  </ds:schemaRefs>
</ds:datastoreItem>
</file>

<file path=customXml/itemProps5.xml><?xml version="1.0" encoding="utf-8"?>
<ds:datastoreItem xmlns:ds="http://schemas.openxmlformats.org/officeDocument/2006/customXml" ds:itemID="{8D608E68-806C-4236-A733-872DCC7C056A}"/>
</file>

<file path=docProps/app.xml><?xml version="1.0" encoding="utf-8"?>
<Properties xmlns="http://schemas.openxmlformats.org/officeDocument/2006/extended-properties" xmlns:vt="http://schemas.openxmlformats.org/officeDocument/2006/docPropsVTypes">
  <Template>Normal</Template>
  <TotalTime>1</TotalTime>
  <Pages>3</Pages>
  <Words>376</Words>
  <Characters>1882</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דפנה ברנאי</cp:lastModifiedBy>
  <cp:revision>2</cp:revision>
  <cp:lastPrinted>2015-11-03T10:19:00Z</cp:lastPrinted>
  <dcterms:created xsi:type="dcterms:W3CDTF">2015-11-04T08:54:00Z</dcterms:created>
  <dcterms:modified xsi:type="dcterms:W3CDTF">2015-11-04T08:54:00Z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eec0a801-e332-460b-9185-e15a8595b217</vt:lpwstr>
  </property>
  <property fmtid="{D5CDD505-2E9C-101B-9397-08002B2CF9AE}" pid="20" name="SanhedrinItemID">
    <vt:r8>553916</vt:r8>
  </property>
  <property fmtid="{D5CDD505-2E9C-101B-9397-08002B2CF9AE}" pid="21" name="SanhedrinDocumentType">
    <vt:r8>42</vt:r8>
  </property>
</Properties>
</file>