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1CEA6" w14:textId="03EA13AE" w:rsidR="008525E2" w:rsidRDefault="00C7276B" w:rsidP="006043F6">
      <w:pPr>
        <w:spacing w:before="0"/>
        <w:jc w:val="center"/>
        <w:rPr>
          <w:b/>
          <w:bCs/>
          <w:sz w:val="28"/>
          <w:szCs w:val="28"/>
          <w:rtl/>
        </w:rPr>
      </w:pPr>
      <w:bookmarkStart w:id="0" w:name="_GoBack"/>
      <w:bookmarkEnd w:id="0"/>
      <w:r>
        <w:rPr>
          <w:noProof/>
          <w:lang w:eastAsia="en-US"/>
        </w:rPr>
        <w:drawing>
          <wp:anchor distT="0" distB="0" distL="114300" distR="114300" simplePos="0" relativeHeight="251658240" behindDoc="0" locked="0" layoutInCell="1" allowOverlap="1" wp14:anchorId="0D6DCCB5" wp14:editId="33ADA123">
            <wp:simplePos x="0" y="0"/>
            <wp:positionH relativeFrom="column">
              <wp:posOffset>2794994</wp:posOffset>
            </wp:positionH>
            <wp:positionV relativeFrom="paragraph">
              <wp:posOffset>0</wp:posOffset>
            </wp:positionV>
            <wp:extent cx="509905" cy="624205"/>
            <wp:effectExtent l="0" t="0" r="4445" b="4445"/>
            <wp:wrapSquare wrapText="bothSides"/>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anchor>
        </w:drawing>
      </w:r>
      <w:r w:rsidR="007054E5">
        <w:rPr>
          <w:b/>
          <w:bCs/>
          <w:sz w:val="28"/>
          <w:szCs w:val="28"/>
          <w:rtl/>
        </w:rPr>
        <w:br w:type="textWrapping" w:clear="all"/>
      </w:r>
    </w:p>
    <w:p w14:paraId="11F1CEA7" w14:textId="77777777" w:rsidR="008525E2" w:rsidRDefault="008525E2" w:rsidP="008525E2">
      <w:pPr>
        <w:spacing w:before="0"/>
        <w:jc w:val="center"/>
        <w:rPr>
          <w:b/>
          <w:bCs/>
          <w:sz w:val="28"/>
          <w:szCs w:val="28"/>
          <w:rtl/>
        </w:rPr>
      </w:pPr>
    </w:p>
    <w:p w14:paraId="11F1CEA8" w14:textId="793699C9" w:rsidR="008525E2" w:rsidRDefault="00220CAF" w:rsidP="007054E5">
      <w:pPr>
        <w:spacing w:before="0"/>
        <w:jc w:val="center"/>
        <w:rPr>
          <w:b/>
          <w:bCs/>
          <w:sz w:val="28"/>
          <w:szCs w:val="28"/>
          <w:rtl/>
        </w:rPr>
      </w:pPr>
      <w:bookmarkStart w:id="1" w:name="LGSName"/>
      <w:r>
        <w:rPr>
          <w:rStyle w:val="HeadHatzaotHok0"/>
          <w:rFonts w:hint="cs"/>
          <w:rtl/>
        </w:rPr>
        <w:t>חוק לעידוד מחקר ופיתוח בתעשייה (תיקון מס' 7), התשע"ה</w:t>
      </w:r>
      <w:r w:rsidR="007054E5">
        <w:rPr>
          <w:rStyle w:val="HeadHatzaotHok0"/>
          <w:rFonts w:hint="eastAsia"/>
          <w:rtl/>
        </w:rPr>
        <w:t>–</w:t>
      </w:r>
      <w:r>
        <w:rPr>
          <w:rStyle w:val="HeadHatzaotHok0"/>
          <w:rFonts w:hint="cs"/>
          <w:rtl/>
        </w:rPr>
        <w:t>2015</w:t>
      </w:r>
      <w:bookmarkEnd w:id="1"/>
      <w:r w:rsidR="008525E2">
        <w:rPr>
          <w:rStyle w:val="ab"/>
          <w:b/>
          <w:bCs/>
          <w:sz w:val="28"/>
          <w:szCs w:val="28"/>
          <w:rtl/>
        </w:rPr>
        <w:footnoteReference w:customMarkFollows="1" w:id="1"/>
        <w:t>*</w:t>
      </w:r>
      <w:r w:rsidR="005070B4">
        <w:rPr>
          <w:rFonts w:hint="cs"/>
          <w:b/>
          <w:bCs/>
          <w:sz w:val="28"/>
          <w:szCs w:val="28"/>
          <w:rtl/>
        </w:rPr>
        <w:t xml:space="preserve"> </w:t>
      </w:r>
    </w:p>
    <w:p w14:paraId="00AC7BB5" w14:textId="77777777" w:rsidR="00BF4529" w:rsidRDefault="00BF4529" w:rsidP="007054E5">
      <w:pPr>
        <w:spacing w:before="0"/>
        <w:jc w:val="center"/>
        <w:rPr>
          <w:b/>
          <w:bCs/>
          <w:sz w:val="28"/>
          <w:szCs w:val="28"/>
          <w:rtl/>
        </w:rPr>
      </w:pPr>
    </w:p>
    <w:tbl>
      <w:tblPr>
        <w:bidiVisual/>
        <w:tblW w:w="9645" w:type="dxa"/>
        <w:tblLayout w:type="fixed"/>
        <w:tblCellMar>
          <w:top w:w="57" w:type="dxa"/>
          <w:left w:w="0" w:type="dxa"/>
          <w:bottom w:w="57" w:type="dxa"/>
          <w:right w:w="0" w:type="dxa"/>
        </w:tblCellMar>
        <w:tblLook w:val="04A0" w:firstRow="1" w:lastRow="0" w:firstColumn="1" w:lastColumn="0" w:noHBand="0" w:noVBand="1"/>
      </w:tblPr>
      <w:tblGrid>
        <w:gridCol w:w="1873"/>
        <w:gridCol w:w="625"/>
        <w:gridCol w:w="624"/>
        <w:gridCol w:w="624"/>
        <w:gridCol w:w="624"/>
        <w:gridCol w:w="624"/>
        <w:gridCol w:w="624"/>
        <w:gridCol w:w="624"/>
        <w:gridCol w:w="3403"/>
      </w:tblGrid>
      <w:tr w:rsidR="00BF4529" w14:paraId="75141D82" w14:textId="77777777" w:rsidTr="00BF4529">
        <w:trPr>
          <w:cantSplit/>
          <w:trHeight w:val="846"/>
        </w:trPr>
        <w:tc>
          <w:tcPr>
            <w:tcW w:w="1871" w:type="dxa"/>
            <w:tcMar>
              <w:top w:w="91" w:type="dxa"/>
              <w:left w:w="0" w:type="dxa"/>
              <w:bottom w:w="91" w:type="dxa"/>
              <w:right w:w="0" w:type="dxa"/>
            </w:tcMar>
            <w:hideMark/>
          </w:tcPr>
          <w:p w14:paraId="2E4F1A74" w14:textId="77777777" w:rsidR="00BF4529" w:rsidRDefault="00BF4529" w:rsidP="00BF4529">
            <w:pPr>
              <w:pStyle w:val="TableSideHeading"/>
              <w:spacing w:before="0"/>
              <w:jc w:val="left"/>
              <w:rPr>
                <w:spacing w:val="0"/>
                <w:sz w:val="26"/>
              </w:rPr>
            </w:pPr>
            <w:r>
              <w:rPr>
                <w:rFonts w:hint="cs"/>
                <w:sz w:val="26"/>
                <w:rtl/>
              </w:rPr>
              <w:t>תיקון שם החוק</w:t>
            </w:r>
          </w:p>
        </w:tc>
        <w:tc>
          <w:tcPr>
            <w:tcW w:w="624" w:type="dxa"/>
            <w:tcMar>
              <w:top w:w="91" w:type="dxa"/>
              <w:left w:w="0" w:type="dxa"/>
              <w:bottom w:w="91" w:type="dxa"/>
              <w:right w:w="0" w:type="dxa"/>
            </w:tcMar>
            <w:hideMark/>
          </w:tcPr>
          <w:p w14:paraId="2BB6AE48" w14:textId="77777777" w:rsidR="00BF4529" w:rsidRDefault="00BF4529" w:rsidP="00BF4529">
            <w:pPr>
              <w:pStyle w:val="TableText"/>
              <w:spacing w:before="0"/>
              <w:rPr>
                <w:sz w:val="26"/>
              </w:rPr>
            </w:pPr>
            <w:r>
              <w:rPr>
                <w:rFonts w:hint="cs"/>
                <w:sz w:val="26"/>
                <w:rtl/>
              </w:rPr>
              <w:t>1.</w:t>
            </w:r>
          </w:p>
        </w:tc>
        <w:tc>
          <w:tcPr>
            <w:tcW w:w="7146" w:type="dxa"/>
            <w:gridSpan w:val="7"/>
            <w:tcMar>
              <w:top w:w="91" w:type="dxa"/>
              <w:left w:w="0" w:type="dxa"/>
              <w:bottom w:w="91" w:type="dxa"/>
              <w:right w:w="0" w:type="dxa"/>
            </w:tcMar>
            <w:hideMark/>
          </w:tcPr>
          <w:p w14:paraId="1A48C757" w14:textId="77777777" w:rsidR="00BF4529" w:rsidRDefault="00BF4529" w:rsidP="00BF4529">
            <w:pPr>
              <w:pStyle w:val="TableBlock"/>
              <w:spacing w:before="0"/>
              <w:rPr>
                <w:spacing w:val="-4"/>
                <w:sz w:val="26"/>
                <w:rtl/>
              </w:rPr>
            </w:pPr>
            <w:r>
              <w:rPr>
                <w:rFonts w:hint="cs"/>
                <w:spacing w:val="-4"/>
                <w:sz w:val="26"/>
                <w:rtl/>
              </w:rPr>
              <w:t>בחוק לעידוד מחקר ופיתוח בתעשייה, התשמ"ד–1984</w:t>
            </w:r>
            <w:r>
              <w:rPr>
                <w:rStyle w:val="ab"/>
                <w:spacing w:val="-4"/>
                <w:sz w:val="26"/>
                <w:rtl/>
              </w:rPr>
              <w:footnoteReference w:id="2"/>
            </w:r>
            <w:r>
              <w:rPr>
                <w:rFonts w:hint="cs"/>
                <w:spacing w:val="-4"/>
                <w:sz w:val="26"/>
                <w:rtl/>
              </w:rPr>
              <w:t xml:space="preserve"> (להלן – החוק העיקרי), בשם החוק, במקום "מחקר ופיתוח" יבוא "מחקר, פיתוח וחדשנות טכנולוגית".</w:t>
            </w:r>
          </w:p>
        </w:tc>
      </w:tr>
      <w:tr w:rsidR="00BF4529" w14:paraId="31BFF660" w14:textId="77777777" w:rsidTr="00BF4529">
        <w:trPr>
          <w:cantSplit/>
        </w:trPr>
        <w:tc>
          <w:tcPr>
            <w:tcW w:w="1871" w:type="dxa"/>
            <w:tcMar>
              <w:top w:w="79" w:type="dxa"/>
              <w:left w:w="0" w:type="dxa"/>
              <w:bottom w:w="79" w:type="dxa"/>
              <w:right w:w="0" w:type="dxa"/>
            </w:tcMar>
            <w:hideMark/>
          </w:tcPr>
          <w:p w14:paraId="1FBCFA51" w14:textId="77777777" w:rsidR="00BF4529" w:rsidRDefault="00BF4529" w:rsidP="00BF4529">
            <w:pPr>
              <w:pStyle w:val="TableSideHeading"/>
              <w:spacing w:before="0"/>
              <w:jc w:val="left"/>
              <w:rPr>
                <w:spacing w:val="0"/>
                <w:sz w:val="26"/>
                <w:rtl/>
              </w:rPr>
            </w:pPr>
            <w:r>
              <w:rPr>
                <w:rFonts w:hint="cs"/>
                <w:sz w:val="26"/>
                <w:rtl/>
              </w:rPr>
              <w:t>תיקון סעיף 1</w:t>
            </w:r>
          </w:p>
        </w:tc>
        <w:tc>
          <w:tcPr>
            <w:tcW w:w="624" w:type="dxa"/>
            <w:tcMar>
              <w:top w:w="79" w:type="dxa"/>
              <w:left w:w="0" w:type="dxa"/>
              <w:bottom w:w="79" w:type="dxa"/>
              <w:right w:w="0" w:type="dxa"/>
            </w:tcMar>
            <w:hideMark/>
          </w:tcPr>
          <w:p w14:paraId="2FDBB318" w14:textId="77777777" w:rsidR="00BF4529" w:rsidRDefault="00BF4529" w:rsidP="00BF4529">
            <w:pPr>
              <w:pStyle w:val="TableText"/>
              <w:spacing w:before="0"/>
              <w:rPr>
                <w:sz w:val="26"/>
                <w:rtl/>
              </w:rPr>
            </w:pPr>
            <w:r>
              <w:rPr>
                <w:rFonts w:hint="cs"/>
                <w:sz w:val="26"/>
                <w:rtl/>
              </w:rPr>
              <w:t>2.</w:t>
            </w:r>
          </w:p>
        </w:tc>
        <w:tc>
          <w:tcPr>
            <w:tcW w:w="7146" w:type="dxa"/>
            <w:gridSpan w:val="7"/>
            <w:tcMar>
              <w:top w:w="79" w:type="dxa"/>
              <w:left w:w="0" w:type="dxa"/>
              <w:bottom w:w="79" w:type="dxa"/>
              <w:right w:w="0" w:type="dxa"/>
            </w:tcMar>
            <w:hideMark/>
          </w:tcPr>
          <w:p w14:paraId="1A726601" w14:textId="77777777" w:rsidR="00BF4529" w:rsidRDefault="00BF4529" w:rsidP="00BF4529">
            <w:pPr>
              <w:pStyle w:val="TableBlock"/>
              <w:spacing w:before="0"/>
              <w:rPr>
                <w:sz w:val="26"/>
                <w:rtl/>
              </w:rPr>
            </w:pPr>
            <w:r>
              <w:rPr>
                <w:rFonts w:hint="cs"/>
                <w:sz w:val="26"/>
                <w:rtl/>
              </w:rPr>
              <w:t>בסעיף 1 לחוק העיקרי, אחרי פסקה (3) יבוא:</w:t>
            </w:r>
          </w:p>
        </w:tc>
      </w:tr>
      <w:tr w:rsidR="00BF4529" w14:paraId="088B4BD0" w14:textId="77777777" w:rsidTr="00BF4529">
        <w:trPr>
          <w:cantSplit/>
        </w:trPr>
        <w:tc>
          <w:tcPr>
            <w:tcW w:w="1871" w:type="dxa"/>
            <w:tcMar>
              <w:top w:w="79" w:type="dxa"/>
              <w:left w:w="0" w:type="dxa"/>
              <w:bottom w:w="79" w:type="dxa"/>
              <w:right w:w="0" w:type="dxa"/>
            </w:tcMar>
          </w:tcPr>
          <w:p w14:paraId="2C5B9BB1"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51708E78" w14:textId="77777777" w:rsidR="00BF4529" w:rsidRDefault="00BF4529" w:rsidP="00BF4529">
            <w:pPr>
              <w:pStyle w:val="TableText"/>
              <w:spacing w:before="0"/>
              <w:rPr>
                <w:sz w:val="26"/>
                <w:rtl/>
              </w:rPr>
            </w:pPr>
          </w:p>
        </w:tc>
        <w:tc>
          <w:tcPr>
            <w:tcW w:w="7146" w:type="dxa"/>
            <w:gridSpan w:val="7"/>
            <w:tcMar>
              <w:top w:w="79" w:type="dxa"/>
              <w:left w:w="0" w:type="dxa"/>
              <w:bottom w:w="79" w:type="dxa"/>
              <w:right w:w="0" w:type="dxa"/>
            </w:tcMar>
            <w:hideMark/>
          </w:tcPr>
          <w:p w14:paraId="66168222" w14:textId="77777777" w:rsidR="00BF4529" w:rsidRDefault="00BF4529" w:rsidP="00BF4529">
            <w:pPr>
              <w:pStyle w:val="TableBlock"/>
              <w:spacing w:before="0"/>
              <w:rPr>
                <w:sz w:val="26"/>
                <w:rtl/>
              </w:rPr>
            </w:pPr>
            <w:r>
              <w:rPr>
                <w:rFonts w:hint="cs"/>
                <w:sz w:val="26"/>
                <w:rtl/>
              </w:rPr>
              <w:t>"(3א)</w:t>
            </w:r>
            <w:r>
              <w:rPr>
                <w:rFonts w:hint="cs"/>
                <w:sz w:val="26"/>
                <w:rtl/>
              </w:rPr>
              <w:tab/>
              <w:t>עידוד הצמיחה, הגדלת הפריון וקידום החדשנות הטכנולוגית בתעשייה בישראל, ובכלל זה בנגב ובגליל;".</w:t>
            </w:r>
          </w:p>
        </w:tc>
      </w:tr>
      <w:tr w:rsidR="00BF4529" w14:paraId="3C7E1F6B" w14:textId="77777777" w:rsidTr="00BF4529">
        <w:trPr>
          <w:cantSplit/>
        </w:trPr>
        <w:tc>
          <w:tcPr>
            <w:tcW w:w="1871" w:type="dxa"/>
            <w:tcMar>
              <w:top w:w="79" w:type="dxa"/>
              <w:left w:w="0" w:type="dxa"/>
              <w:bottom w:w="79" w:type="dxa"/>
              <w:right w:w="0" w:type="dxa"/>
            </w:tcMar>
            <w:hideMark/>
          </w:tcPr>
          <w:p w14:paraId="62E82EE5" w14:textId="77777777" w:rsidR="00BF4529" w:rsidRDefault="00BF4529" w:rsidP="00BF4529">
            <w:pPr>
              <w:pStyle w:val="TableSideHeading"/>
              <w:spacing w:before="0"/>
              <w:jc w:val="left"/>
              <w:rPr>
                <w:sz w:val="26"/>
                <w:rtl/>
              </w:rPr>
            </w:pPr>
            <w:r>
              <w:rPr>
                <w:rFonts w:hint="cs"/>
                <w:sz w:val="26"/>
                <w:rtl/>
              </w:rPr>
              <w:t>ביטול סעיף 2</w:t>
            </w:r>
          </w:p>
        </w:tc>
        <w:tc>
          <w:tcPr>
            <w:tcW w:w="624" w:type="dxa"/>
            <w:tcMar>
              <w:top w:w="79" w:type="dxa"/>
              <w:left w:w="0" w:type="dxa"/>
              <w:bottom w:w="79" w:type="dxa"/>
              <w:right w:w="0" w:type="dxa"/>
            </w:tcMar>
            <w:hideMark/>
          </w:tcPr>
          <w:p w14:paraId="005BFA36" w14:textId="77777777" w:rsidR="00BF4529" w:rsidRDefault="00BF4529" w:rsidP="00BF4529">
            <w:pPr>
              <w:pStyle w:val="TableText"/>
              <w:spacing w:before="0"/>
              <w:rPr>
                <w:sz w:val="26"/>
                <w:rtl/>
              </w:rPr>
            </w:pPr>
            <w:r>
              <w:rPr>
                <w:rFonts w:hint="cs"/>
                <w:sz w:val="26"/>
                <w:rtl/>
              </w:rPr>
              <w:t>3.</w:t>
            </w:r>
          </w:p>
        </w:tc>
        <w:tc>
          <w:tcPr>
            <w:tcW w:w="7146" w:type="dxa"/>
            <w:gridSpan w:val="7"/>
            <w:tcMar>
              <w:top w:w="79" w:type="dxa"/>
              <w:left w:w="0" w:type="dxa"/>
              <w:bottom w:w="79" w:type="dxa"/>
              <w:right w:w="0" w:type="dxa"/>
            </w:tcMar>
            <w:hideMark/>
          </w:tcPr>
          <w:p w14:paraId="639A961F" w14:textId="77777777" w:rsidR="00BF4529" w:rsidRDefault="00BF4529" w:rsidP="00BF4529">
            <w:pPr>
              <w:pStyle w:val="TableBlock"/>
              <w:spacing w:before="0"/>
              <w:rPr>
                <w:sz w:val="26"/>
                <w:rtl/>
              </w:rPr>
            </w:pPr>
            <w:r>
              <w:rPr>
                <w:rFonts w:hint="cs"/>
                <w:sz w:val="26"/>
                <w:rtl/>
              </w:rPr>
              <w:t>סעיף 2 לחוק העיקרי – בטל.</w:t>
            </w:r>
          </w:p>
        </w:tc>
      </w:tr>
      <w:tr w:rsidR="00BF4529" w14:paraId="2942DD02" w14:textId="77777777" w:rsidTr="00BF4529">
        <w:trPr>
          <w:cantSplit/>
        </w:trPr>
        <w:tc>
          <w:tcPr>
            <w:tcW w:w="1871" w:type="dxa"/>
            <w:tcMar>
              <w:top w:w="79" w:type="dxa"/>
              <w:left w:w="0" w:type="dxa"/>
              <w:bottom w:w="79" w:type="dxa"/>
              <w:right w:w="0" w:type="dxa"/>
            </w:tcMar>
            <w:hideMark/>
          </w:tcPr>
          <w:p w14:paraId="4D883346" w14:textId="77777777" w:rsidR="00BF4529" w:rsidRDefault="00BF4529" w:rsidP="00BF4529">
            <w:pPr>
              <w:pStyle w:val="TableSideHeading"/>
              <w:spacing w:before="0"/>
              <w:jc w:val="left"/>
              <w:rPr>
                <w:sz w:val="26"/>
                <w:rtl/>
              </w:rPr>
            </w:pPr>
            <w:r>
              <w:rPr>
                <w:rFonts w:hint="cs"/>
                <w:sz w:val="26"/>
                <w:rtl/>
              </w:rPr>
              <w:t>תיקון סעיף 3</w:t>
            </w:r>
          </w:p>
        </w:tc>
        <w:tc>
          <w:tcPr>
            <w:tcW w:w="624" w:type="dxa"/>
            <w:tcMar>
              <w:top w:w="79" w:type="dxa"/>
              <w:left w:w="0" w:type="dxa"/>
              <w:bottom w:w="79" w:type="dxa"/>
              <w:right w:w="0" w:type="dxa"/>
            </w:tcMar>
            <w:hideMark/>
          </w:tcPr>
          <w:p w14:paraId="7D23D161" w14:textId="77777777" w:rsidR="00BF4529" w:rsidRDefault="00BF4529" w:rsidP="00BF4529">
            <w:pPr>
              <w:pStyle w:val="TableText"/>
              <w:spacing w:before="0"/>
              <w:rPr>
                <w:sz w:val="26"/>
                <w:rtl/>
              </w:rPr>
            </w:pPr>
            <w:r>
              <w:rPr>
                <w:rFonts w:hint="cs"/>
                <w:sz w:val="26"/>
                <w:rtl/>
              </w:rPr>
              <w:t>4.</w:t>
            </w:r>
          </w:p>
        </w:tc>
        <w:tc>
          <w:tcPr>
            <w:tcW w:w="7146" w:type="dxa"/>
            <w:gridSpan w:val="7"/>
            <w:tcMar>
              <w:top w:w="79" w:type="dxa"/>
              <w:left w:w="0" w:type="dxa"/>
              <w:bottom w:w="79" w:type="dxa"/>
              <w:right w:w="0" w:type="dxa"/>
            </w:tcMar>
            <w:hideMark/>
          </w:tcPr>
          <w:p w14:paraId="622464FB" w14:textId="77777777" w:rsidR="00BF4529" w:rsidRDefault="00BF4529" w:rsidP="00BF4529">
            <w:pPr>
              <w:pStyle w:val="TableBlock"/>
              <w:spacing w:before="0"/>
              <w:rPr>
                <w:sz w:val="26"/>
                <w:rtl/>
              </w:rPr>
            </w:pPr>
            <w:r>
              <w:rPr>
                <w:rFonts w:hint="cs"/>
                <w:sz w:val="26"/>
                <w:rtl/>
              </w:rPr>
              <w:t>בסעיף 3 לחוק העיקרי, במקום "התעשיה והמסחר" יבוא "הכלכלה".</w:t>
            </w:r>
          </w:p>
        </w:tc>
      </w:tr>
      <w:tr w:rsidR="00BF4529" w14:paraId="5A156127" w14:textId="77777777" w:rsidTr="00BF4529">
        <w:trPr>
          <w:cantSplit/>
        </w:trPr>
        <w:tc>
          <w:tcPr>
            <w:tcW w:w="1871" w:type="dxa"/>
            <w:tcMar>
              <w:top w:w="79" w:type="dxa"/>
              <w:left w:w="0" w:type="dxa"/>
              <w:bottom w:w="79" w:type="dxa"/>
              <w:right w:w="0" w:type="dxa"/>
            </w:tcMar>
            <w:hideMark/>
          </w:tcPr>
          <w:p w14:paraId="052557D1" w14:textId="77777777" w:rsidR="00BF4529" w:rsidRDefault="00BF4529" w:rsidP="00BF4529">
            <w:pPr>
              <w:pStyle w:val="TableSideHeading"/>
              <w:spacing w:before="0"/>
              <w:jc w:val="left"/>
              <w:rPr>
                <w:sz w:val="26"/>
                <w:rtl/>
              </w:rPr>
            </w:pPr>
            <w:r>
              <w:rPr>
                <w:rFonts w:hint="cs"/>
                <w:sz w:val="26"/>
                <w:rtl/>
              </w:rPr>
              <w:t>תיקון סעיף 4</w:t>
            </w:r>
          </w:p>
        </w:tc>
        <w:tc>
          <w:tcPr>
            <w:tcW w:w="624" w:type="dxa"/>
            <w:tcMar>
              <w:top w:w="79" w:type="dxa"/>
              <w:left w:w="0" w:type="dxa"/>
              <w:bottom w:w="79" w:type="dxa"/>
              <w:right w:w="0" w:type="dxa"/>
            </w:tcMar>
            <w:hideMark/>
          </w:tcPr>
          <w:p w14:paraId="04A6A859" w14:textId="77777777" w:rsidR="00BF4529" w:rsidRDefault="00BF4529" w:rsidP="00BF4529">
            <w:pPr>
              <w:pStyle w:val="TableText"/>
              <w:spacing w:before="0"/>
              <w:rPr>
                <w:sz w:val="26"/>
                <w:rtl/>
              </w:rPr>
            </w:pPr>
            <w:r>
              <w:rPr>
                <w:rFonts w:hint="cs"/>
                <w:sz w:val="26"/>
                <w:rtl/>
              </w:rPr>
              <w:t>5.</w:t>
            </w:r>
          </w:p>
        </w:tc>
        <w:tc>
          <w:tcPr>
            <w:tcW w:w="7146" w:type="dxa"/>
            <w:gridSpan w:val="7"/>
            <w:tcMar>
              <w:top w:w="79" w:type="dxa"/>
              <w:left w:w="0" w:type="dxa"/>
              <w:bottom w:w="79" w:type="dxa"/>
              <w:right w:w="0" w:type="dxa"/>
            </w:tcMar>
            <w:hideMark/>
          </w:tcPr>
          <w:p w14:paraId="08951363" w14:textId="77777777" w:rsidR="00BF4529" w:rsidRDefault="00BF4529" w:rsidP="00BF4529">
            <w:pPr>
              <w:pStyle w:val="TableBlock"/>
              <w:spacing w:before="0"/>
              <w:rPr>
                <w:sz w:val="26"/>
                <w:rtl/>
              </w:rPr>
            </w:pPr>
            <w:r>
              <w:rPr>
                <w:rFonts w:hint="cs"/>
                <w:sz w:val="26"/>
                <w:rtl/>
              </w:rPr>
              <w:t xml:space="preserve">בסעיף 4 לחוק העיקרי – </w:t>
            </w:r>
          </w:p>
        </w:tc>
      </w:tr>
      <w:tr w:rsidR="00BF4529" w14:paraId="6286FE2D" w14:textId="77777777" w:rsidTr="00BF4529">
        <w:trPr>
          <w:cantSplit/>
        </w:trPr>
        <w:tc>
          <w:tcPr>
            <w:tcW w:w="1871" w:type="dxa"/>
            <w:tcMar>
              <w:top w:w="79" w:type="dxa"/>
              <w:left w:w="0" w:type="dxa"/>
              <w:bottom w:w="79" w:type="dxa"/>
              <w:right w:w="0" w:type="dxa"/>
            </w:tcMar>
          </w:tcPr>
          <w:p w14:paraId="013D0B1C"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1DDFE0E7" w14:textId="77777777" w:rsidR="00BF4529" w:rsidRDefault="00BF4529" w:rsidP="00BF4529">
            <w:pPr>
              <w:pStyle w:val="TableText"/>
              <w:spacing w:before="0"/>
              <w:rPr>
                <w:sz w:val="26"/>
                <w:rtl/>
              </w:rPr>
            </w:pPr>
          </w:p>
        </w:tc>
        <w:tc>
          <w:tcPr>
            <w:tcW w:w="7146" w:type="dxa"/>
            <w:gridSpan w:val="7"/>
            <w:tcMar>
              <w:top w:w="79" w:type="dxa"/>
              <w:left w:w="0" w:type="dxa"/>
              <w:bottom w:w="79" w:type="dxa"/>
              <w:right w:w="0" w:type="dxa"/>
            </w:tcMar>
            <w:hideMark/>
          </w:tcPr>
          <w:p w14:paraId="30C3CC72" w14:textId="77777777" w:rsidR="00BF4529" w:rsidRDefault="00BF4529" w:rsidP="00BF4529">
            <w:pPr>
              <w:pStyle w:val="TableBlock"/>
              <w:spacing w:before="0"/>
              <w:rPr>
                <w:sz w:val="26"/>
                <w:rtl/>
              </w:rPr>
            </w:pPr>
            <w:r>
              <w:rPr>
                <w:rFonts w:hint="cs"/>
                <w:sz w:val="26"/>
                <w:rtl/>
              </w:rPr>
              <w:t>(1)</w:t>
            </w:r>
            <w:r>
              <w:rPr>
                <w:rFonts w:hint="cs"/>
                <w:sz w:val="26"/>
                <w:rtl/>
              </w:rPr>
              <w:tab/>
              <w:t>בהגדרה "תכנית", במקום הסיפה החל במילים "שכתוצאה ממנה" יבוא "לפי תנאים שייקבעו במסלול ההטבות";</w:t>
            </w:r>
          </w:p>
        </w:tc>
      </w:tr>
      <w:tr w:rsidR="00BF4529" w14:paraId="4AFB62AC" w14:textId="77777777" w:rsidTr="00BF4529">
        <w:trPr>
          <w:cantSplit/>
        </w:trPr>
        <w:tc>
          <w:tcPr>
            <w:tcW w:w="1871" w:type="dxa"/>
            <w:tcMar>
              <w:top w:w="91" w:type="dxa"/>
              <w:left w:w="0" w:type="dxa"/>
              <w:bottom w:w="91" w:type="dxa"/>
              <w:right w:w="0" w:type="dxa"/>
            </w:tcMar>
          </w:tcPr>
          <w:p w14:paraId="6FD1F4D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4AB31F3"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6A820B4" w14:textId="77777777" w:rsidR="00BF4529" w:rsidRDefault="00BF4529" w:rsidP="00BF4529">
            <w:pPr>
              <w:pStyle w:val="TableBlock"/>
              <w:spacing w:before="0"/>
              <w:rPr>
                <w:sz w:val="26"/>
                <w:rtl/>
              </w:rPr>
            </w:pPr>
            <w:r>
              <w:rPr>
                <w:rFonts w:hint="cs"/>
                <w:sz w:val="26"/>
                <w:rtl/>
              </w:rPr>
              <w:t>(2)</w:t>
            </w:r>
            <w:r>
              <w:rPr>
                <w:rFonts w:hint="cs"/>
                <w:sz w:val="26"/>
                <w:rtl/>
              </w:rPr>
              <w:tab/>
              <w:t xml:space="preserve">בהגדרה "תיק", במקום "לתמיכה במחקר ופיתוח, בשנה" יבוא "לקבלת הטבה , בתקופה"; </w:t>
            </w:r>
          </w:p>
        </w:tc>
      </w:tr>
      <w:tr w:rsidR="00BF4529" w14:paraId="57003251" w14:textId="77777777" w:rsidTr="00BF4529">
        <w:trPr>
          <w:cantSplit/>
        </w:trPr>
        <w:tc>
          <w:tcPr>
            <w:tcW w:w="1871" w:type="dxa"/>
            <w:tcMar>
              <w:top w:w="91" w:type="dxa"/>
              <w:left w:w="0" w:type="dxa"/>
              <w:bottom w:w="91" w:type="dxa"/>
              <w:right w:w="0" w:type="dxa"/>
            </w:tcMar>
          </w:tcPr>
          <w:p w14:paraId="29052CB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902B5D"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23DC56F1" w14:textId="77777777" w:rsidR="00BF4529" w:rsidRDefault="00BF4529" w:rsidP="00BF4529">
            <w:pPr>
              <w:pStyle w:val="TableBlock"/>
              <w:spacing w:before="0"/>
              <w:rPr>
                <w:sz w:val="26"/>
                <w:rtl/>
              </w:rPr>
            </w:pPr>
            <w:r>
              <w:rPr>
                <w:rFonts w:hint="cs"/>
                <w:sz w:val="26"/>
                <w:rtl/>
              </w:rPr>
              <w:t>(3)</w:t>
            </w:r>
            <w:r>
              <w:rPr>
                <w:rFonts w:hint="cs"/>
                <w:sz w:val="26"/>
                <w:rtl/>
              </w:rPr>
              <w:tab/>
              <w:t>בהגדרה "מוצר", במקום "ידע" יבוא "לא מוחשי, תהליך או שירות";</w:t>
            </w:r>
          </w:p>
        </w:tc>
      </w:tr>
      <w:tr w:rsidR="00BF4529" w14:paraId="6BB8A348" w14:textId="77777777" w:rsidTr="00BF4529">
        <w:trPr>
          <w:cantSplit/>
        </w:trPr>
        <w:tc>
          <w:tcPr>
            <w:tcW w:w="1871" w:type="dxa"/>
            <w:tcMar>
              <w:top w:w="91" w:type="dxa"/>
              <w:left w:w="0" w:type="dxa"/>
              <w:bottom w:w="91" w:type="dxa"/>
              <w:right w:w="0" w:type="dxa"/>
            </w:tcMar>
          </w:tcPr>
          <w:p w14:paraId="3D97344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CBE56DF"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D178E3D" w14:textId="77777777" w:rsidR="00BF4529" w:rsidRDefault="00BF4529" w:rsidP="00BF4529">
            <w:pPr>
              <w:pStyle w:val="TableBlock"/>
              <w:spacing w:before="0"/>
              <w:rPr>
                <w:sz w:val="26"/>
                <w:rtl/>
              </w:rPr>
            </w:pPr>
            <w:r>
              <w:rPr>
                <w:rFonts w:hint="cs"/>
                <w:sz w:val="26"/>
                <w:rtl/>
              </w:rPr>
              <w:t>(4)</w:t>
            </w:r>
            <w:r>
              <w:rPr>
                <w:rFonts w:hint="cs"/>
                <w:sz w:val="26"/>
                <w:rtl/>
              </w:rPr>
              <w:tab/>
              <w:t>ההגדרות "הוצאות מחקר ופיתוח" ו"שיעור הערך המוסף" – יימחקו;</w:t>
            </w:r>
          </w:p>
        </w:tc>
      </w:tr>
      <w:tr w:rsidR="00BF4529" w14:paraId="7A4995E7" w14:textId="77777777" w:rsidTr="00BF4529">
        <w:trPr>
          <w:cantSplit/>
        </w:trPr>
        <w:tc>
          <w:tcPr>
            <w:tcW w:w="1871" w:type="dxa"/>
            <w:tcMar>
              <w:top w:w="91" w:type="dxa"/>
              <w:left w:w="0" w:type="dxa"/>
              <w:bottom w:w="91" w:type="dxa"/>
              <w:right w:w="0" w:type="dxa"/>
            </w:tcMar>
          </w:tcPr>
          <w:p w14:paraId="255CFB4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B2122B7"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13DC8B5" w14:textId="77777777" w:rsidR="00BF4529" w:rsidRDefault="00BF4529" w:rsidP="00BF4529">
            <w:pPr>
              <w:pStyle w:val="TableBlock"/>
              <w:spacing w:before="0"/>
              <w:rPr>
                <w:sz w:val="26"/>
                <w:rtl/>
              </w:rPr>
            </w:pPr>
            <w:r>
              <w:rPr>
                <w:rFonts w:hint="cs"/>
                <w:sz w:val="26"/>
                <w:rtl/>
              </w:rPr>
              <w:t>(5)</w:t>
            </w:r>
            <w:r>
              <w:rPr>
                <w:rFonts w:hint="cs"/>
                <w:sz w:val="26"/>
                <w:rtl/>
              </w:rPr>
              <w:tab/>
              <w:t>אחרי ההגדרה ""שליטה" ו"בעל עניין"" יבוא:</w:t>
            </w:r>
          </w:p>
        </w:tc>
      </w:tr>
      <w:tr w:rsidR="00BF4529" w14:paraId="6A10739D" w14:textId="77777777" w:rsidTr="00BF4529">
        <w:trPr>
          <w:cantSplit/>
        </w:trPr>
        <w:tc>
          <w:tcPr>
            <w:tcW w:w="1871" w:type="dxa"/>
            <w:tcMar>
              <w:top w:w="91" w:type="dxa"/>
              <w:left w:w="0" w:type="dxa"/>
              <w:bottom w:w="91" w:type="dxa"/>
              <w:right w:w="0" w:type="dxa"/>
            </w:tcMar>
          </w:tcPr>
          <w:p w14:paraId="7408AA1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B711E6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A903C2"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801D9E2" w14:textId="77777777" w:rsidR="00BF4529" w:rsidRDefault="00BF4529" w:rsidP="00BF4529">
            <w:pPr>
              <w:pStyle w:val="TableBlockOutdent"/>
              <w:spacing w:before="0"/>
              <w:rPr>
                <w:sz w:val="26"/>
                <w:rtl/>
              </w:rPr>
            </w:pPr>
            <w:r>
              <w:rPr>
                <w:rFonts w:hint="cs"/>
                <w:sz w:val="26"/>
                <w:rtl/>
              </w:rPr>
              <w:t>""חדשנות טכנולוגית" – מחקר או פיתוח;</w:t>
            </w:r>
          </w:p>
        </w:tc>
      </w:tr>
      <w:tr w:rsidR="00BF4529" w14:paraId="1BF915D2" w14:textId="77777777" w:rsidTr="00BF4529">
        <w:trPr>
          <w:cantSplit/>
        </w:trPr>
        <w:tc>
          <w:tcPr>
            <w:tcW w:w="1871" w:type="dxa"/>
            <w:tcMar>
              <w:top w:w="91" w:type="dxa"/>
              <w:left w:w="0" w:type="dxa"/>
              <w:bottom w:w="91" w:type="dxa"/>
              <w:right w:w="0" w:type="dxa"/>
            </w:tcMar>
          </w:tcPr>
          <w:p w14:paraId="143036F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8B8540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7D5FC5"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ECFFBBB" w14:textId="77777777" w:rsidR="00BF4529" w:rsidRDefault="00BF4529" w:rsidP="00BF4529">
            <w:pPr>
              <w:pStyle w:val="TableBlock"/>
              <w:spacing w:before="0"/>
              <w:rPr>
                <w:sz w:val="26"/>
                <w:rtl/>
              </w:rPr>
            </w:pPr>
            <w:r>
              <w:rPr>
                <w:rFonts w:hint="cs"/>
                <w:sz w:val="26"/>
                <w:rtl/>
              </w:rPr>
              <w:t>"חוק החברות" – חוק החברות, התשנ"ט–1999‏</w:t>
            </w:r>
            <w:r>
              <w:rPr>
                <w:rStyle w:val="ab"/>
                <w:rFonts w:hAnsi="HadasaMFO"/>
                <w:sz w:val="26"/>
                <w:rtl/>
              </w:rPr>
              <w:footnoteReference w:id="3"/>
            </w:r>
            <w:r>
              <w:rPr>
                <w:rFonts w:hint="cs"/>
                <w:sz w:val="26"/>
                <w:rtl/>
              </w:rPr>
              <w:t>;</w:t>
            </w:r>
          </w:p>
        </w:tc>
      </w:tr>
      <w:tr w:rsidR="00BF4529" w14:paraId="0FE89B85" w14:textId="77777777" w:rsidTr="00BF4529">
        <w:trPr>
          <w:cantSplit/>
        </w:trPr>
        <w:tc>
          <w:tcPr>
            <w:tcW w:w="1871" w:type="dxa"/>
            <w:tcMar>
              <w:top w:w="91" w:type="dxa"/>
              <w:left w:w="0" w:type="dxa"/>
              <w:bottom w:w="91" w:type="dxa"/>
              <w:right w:w="0" w:type="dxa"/>
            </w:tcMar>
          </w:tcPr>
          <w:p w14:paraId="3DC6C77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DDE360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CCA888"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666A1D08" w14:textId="77777777" w:rsidR="00BF4529" w:rsidRDefault="00BF4529" w:rsidP="00BF4529">
            <w:pPr>
              <w:pStyle w:val="TableBlockOutdent"/>
              <w:spacing w:before="0"/>
              <w:rPr>
                <w:sz w:val="26"/>
                <w:rtl/>
              </w:rPr>
            </w:pPr>
            <w:r>
              <w:rPr>
                <w:rFonts w:hint="cs"/>
                <w:sz w:val="26"/>
                <w:rtl/>
              </w:rPr>
              <w:t>"חוק החברות הממשלתיות" – חוק החברות הממשלתיות, התשל"ה–1975‏</w:t>
            </w:r>
            <w:r>
              <w:rPr>
                <w:rStyle w:val="ab"/>
                <w:rFonts w:hAnsi="HadasaMFO"/>
                <w:sz w:val="26"/>
                <w:rtl/>
              </w:rPr>
              <w:footnoteReference w:id="4"/>
            </w:r>
            <w:r>
              <w:rPr>
                <w:rFonts w:hint="cs"/>
                <w:sz w:val="26"/>
                <w:rtl/>
              </w:rPr>
              <w:t>;</w:t>
            </w:r>
          </w:p>
        </w:tc>
      </w:tr>
      <w:tr w:rsidR="00BF4529" w14:paraId="733AFA9F" w14:textId="77777777" w:rsidTr="00BF4529">
        <w:trPr>
          <w:cantSplit/>
        </w:trPr>
        <w:tc>
          <w:tcPr>
            <w:tcW w:w="1871" w:type="dxa"/>
            <w:tcMar>
              <w:top w:w="91" w:type="dxa"/>
              <w:left w:w="0" w:type="dxa"/>
              <w:bottom w:w="91" w:type="dxa"/>
              <w:right w:w="0" w:type="dxa"/>
            </w:tcMar>
          </w:tcPr>
          <w:p w14:paraId="69A2E81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9AEFC6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167FF2"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F37300C" w14:textId="77777777" w:rsidR="00BF4529" w:rsidRDefault="00BF4529" w:rsidP="00BF4529">
            <w:pPr>
              <w:pStyle w:val="TableBlockOutdent"/>
              <w:spacing w:before="0"/>
              <w:rPr>
                <w:sz w:val="26"/>
                <w:rtl/>
              </w:rPr>
            </w:pPr>
            <w:r>
              <w:rPr>
                <w:rFonts w:hint="cs"/>
                <w:sz w:val="26"/>
                <w:rtl/>
              </w:rPr>
              <w:t>"חוק יסודות התקציב" – חוק יסודות התקציב, התשמ"ה–1985‏</w:t>
            </w:r>
            <w:r>
              <w:rPr>
                <w:rStyle w:val="ab"/>
                <w:rFonts w:hAnsi="HadasaMFO"/>
                <w:sz w:val="26"/>
                <w:rtl/>
              </w:rPr>
              <w:footnoteReference w:id="5"/>
            </w:r>
            <w:r>
              <w:rPr>
                <w:rFonts w:hint="cs"/>
                <w:sz w:val="26"/>
                <w:rtl/>
              </w:rPr>
              <w:t>;</w:t>
            </w:r>
          </w:p>
        </w:tc>
      </w:tr>
      <w:tr w:rsidR="00BF4529" w14:paraId="6CA528CB" w14:textId="77777777" w:rsidTr="00BF4529">
        <w:trPr>
          <w:cantSplit/>
        </w:trPr>
        <w:tc>
          <w:tcPr>
            <w:tcW w:w="1871" w:type="dxa"/>
            <w:tcMar>
              <w:top w:w="91" w:type="dxa"/>
              <w:left w:w="0" w:type="dxa"/>
              <w:bottom w:w="91" w:type="dxa"/>
              <w:right w:w="0" w:type="dxa"/>
            </w:tcMar>
          </w:tcPr>
          <w:p w14:paraId="38ADA3C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8716A4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07F7B9"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6B72F79" w14:textId="77777777" w:rsidR="00BF4529" w:rsidRDefault="00BF4529" w:rsidP="00BF4529">
            <w:pPr>
              <w:pStyle w:val="TableBlockOutdent"/>
              <w:spacing w:before="0"/>
              <w:rPr>
                <w:sz w:val="26"/>
                <w:rtl/>
              </w:rPr>
            </w:pPr>
            <w:r>
              <w:rPr>
                <w:rFonts w:hint="cs"/>
                <w:sz w:val="26"/>
                <w:rtl/>
              </w:rPr>
              <w:t>"חוק המועצה להשכלה גבוהה" – חוק המועצה להשכלה גבוהה, התשי"ח–1958‏</w:t>
            </w:r>
            <w:r>
              <w:rPr>
                <w:rStyle w:val="ab"/>
                <w:rFonts w:hAnsi="HadasaMFO"/>
                <w:sz w:val="26"/>
                <w:rtl/>
              </w:rPr>
              <w:footnoteReference w:id="6"/>
            </w:r>
            <w:r>
              <w:rPr>
                <w:rFonts w:hint="cs"/>
                <w:sz w:val="26"/>
                <w:rtl/>
              </w:rPr>
              <w:t>;</w:t>
            </w:r>
          </w:p>
        </w:tc>
      </w:tr>
      <w:tr w:rsidR="00BF4529" w14:paraId="36E0E715" w14:textId="77777777" w:rsidTr="00BF4529">
        <w:trPr>
          <w:cantSplit/>
        </w:trPr>
        <w:tc>
          <w:tcPr>
            <w:tcW w:w="1871" w:type="dxa"/>
            <w:tcMar>
              <w:top w:w="91" w:type="dxa"/>
              <w:left w:w="0" w:type="dxa"/>
              <w:bottom w:w="91" w:type="dxa"/>
              <w:right w:w="0" w:type="dxa"/>
            </w:tcMar>
          </w:tcPr>
          <w:p w14:paraId="171AED0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F050E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1A4F9A"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0C6C6EBC" w14:textId="77777777" w:rsidR="00BF4529" w:rsidRDefault="00BF4529" w:rsidP="00BF4529">
            <w:pPr>
              <w:pStyle w:val="TableBlockOutdent"/>
              <w:spacing w:before="0"/>
              <w:rPr>
                <w:sz w:val="26"/>
                <w:rtl/>
              </w:rPr>
            </w:pPr>
            <w:r>
              <w:rPr>
                <w:rFonts w:hint="cs"/>
                <w:sz w:val="26"/>
                <w:rtl/>
              </w:rPr>
              <w:t>"יום התחילה" – יום תחילתו של חוק לעידוד מחקר ופיתוח בתעשייה (תיקון מס' 7), התשע"ה–2015</w:t>
            </w:r>
            <w:r>
              <w:rPr>
                <w:rStyle w:val="ab"/>
                <w:sz w:val="26"/>
                <w:rtl/>
              </w:rPr>
              <w:footnoteReference w:id="7"/>
            </w:r>
            <w:r>
              <w:rPr>
                <w:rFonts w:hint="cs"/>
                <w:sz w:val="26"/>
                <w:rtl/>
              </w:rPr>
              <w:t>;</w:t>
            </w:r>
          </w:p>
        </w:tc>
      </w:tr>
      <w:tr w:rsidR="00BF4529" w14:paraId="55EA728C" w14:textId="77777777" w:rsidTr="00BF4529">
        <w:trPr>
          <w:cantSplit/>
        </w:trPr>
        <w:tc>
          <w:tcPr>
            <w:tcW w:w="1871" w:type="dxa"/>
            <w:tcMar>
              <w:top w:w="91" w:type="dxa"/>
              <w:left w:w="0" w:type="dxa"/>
              <w:bottom w:w="91" w:type="dxa"/>
              <w:right w:w="0" w:type="dxa"/>
            </w:tcMar>
          </w:tcPr>
          <w:p w14:paraId="6D0DEF1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A9AAB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A80121"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0A400AC9" w14:textId="77777777" w:rsidR="00BF4529" w:rsidRDefault="00BF4529" w:rsidP="00BF4529">
            <w:pPr>
              <w:pStyle w:val="TableBlockOutdent"/>
              <w:spacing w:before="0"/>
              <w:rPr>
                <w:sz w:val="26"/>
                <w:rtl/>
              </w:rPr>
            </w:pPr>
            <w:r>
              <w:rPr>
                <w:rFonts w:hint="cs"/>
                <w:sz w:val="26"/>
                <w:rtl/>
              </w:rPr>
              <w:t>"המדען הראשי" – המדען הראשי במשרד הכלכלה;</w:t>
            </w:r>
          </w:p>
        </w:tc>
      </w:tr>
      <w:tr w:rsidR="00BF4529" w14:paraId="27E64703" w14:textId="77777777" w:rsidTr="00BF4529">
        <w:trPr>
          <w:cantSplit/>
        </w:trPr>
        <w:tc>
          <w:tcPr>
            <w:tcW w:w="1871" w:type="dxa"/>
            <w:tcMar>
              <w:top w:w="91" w:type="dxa"/>
              <w:left w:w="0" w:type="dxa"/>
              <w:bottom w:w="91" w:type="dxa"/>
              <w:right w:w="0" w:type="dxa"/>
            </w:tcMar>
          </w:tcPr>
          <w:p w14:paraId="1E39412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586066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1B194CF"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4A6A3CA" w14:textId="77777777" w:rsidR="00BF4529" w:rsidRDefault="00BF4529" w:rsidP="00BF4529">
            <w:pPr>
              <w:pStyle w:val="TableBlock"/>
              <w:spacing w:before="0"/>
              <w:rPr>
                <w:sz w:val="26"/>
                <w:rtl/>
              </w:rPr>
            </w:pPr>
            <w:r>
              <w:rPr>
                <w:rFonts w:hint="cs"/>
                <w:sz w:val="26"/>
                <w:rtl/>
              </w:rPr>
              <w:t xml:space="preserve">"מוסד להשכלה גבוהה" – כל אחד מאלה: </w:t>
            </w:r>
          </w:p>
        </w:tc>
      </w:tr>
      <w:tr w:rsidR="00BF4529" w14:paraId="55886475" w14:textId="77777777" w:rsidTr="00BF4529">
        <w:trPr>
          <w:cantSplit/>
        </w:trPr>
        <w:tc>
          <w:tcPr>
            <w:tcW w:w="1871" w:type="dxa"/>
            <w:tcMar>
              <w:top w:w="91" w:type="dxa"/>
              <w:left w:w="0" w:type="dxa"/>
              <w:bottom w:w="91" w:type="dxa"/>
              <w:right w:w="0" w:type="dxa"/>
            </w:tcMar>
          </w:tcPr>
          <w:p w14:paraId="483F14A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7075CD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80D98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A26DA53"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1F9295C5" w14:textId="77777777" w:rsidR="00BF4529" w:rsidRDefault="00BF4529" w:rsidP="00BF4529">
            <w:pPr>
              <w:pStyle w:val="TableBlock"/>
              <w:spacing w:before="0"/>
              <w:rPr>
                <w:sz w:val="26"/>
                <w:rtl/>
              </w:rPr>
            </w:pPr>
            <w:r>
              <w:rPr>
                <w:rFonts w:hint="cs"/>
                <w:sz w:val="26"/>
                <w:rtl/>
              </w:rPr>
              <w:t>(1)</w:t>
            </w:r>
            <w:r>
              <w:rPr>
                <w:rFonts w:hint="cs"/>
                <w:sz w:val="26"/>
                <w:rtl/>
              </w:rPr>
              <w:tab/>
              <w:t>מוסד שהוכר לפי סעיף 9 לחוק המועצה להשכלה גבוהה;</w:t>
            </w:r>
          </w:p>
        </w:tc>
      </w:tr>
      <w:tr w:rsidR="00BF4529" w14:paraId="1D8E82AF" w14:textId="77777777" w:rsidTr="00BF4529">
        <w:trPr>
          <w:cantSplit/>
        </w:trPr>
        <w:tc>
          <w:tcPr>
            <w:tcW w:w="1871" w:type="dxa"/>
            <w:tcMar>
              <w:top w:w="91" w:type="dxa"/>
              <w:left w:w="0" w:type="dxa"/>
              <w:bottom w:w="91" w:type="dxa"/>
              <w:right w:w="0" w:type="dxa"/>
            </w:tcMar>
          </w:tcPr>
          <w:p w14:paraId="6C82B7B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DCDDD4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B0220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152F0B"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7CBA990D" w14:textId="77777777" w:rsidR="00BF4529" w:rsidRDefault="00BF4529" w:rsidP="00BF4529">
            <w:pPr>
              <w:pStyle w:val="TableBlock"/>
              <w:spacing w:before="0"/>
              <w:rPr>
                <w:sz w:val="26"/>
                <w:rtl/>
              </w:rPr>
            </w:pPr>
            <w:r>
              <w:rPr>
                <w:rFonts w:hint="cs"/>
                <w:sz w:val="26"/>
                <w:rtl/>
              </w:rPr>
              <w:t>(2)</w:t>
            </w:r>
            <w:r>
              <w:rPr>
                <w:rFonts w:hint="cs"/>
                <w:sz w:val="26"/>
                <w:rtl/>
              </w:rPr>
              <w:tab/>
              <w:t>מוסד שקיבל תעודת היתר או אישור לפי סעיף 21א לחוק המועצה להשכלה גבוהה;</w:t>
            </w:r>
          </w:p>
        </w:tc>
      </w:tr>
      <w:tr w:rsidR="00BF4529" w14:paraId="780F564C" w14:textId="77777777" w:rsidTr="00BF4529">
        <w:trPr>
          <w:cantSplit/>
        </w:trPr>
        <w:tc>
          <w:tcPr>
            <w:tcW w:w="1871" w:type="dxa"/>
            <w:tcMar>
              <w:top w:w="91" w:type="dxa"/>
              <w:left w:w="0" w:type="dxa"/>
              <w:bottom w:w="91" w:type="dxa"/>
              <w:right w:w="0" w:type="dxa"/>
            </w:tcMar>
          </w:tcPr>
          <w:p w14:paraId="7F3829E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8AC2A7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E686E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9D30E8E"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30E2637C" w14:textId="77777777" w:rsidR="00BF4529" w:rsidRDefault="00BF4529" w:rsidP="00BF4529">
            <w:pPr>
              <w:pStyle w:val="TableBlock"/>
              <w:spacing w:before="0"/>
              <w:rPr>
                <w:sz w:val="26"/>
                <w:rtl/>
              </w:rPr>
            </w:pPr>
            <w:r>
              <w:rPr>
                <w:rFonts w:hint="cs"/>
                <w:sz w:val="26"/>
                <w:rtl/>
              </w:rPr>
              <w:t>(3)</w:t>
            </w:r>
            <w:r>
              <w:rPr>
                <w:rFonts w:hint="cs"/>
                <w:sz w:val="26"/>
                <w:rtl/>
              </w:rPr>
              <w:tab/>
              <w:t>מוסד שהתואר שהוא מעניק הוכר לפי סעיף 28א לחוק המועצה להשכלה גבוהה;</w:t>
            </w:r>
          </w:p>
        </w:tc>
      </w:tr>
      <w:tr w:rsidR="00BF4529" w14:paraId="5782A9EA" w14:textId="77777777" w:rsidTr="00BF4529">
        <w:trPr>
          <w:cantSplit/>
        </w:trPr>
        <w:tc>
          <w:tcPr>
            <w:tcW w:w="1871" w:type="dxa"/>
            <w:tcMar>
              <w:top w:w="91" w:type="dxa"/>
              <w:left w:w="0" w:type="dxa"/>
              <w:bottom w:w="91" w:type="dxa"/>
              <w:right w:w="0" w:type="dxa"/>
            </w:tcMar>
          </w:tcPr>
          <w:p w14:paraId="7F6EA20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24B19F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63126AD"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6A588EC" w14:textId="77777777" w:rsidR="00BF4529" w:rsidRDefault="00BF4529" w:rsidP="00BF4529">
            <w:pPr>
              <w:pStyle w:val="TableBlockOutdent"/>
              <w:spacing w:before="0"/>
              <w:rPr>
                <w:sz w:val="26"/>
                <w:rtl/>
              </w:rPr>
            </w:pPr>
            <w:r>
              <w:rPr>
                <w:rFonts w:hint="cs"/>
                <w:sz w:val="26"/>
                <w:rtl/>
              </w:rPr>
              <w:t>"המועצה להשכלה גבוהה" – כמשמעותה בחוק המועצה להשכלה גבוהה;</w:t>
            </w:r>
          </w:p>
        </w:tc>
      </w:tr>
      <w:tr w:rsidR="00BF4529" w14:paraId="1E83B530" w14:textId="77777777" w:rsidTr="00BF4529">
        <w:trPr>
          <w:cantSplit/>
        </w:trPr>
        <w:tc>
          <w:tcPr>
            <w:tcW w:w="1871" w:type="dxa"/>
            <w:tcMar>
              <w:top w:w="91" w:type="dxa"/>
              <w:left w:w="0" w:type="dxa"/>
              <w:bottom w:w="91" w:type="dxa"/>
              <w:right w:w="0" w:type="dxa"/>
            </w:tcMar>
          </w:tcPr>
          <w:p w14:paraId="4ABD4A3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AD573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B16D74"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6C0D3A2" w14:textId="77777777" w:rsidR="00BF4529" w:rsidRDefault="00BF4529" w:rsidP="00BF4529">
            <w:pPr>
              <w:pStyle w:val="TableBlockOutdent"/>
              <w:spacing w:before="0"/>
              <w:rPr>
                <w:sz w:val="26"/>
                <w:rtl/>
              </w:rPr>
            </w:pPr>
            <w:r>
              <w:rPr>
                <w:rFonts w:hint="cs"/>
                <w:sz w:val="26"/>
                <w:rtl/>
              </w:rPr>
              <w:t>"המסלולים הישנים" – מסלולי הטבות אשר הופעלו על ידי המדען הראשי או המינהל למחקר ופיתוח תעשייתי במשרד הכלכלה, לפני יום התחילה, בין אם הופעלו מכוח החוק ובין אם לאו, לרבות מסלול חוק המו"פ;</w:t>
            </w:r>
          </w:p>
        </w:tc>
      </w:tr>
      <w:tr w:rsidR="00BF4529" w14:paraId="34A541FA" w14:textId="77777777" w:rsidTr="00BF4529">
        <w:trPr>
          <w:cantSplit/>
        </w:trPr>
        <w:tc>
          <w:tcPr>
            <w:tcW w:w="1871" w:type="dxa"/>
            <w:tcMar>
              <w:top w:w="91" w:type="dxa"/>
              <w:left w:w="0" w:type="dxa"/>
              <w:bottom w:w="91" w:type="dxa"/>
              <w:right w:w="0" w:type="dxa"/>
            </w:tcMar>
          </w:tcPr>
          <w:p w14:paraId="3DCAA2E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1D8D8D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0407FA"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10B2C110" w14:textId="77777777" w:rsidR="00BF4529" w:rsidRDefault="00BF4529" w:rsidP="00BF4529">
            <w:pPr>
              <w:pStyle w:val="TableBlockOutdent"/>
              <w:spacing w:before="0"/>
              <w:rPr>
                <w:sz w:val="26"/>
                <w:rtl/>
              </w:rPr>
            </w:pPr>
            <w:r>
              <w:rPr>
                <w:rFonts w:hint="cs"/>
                <w:sz w:val="26"/>
                <w:rtl/>
              </w:rPr>
              <w:t>"מסלול חוק המו"פ" – מסלול הטבות שמכוחו ניתנו אישורים לתכניות לפי פרק ד' לחוק כנוסחו ערב יום התחילה;</w:t>
            </w:r>
          </w:p>
        </w:tc>
      </w:tr>
      <w:tr w:rsidR="00BF4529" w14:paraId="3CCA54EB" w14:textId="77777777" w:rsidTr="00BF4529">
        <w:trPr>
          <w:cantSplit/>
        </w:trPr>
        <w:tc>
          <w:tcPr>
            <w:tcW w:w="1871" w:type="dxa"/>
            <w:tcMar>
              <w:top w:w="91" w:type="dxa"/>
              <w:left w:w="0" w:type="dxa"/>
              <w:bottom w:w="91" w:type="dxa"/>
              <w:right w:w="0" w:type="dxa"/>
            </w:tcMar>
          </w:tcPr>
          <w:p w14:paraId="42E0F26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ABF55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4FFAAE"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C50A4AC" w14:textId="77777777" w:rsidR="00BF4529" w:rsidRDefault="00BF4529" w:rsidP="00BF4529">
            <w:pPr>
              <w:pStyle w:val="TableBlockOutdent"/>
              <w:spacing w:before="0"/>
              <w:rPr>
                <w:sz w:val="26"/>
                <w:rtl/>
              </w:rPr>
            </w:pPr>
            <w:r>
              <w:rPr>
                <w:rFonts w:hint="cs"/>
                <w:sz w:val="26"/>
                <w:rtl/>
              </w:rPr>
              <w:t>"הנגב" ו"הגליל" – כהגדרתם בחוק הרשות לפיתוח הנגב, התשנ"ב–</w:t>
            </w:r>
            <w:r>
              <w:rPr>
                <w:rFonts w:hint="cs"/>
                <w:sz w:val="26"/>
                <w:rtl/>
              </w:rPr>
              <w:softHyphen/>
              <w:t>1991</w:t>
            </w:r>
            <w:r>
              <w:rPr>
                <w:rStyle w:val="ab"/>
                <w:sz w:val="26"/>
                <w:rtl/>
              </w:rPr>
              <w:footnoteReference w:id="8"/>
            </w:r>
            <w:r>
              <w:rPr>
                <w:rFonts w:hint="cs"/>
                <w:sz w:val="26"/>
                <w:rtl/>
              </w:rPr>
              <w:t>, ובחוק הרשות לפיתוח הגליל, התשנ"ג–1993</w:t>
            </w:r>
            <w:r>
              <w:rPr>
                <w:rStyle w:val="ab"/>
                <w:sz w:val="26"/>
                <w:rtl/>
              </w:rPr>
              <w:footnoteReference w:id="9"/>
            </w:r>
            <w:r>
              <w:rPr>
                <w:rFonts w:hint="cs"/>
                <w:sz w:val="26"/>
                <w:rtl/>
              </w:rPr>
              <w:t>, בהתאמה;</w:t>
            </w:r>
          </w:p>
        </w:tc>
      </w:tr>
      <w:tr w:rsidR="00BF4529" w14:paraId="596AB8E2" w14:textId="77777777" w:rsidTr="00BF4529">
        <w:trPr>
          <w:cantSplit/>
        </w:trPr>
        <w:tc>
          <w:tcPr>
            <w:tcW w:w="1871" w:type="dxa"/>
            <w:tcMar>
              <w:top w:w="91" w:type="dxa"/>
              <w:left w:w="0" w:type="dxa"/>
              <w:bottom w:w="91" w:type="dxa"/>
              <w:right w:w="0" w:type="dxa"/>
            </w:tcMar>
          </w:tcPr>
          <w:p w14:paraId="39288DB8" w14:textId="77777777" w:rsidR="00BF4529" w:rsidRDefault="00BF4529" w:rsidP="00BF4529">
            <w:pPr>
              <w:pStyle w:val="TableSideHeading"/>
              <w:spacing w:before="0"/>
              <w:jc w:val="left"/>
              <w:rPr>
                <w:sz w:val="26"/>
              </w:rPr>
            </w:pPr>
          </w:p>
        </w:tc>
        <w:tc>
          <w:tcPr>
            <w:tcW w:w="624" w:type="dxa"/>
            <w:tcMar>
              <w:top w:w="91" w:type="dxa"/>
              <w:left w:w="0" w:type="dxa"/>
              <w:bottom w:w="91" w:type="dxa"/>
              <w:right w:w="0" w:type="dxa"/>
            </w:tcMar>
          </w:tcPr>
          <w:p w14:paraId="63D1973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AA33534"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623D0160" w14:textId="77777777" w:rsidR="00BF4529" w:rsidRDefault="00BF4529" w:rsidP="00BF4529">
            <w:pPr>
              <w:pStyle w:val="TableBlockOutdent"/>
              <w:spacing w:before="0"/>
              <w:rPr>
                <w:sz w:val="26"/>
                <w:rtl/>
              </w:rPr>
            </w:pPr>
            <w:r>
              <w:rPr>
                <w:rFonts w:hint="cs"/>
                <w:sz w:val="26"/>
                <w:rtl/>
              </w:rPr>
              <w:t>"הרשות" – הרשות הלאומית לחדשנות טכנולוגית שהוקמה בסעיף 5."</w:t>
            </w:r>
          </w:p>
        </w:tc>
      </w:tr>
      <w:tr w:rsidR="00BF4529" w14:paraId="03F5477A" w14:textId="77777777" w:rsidTr="00BF4529">
        <w:trPr>
          <w:cantSplit/>
        </w:trPr>
        <w:tc>
          <w:tcPr>
            <w:tcW w:w="1871" w:type="dxa"/>
            <w:tcMar>
              <w:top w:w="91" w:type="dxa"/>
              <w:left w:w="0" w:type="dxa"/>
              <w:bottom w:w="91" w:type="dxa"/>
              <w:right w:w="0" w:type="dxa"/>
            </w:tcMar>
            <w:hideMark/>
          </w:tcPr>
          <w:p w14:paraId="6E439D5A" w14:textId="77777777" w:rsidR="00BF4529" w:rsidRDefault="00BF4529" w:rsidP="00BF4529">
            <w:pPr>
              <w:pStyle w:val="TableSideHeading"/>
              <w:spacing w:before="0"/>
              <w:jc w:val="left"/>
              <w:rPr>
                <w:sz w:val="26"/>
                <w:rtl/>
              </w:rPr>
            </w:pPr>
            <w:r>
              <w:rPr>
                <w:rFonts w:hint="cs"/>
                <w:sz w:val="26"/>
                <w:rtl/>
              </w:rPr>
              <w:lastRenderedPageBreak/>
              <w:t xml:space="preserve">תיקון כותרת </w:t>
            </w:r>
            <w:r>
              <w:rPr>
                <w:rFonts w:hint="cs"/>
                <w:sz w:val="26"/>
                <w:rtl/>
              </w:rPr>
              <w:br/>
              <w:t>פרק ג'</w:t>
            </w:r>
          </w:p>
        </w:tc>
        <w:tc>
          <w:tcPr>
            <w:tcW w:w="624" w:type="dxa"/>
            <w:tcMar>
              <w:top w:w="91" w:type="dxa"/>
              <w:left w:w="0" w:type="dxa"/>
              <w:bottom w:w="91" w:type="dxa"/>
              <w:right w:w="0" w:type="dxa"/>
            </w:tcMar>
            <w:hideMark/>
          </w:tcPr>
          <w:p w14:paraId="32F86B13" w14:textId="77777777" w:rsidR="00BF4529" w:rsidRDefault="00BF4529" w:rsidP="00BF4529">
            <w:pPr>
              <w:pStyle w:val="TableText"/>
              <w:spacing w:before="0"/>
              <w:rPr>
                <w:sz w:val="26"/>
                <w:rtl/>
              </w:rPr>
            </w:pPr>
            <w:r>
              <w:rPr>
                <w:rFonts w:hint="cs"/>
                <w:sz w:val="26"/>
                <w:rtl/>
              </w:rPr>
              <w:t>6.</w:t>
            </w:r>
          </w:p>
        </w:tc>
        <w:tc>
          <w:tcPr>
            <w:tcW w:w="7146" w:type="dxa"/>
            <w:gridSpan w:val="7"/>
            <w:tcMar>
              <w:top w:w="91" w:type="dxa"/>
              <w:left w:w="0" w:type="dxa"/>
              <w:bottom w:w="91" w:type="dxa"/>
              <w:right w:w="0" w:type="dxa"/>
            </w:tcMar>
            <w:hideMark/>
          </w:tcPr>
          <w:p w14:paraId="7F308899" w14:textId="77777777" w:rsidR="00BF4529" w:rsidRDefault="00BF4529" w:rsidP="00BF4529">
            <w:pPr>
              <w:pStyle w:val="TableBlock"/>
              <w:spacing w:before="0"/>
              <w:rPr>
                <w:sz w:val="26"/>
                <w:rtl/>
              </w:rPr>
            </w:pPr>
            <w:r>
              <w:rPr>
                <w:rFonts w:hint="cs"/>
                <w:sz w:val="26"/>
                <w:rtl/>
              </w:rPr>
              <w:t>בכותרת פרק ג' לחוק העיקרי, במקום "מינהל למחקר ופיתוח תעשייתי" יבוא "הרשות הלאומית לחדשנות טכנולוגית".</w:t>
            </w:r>
          </w:p>
        </w:tc>
      </w:tr>
      <w:tr w:rsidR="00BF4529" w14:paraId="14C84710" w14:textId="77777777" w:rsidTr="00BF4529">
        <w:trPr>
          <w:cantSplit/>
        </w:trPr>
        <w:tc>
          <w:tcPr>
            <w:tcW w:w="1871" w:type="dxa"/>
            <w:tcMar>
              <w:top w:w="91" w:type="dxa"/>
              <w:left w:w="0" w:type="dxa"/>
              <w:bottom w:w="91" w:type="dxa"/>
              <w:right w:w="0" w:type="dxa"/>
            </w:tcMar>
            <w:hideMark/>
          </w:tcPr>
          <w:p w14:paraId="73C3CA64" w14:textId="77777777" w:rsidR="00BF4529" w:rsidRDefault="00BF4529" w:rsidP="00BF4529">
            <w:pPr>
              <w:pStyle w:val="TableSideHeading"/>
              <w:spacing w:before="0"/>
              <w:jc w:val="left"/>
              <w:rPr>
                <w:sz w:val="26"/>
                <w:rtl/>
              </w:rPr>
            </w:pPr>
            <w:r>
              <w:rPr>
                <w:rFonts w:hint="cs"/>
                <w:sz w:val="26"/>
                <w:rtl/>
              </w:rPr>
              <w:t xml:space="preserve">החלפת סעיף 5 והוספת כותרת סימן א' וסעיפים 5א עד 5ד </w:t>
            </w:r>
          </w:p>
        </w:tc>
        <w:tc>
          <w:tcPr>
            <w:tcW w:w="624" w:type="dxa"/>
            <w:tcMar>
              <w:top w:w="91" w:type="dxa"/>
              <w:left w:w="0" w:type="dxa"/>
              <w:bottom w:w="91" w:type="dxa"/>
              <w:right w:w="0" w:type="dxa"/>
            </w:tcMar>
            <w:hideMark/>
          </w:tcPr>
          <w:p w14:paraId="39384B93" w14:textId="77777777" w:rsidR="00BF4529" w:rsidRDefault="00BF4529" w:rsidP="00BF4529">
            <w:pPr>
              <w:pStyle w:val="TableText"/>
              <w:spacing w:before="0"/>
              <w:rPr>
                <w:sz w:val="26"/>
                <w:rtl/>
              </w:rPr>
            </w:pPr>
            <w:r>
              <w:rPr>
                <w:rFonts w:hint="cs"/>
                <w:sz w:val="26"/>
                <w:rtl/>
              </w:rPr>
              <w:t>7.</w:t>
            </w:r>
          </w:p>
        </w:tc>
        <w:tc>
          <w:tcPr>
            <w:tcW w:w="7146" w:type="dxa"/>
            <w:gridSpan w:val="7"/>
            <w:tcMar>
              <w:top w:w="91" w:type="dxa"/>
              <w:left w:w="0" w:type="dxa"/>
              <w:bottom w:w="91" w:type="dxa"/>
              <w:right w:w="0" w:type="dxa"/>
            </w:tcMar>
            <w:hideMark/>
          </w:tcPr>
          <w:p w14:paraId="3FB819F3" w14:textId="77777777" w:rsidR="00BF4529" w:rsidRDefault="00BF4529" w:rsidP="00BF4529">
            <w:pPr>
              <w:pStyle w:val="TableBlock"/>
              <w:spacing w:before="0"/>
              <w:rPr>
                <w:sz w:val="26"/>
                <w:rtl/>
              </w:rPr>
            </w:pPr>
            <w:r>
              <w:rPr>
                <w:rFonts w:hint="cs"/>
                <w:sz w:val="26"/>
                <w:rtl/>
              </w:rPr>
              <w:t>במקום סעיף 5 לחוק העיקרי יבוא:</w:t>
            </w:r>
          </w:p>
        </w:tc>
      </w:tr>
      <w:tr w:rsidR="00BF4529" w14:paraId="79156242" w14:textId="77777777" w:rsidTr="00BF4529">
        <w:trPr>
          <w:cantSplit/>
        </w:trPr>
        <w:tc>
          <w:tcPr>
            <w:tcW w:w="1871" w:type="dxa"/>
            <w:tcMar>
              <w:top w:w="91" w:type="dxa"/>
              <w:left w:w="0" w:type="dxa"/>
              <w:bottom w:w="91" w:type="dxa"/>
              <w:right w:w="0" w:type="dxa"/>
            </w:tcMar>
          </w:tcPr>
          <w:p w14:paraId="625AE4B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405FBC7"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0498E853" w14:textId="77777777" w:rsidR="00BF4529" w:rsidRDefault="00BF4529" w:rsidP="00BF4529">
            <w:pPr>
              <w:pStyle w:val="TableHead"/>
              <w:spacing w:before="0"/>
              <w:rPr>
                <w:sz w:val="26"/>
                <w:rtl/>
              </w:rPr>
            </w:pPr>
            <w:r>
              <w:rPr>
                <w:rFonts w:hint="cs"/>
                <w:sz w:val="26"/>
                <w:rtl/>
              </w:rPr>
              <w:t>"סימן א': הרשות</w:t>
            </w:r>
          </w:p>
        </w:tc>
      </w:tr>
      <w:tr w:rsidR="00BF4529" w14:paraId="0A815F09" w14:textId="77777777" w:rsidTr="00BF4529">
        <w:trPr>
          <w:cantSplit/>
        </w:trPr>
        <w:tc>
          <w:tcPr>
            <w:tcW w:w="1871" w:type="dxa"/>
            <w:tcMar>
              <w:top w:w="91" w:type="dxa"/>
              <w:left w:w="0" w:type="dxa"/>
              <w:bottom w:w="91" w:type="dxa"/>
              <w:right w:w="0" w:type="dxa"/>
            </w:tcMar>
          </w:tcPr>
          <w:p w14:paraId="4467815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1D93706"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1520D446" w14:textId="77777777" w:rsidR="00BF4529" w:rsidRDefault="00BF4529" w:rsidP="00BF4529">
            <w:pPr>
              <w:pStyle w:val="TableInnerSideHeading"/>
              <w:spacing w:before="0"/>
              <w:ind w:right="0"/>
              <w:rPr>
                <w:rtl/>
              </w:rPr>
            </w:pPr>
            <w:r>
              <w:rPr>
                <w:rFonts w:hint="cs"/>
                <w:rtl/>
              </w:rPr>
              <w:t>הקמת הרשות</w:t>
            </w:r>
          </w:p>
        </w:tc>
        <w:tc>
          <w:tcPr>
            <w:tcW w:w="624" w:type="dxa"/>
            <w:tcMar>
              <w:top w:w="91" w:type="dxa"/>
              <w:left w:w="0" w:type="dxa"/>
              <w:bottom w:w="91" w:type="dxa"/>
              <w:right w:w="0" w:type="dxa"/>
            </w:tcMar>
            <w:hideMark/>
          </w:tcPr>
          <w:p w14:paraId="277C34E8" w14:textId="77777777" w:rsidR="00BF4529" w:rsidRDefault="00BF4529" w:rsidP="00BF4529">
            <w:pPr>
              <w:pStyle w:val="TableText"/>
              <w:spacing w:before="0"/>
              <w:rPr>
                <w:sz w:val="26"/>
                <w:rtl/>
              </w:rPr>
            </w:pPr>
            <w:r>
              <w:rPr>
                <w:rFonts w:hint="cs"/>
                <w:sz w:val="26"/>
                <w:rtl/>
              </w:rPr>
              <w:t xml:space="preserve">5. </w:t>
            </w:r>
          </w:p>
        </w:tc>
        <w:tc>
          <w:tcPr>
            <w:tcW w:w="4650" w:type="dxa"/>
            <w:gridSpan w:val="3"/>
            <w:tcMar>
              <w:top w:w="91" w:type="dxa"/>
              <w:left w:w="0" w:type="dxa"/>
              <w:bottom w:w="91" w:type="dxa"/>
              <w:right w:w="0" w:type="dxa"/>
            </w:tcMar>
            <w:hideMark/>
          </w:tcPr>
          <w:p w14:paraId="630679F4" w14:textId="77777777" w:rsidR="00BF4529" w:rsidRDefault="00BF4529" w:rsidP="00BF4529">
            <w:pPr>
              <w:pStyle w:val="TableBlock"/>
              <w:spacing w:before="0"/>
              <w:rPr>
                <w:sz w:val="26"/>
                <w:rtl/>
              </w:rPr>
            </w:pPr>
            <w:r>
              <w:rPr>
                <w:rFonts w:hint="cs"/>
                <w:sz w:val="26"/>
                <w:rtl/>
              </w:rPr>
              <w:t>(א)</w:t>
            </w:r>
            <w:r>
              <w:rPr>
                <w:rFonts w:hint="cs"/>
                <w:sz w:val="26"/>
                <w:rtl/>
              </w:rPr>
              <w:tab/>
              <w:t>מוקמת בזה הרשות הלאומית לחדשנות טכנולוגית.</w:t>
            </w:r>
          </w:p>
        </w:tc>
      </w:tr>
      <w:tr w:rsidR="00BF4529" w14:paraId="39D98632" w14:textId="77777777" w:rsidTr="00BF4529">
        <w:trPr>
          <w:cantSplit/>
          <w:trHeight w:val="60"/>
        </w:trPr>
        <w:tc>
          <w:tcPr>
            <w:tcW w:w="1871" w:type="dxa"/>
          </w:tcPr>
          <w:p w14:paraId="20278422" w14:textId="77777777" w:rsidR="00BF4529" w:rsidRDefault="00BF4529" w:rsidP="00BF4529">
            <w:pPr>
              <w:pStyle w:val="TableSideHeading"/>
              <w:spacing w:before="0"/>
              <w:jc w:val="left"/>
              <w:rPr>
                <w:rtl/>
              </w:rPr>
            </w:pPr>
          </w:p>
        </w:tc>
        <w:tc>
          <w:tcPr>
            <w:tcW w:w="624" w:type="dxa"/>
          </w:tcPr>
          <w:p w14:paraId="2704D81B" w14:textId="77777777" w:rsidR="00BF4529" w:rsidRDefault="00BF4529" w:rsidP="00BF4529">
            <w:pPr>
              <w:pStyle w:val="TableText"/>
              <w:spacing w:before="0"/>
            </w:pPr>
          </w:p>
        </w:tc>
        <w:tc>
          <w:tcPr>
            <w:tcW w:w="624" w:type="dxa"/>
          </w:tcPr>
          <w:p w14:paraId="7FE34FC8" w14:textId="77777777" w:rsidR="00BF4529" w:rsidRDefault="00BF4529" w:rsidP="00BF4529">
            <w:pPr>
              <w:pStyle w:val="TableText"/>
              <w:spacing w:before="0"/>
            </w:pPr>
          </w:p>
        </w:tc>
        <w:tc>
          <w:tcPr>
            <w:tcW w:w="624" w:type="dxa"/>
          </w:tcPr>
          <w:p w14:paraId="4E78B2E7" w14:textId="77777777" w:rsidR="00BF4529" w:rsidRDefault="00BF4529" w:rsidP="00BF4529">
            <w:pPr>
              <w:pStyle w:val="TableText"/>
              <w:spacing w:before="0"/>
            </w:pPr>
          </w:p>
        </w:tc>
        <w:tc>
          <w:tcPr>
            <w:tcW w:w="624" w:type="dxa"/>
          </w:tcPr>
          <w:p w14:paraId="07741C84" w14:textId="77777777" w:rsidR="00BF4529" w:rsidRDefault="00BF4529" w:rsidP="00BF4529">
            <w:pPr>
              <w:pStyle w:val="TableText"/>
              <w:spacing w:before="0"/>
            </w:pPr>
          </w:p>
        </w:tc>
        <w:tc>
          <w:tcPr>
            <w:tcW w:w="624" w:type="dxa"/>
          </w:tcPr>
          <w:p w14:paraId="0C76AA34" w14:textId="77777777" w:rsidR="00BF4529" w:rsidRDefault="00BF4529" w:rsidP="00BF4529">
            <w:pPr>
              <w:pStyle w:val="TableText"/>
              <w:spacing w:before="0"/>
            </w:pPr>
          </w:p>
        </w:tc>
        <w:tc>
          <w:tcPr>
            <w:tcW w:w="4650" w:type="dxa"/>
            <w:gridSpan w:val="3"/>
            <w:hideMark/>
          </w:tcPr>
          <w:p w14:paraId="3F6C53D9" w14:textId="77777777" w:rsidR="00BF4529" w:rsidRDefault="00BF4529" w:rsidP="00BF4529">
            <w:pPr>
              <w:pStyle w:val="TableBlock"/>
              <w:spacing w:before="0"/>
            </w:pPr>
            <w:r>
              <w:rPr>
                <w:rFonts w:hint="cs"/>
                <w:sz w:val="26"/>
                <w:rtl/>
              </w:rPr>
              <w:t>(ב)</w:t>
            </w:r>
            <w:r>
              <w:rPr>
                <w:rFonts w:hint="cs"/>
                <w:sz w:val="26"/>
                <w:rtl/>
              </w:rPr>
              <w:tab/>
              <w:t>מקום מושבה של הרשות יהיה ירושלים.</w:t>
            </w:r>
          </w:p>
        </w:tc>
      </w:tr>
      <w:tr w:rsidR="00BF4529" w14:paraId="5CE08103" w14:textId="77777777" w:rsidTr="00BF4529">
        <w:trPr>
          <w:cantSplit/>
        </w:trPr>
        <w:tc>
          <w:tcPr>
            <w:tcW w:w="1871" w:type="dxa"/>
            <w:tcMar>
              <w:top w:w="91" w:type="dxa"/>
              <w:left w:w="0" w:type="dxa"/>
              <w:bottom w:w="91" w:type="dxa"/>
              <w:right w:w="0" w:type="dxa"/>
            </w:tcMar>
          </w:tcPr>
          <w:p w14:paraId="68FE084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48F6227"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BB56961" w14:textId="77777777" w:rsidR="00BF4529" w:rsidRDefault="00BF4529" w:rsidP="00BF4529">
            <w:pPr>
              <w:pStyle w:val="TableInnerSideHeading"/>
              <w:spacing w:before="0"/>
              <w:rPr>
                <w:sz w:val="26"/>
                <w:rtl/>
              </w:rPr>
            </w:pPr>
            <w:r>
              <w:rPr>
                <w:rFonts w:hint="cs"/>
                <w:sz w:val="26"/>
                <w:rtl/>
              </w:rPr>
              <w:t>תפקידי הרשות</w:t>
            </w:r>
          </w:p>
        </w:tc>
        <w:tc>
          <w:tcPr>
            <w:tcW w:w="624" w:type="dxa"/>
            <w:tcMar>
              <w:top w:w="91" w:type="dxa"/>
              <w:left w:w="0" w:type="dxa"/>
              <w:bottom w:w="91" w:type="dxa"/>
              <w:right w:w="0" w:type="dxa"/>
            </w:tcMar>
            <w:hideMark/>
          </w:tcPr>
          <w:p w14:paraId="399887C7" w14:textId="77777777" w:rsidR="00BF4529" w:rsidRDefault="00BF4529" w:rsidP="00BF4529">
            <w:pPr>
              <w:pStyle w:val="TableText"/>
              <w:spacing w:before="0"/>
              <w:rPr>
                <w:sz w:val="26"/>
                <w:rtl/>
              </w:rPr>
            </w:pPr>
            <w:r>
              <w:rPr>
                <w:rFonts w:hint="cs"/>
                <w:sz w:val="26"/>
                <w:rtl/>
              </w:rPr>
              <w:t>5א.</w:t>
            </w:r>
          </w:p>
        </w:tc>
        <w:tc>
          <w:tcPr>
            <w:tcW w:w="4650" w:type="dxa"/>
            <w:gridSpan w:val="3"/>
            <w:tcMar>
              <w:top w:w="91" w:type="dxa"/>
              <w:left w:w="0" w:type="dxa"/>
              <w:bottom w:w="91" w:type="dxa"/>
              <w:right w:w="0" w:type="dxa"/>
            </w:tcMar>
            <w:hideMark/>
          </w:tcPr>
          <w:p w14:paraId="2B9DB975" w14:textId="77777777" w:rsidR="00BF4529" w:rsidRDefault="00BF4529" w:rsidP="00BF4529">
            <w:pPr>
              <w:pStyle w:val="TableBlock"/>
              <w:spacing w:before="0"/>
              <w:rPr>
                <w:sz w:val="26"/>
                <w:rtl/>
              </w:rPr>
            </w:pPr>
            <w:r>
              <w:rPr>
                <w:rFonts w:hint="cs"/>
                <w:sz w:val="26"/>
                <w:rtl/>
              </w:rPr>
              <w:t>(א)</w:t>
            </w:r>
            <w:r>
              <w:rPr>
                <w:rFonts w:hint="cs"/>
                <w:sz w:val="26"/>
                <w:rtl/>
              </w:rPr>
              <w:tab/>
              <w:t>לשם הגשמת מטרות חוק זה תפעל הרשות, במישרין או בעקיפין, לעידוד, לקידום, לתמיכה ולסיוע לחדשנות הטכנולוגית בתעשייה, ולפיתוח התשתיות הנדרשות לכך, בין השאר, באמצעות מתן הטבות; בחוק זה, "הטבות" – כל אחד מאלה, לרבות באמצעות קרנות:</w:t>
            </w:r>
          </w:p>
        </w:tc>
      </w:tr>
      <w:tr w:rsidR="00BF4529" w14:paraId="3E9074F9" w14:textId="77777777" w:rsidTr="00BF4529">
        <w:trPr>
          <w:cantSplit/>
        </w:trPr>
        <w:tc>
          <w:tcPr>
            <w:tcW w:w="1871" w:type="dxa"/>
            <w:tcMar>
              <w:top w:w="91" w:type="dxa"/>
              <w:left w:w="0" w:type="dxa"/>
              <w:bottom w:w="91" w:type="dxa"/>
              <w:right w:w="0" w:type="dxa"/>
            </w:tcMar>
          </w:tcPr>
          <w:p w14:paraId="2BC2432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698158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7F93E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59919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32CF5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349A1D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D1748B"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070B304" w14:textId="77777777" w:rsidR="00BF4529" w:rsidRDefault="00BF4529" w:rsidP="00BF4529">
            <w:pPr>
              <w:pStyle w:val="TableBlock"/>
              <w:spacing w:before="0"/>
              <w:rPr>
                <w:sz w:val="26"/>
                <w:rtl/>
              </w:rPr>
            </w:pPr>
            <w:r>
              <w:rPr>
                <w:rFonts w:hint="cs"/>
                <w:sz w:val="26"/>
                <w:rtl/>
              </w:rPr>
              <w:t>(1)</w:t>
            </w:r>
            <w:r>
              <w:rPr>
                <w:rFonts w:hint="cs"/>
                <w:sz w:val="26"/>
                <w:rtl/>
              </w:rPr>
              <w:tab/>
              <w:t>מענקים, הלוואות, פטורים, הנחות, הקלות וערבויות שלא לפי חוק ערבויות מטעם המדינה, התשי"ח–1958‏</w:t>
            </w:r>
            <w:r>
              <w:rPr>
                <w:rStyle w:val="ab"/>
                <w:rFonts w:hAnsi="HadasaMFO"/>
                <w:sz w:val="26"/>
                <w:rtl/>
              </w:rPr>
              <w:footnoteReference w:id="10"/>
            </w:r>
            <w:r>
              <w:rPr>
                <w:rFonts w:hint="cs"/>
                <w:sz w:val="26"/>
                <w:rtl/>
              </w:rPr>
              <w:t>;</w:t>
            </w:r>
          </w:p>
        </w:tc>
      </w:tr>
      <w:tr w:rsidR="00BF4529" w14:paraId="2F5C97A3" w14:textId="77777777" w:rsidTr="00BF4529">
        <w:trPr>
          <w:cantSplit/>
        </w:trPr>
        <w:tc>
          <w:tcPr>
            <w:tcW w:w="1871" w:type="dxa"/>
            <w:tcMar>
              <w:top w:w="91" w:type="dxa"/>
              <w:left w:w="0" w:type="dxa"/>
              <w:bottom w:w="91" w:type="dxa"/>
              <w:right w:w="0" w:type="dxa"/>
            </w:tcMar>
          </w:tcPr>
          <w:p w14:paraId="46E44A1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EFB928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30F8A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C097B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889B21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5819EA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B144F6"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3AF83B4" w14:textId="77777777" w:rsidR="00BF4529" w:rsidRDefault="00BF4529" w:rsidP="00BF4529">
            <w:pPr>
              <w:pStyle w:val="TableBlock"/>
              <w:spacing w:before="0"/>
              <w:rPr>
                <w:sz w:val="26"/>
                <w:rtl/>
              </w:rPr>
            </w:pPr>
            <w:r>
              <w:rPr>
                <w:rFonts w:hint="cs"/>
                <w:sz w:val="26"/>
                <w:rtl/>
              </w:rPr>
              <w:t>(2)</w:t>
            </w:r>
            <w:r>
              <w:rPr>
                <w:rFonts w:hint="cs"/>
                <w:sz w:val="26"/>
                <w:rtl/>
              </w:rPr>
              <w:tab/>
              <w:t>אמצעים שהפעילו המדען הראשי או המינהל למחקר ופיתוח תעשייתי במשרד הכלכלה לפני יום התחילה;</w:t>
            </w:r>
          </w:p>
        </w:tc>
      </w:tr>
      <w:tr w:rsidR="00BF4529" w14:paraId="07C52989" w14:textId="77777777" w:rsidTr="00BF4529">
        <w:trPr>
          <w:cantSplit/>
        </w:trPr>
        <w:tc>
          <w:tcPr>
            <w:tcW w:w="1871" w:type="dxa"/>
            <w:tcMar>
              <w:top w:w="91" w:type="dxa"/>
              <w:left w:w="0" w:type="dxa"/>
              <w:bottom w:w="91" w:type="dxa"/>
              <w:right w:w="0" w:type="dxa"/>
            </w:tcMar>
          </w:tcPr>
          <w:p w14:paraId="0E321CD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3880DD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586AB8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6EE7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BADA4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5578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FD30CC"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B4601F0" w14:textId="77777777" w:rsidR="00BF4529" w:rsidRDefault="00BF4529" w:rsidP="00BF4529">
            <w:pPr>
              <w:pStyle w:val="TableBlock"/>
              <w:spacing w:before="0"/>
              <w:rPr>
                <w:sz w:val="26"/>
                <w:rtl/>
              </w:rPr>
            </w:pPr>
            <w:r>
              <w:rPr>
                <w:rFonts w:hint="cs"/>
                <w:sz w:val="26"/>
                <w:rtl/>
              </w:rPr>
              <w:t>(3)</w:t>
            </w:r>
            <w:r>
              <w:rPr>
                <w:rFonts w:hint="cs"/>
                <w:sz w:val="26"/>
                <w:rtl/>
              </w:rPr>
              <w:tab/>
              <w:t>כלי סיוע נוספים, למעט רכישת מניות בידי הרשות.</w:t>
            </w:r>
          </w:p>
        </w:tc>
      </w:tr>
      <w:tr w:rsidR="00BF4529" w14:paraId="538EA2D4" w14:textId="77777777" w:rsidTr="00BF4529">
        <w:trPr>
          <w:cantSplit/>
        </w:trPr>
        <w:tc>
          <w:tcPr>
            <w:tcW w:w="1871" w:type="dxa"/>
            <w:tcMar>
              <w:top w:w="79" w:type="dxa"/>
              <w:left w:w="0" w:type="dxa"/>
              <w:bottom w:w="79" w:type="dxa"/>
              <w:right w:w="0" w:type="dxa"/>
            </w:tcMar>
          </w:tcPr>
          <w:p w14:paraId="31D71BFA"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245909EF"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06DECD93"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2C813946"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747F0719"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48402DA9"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612495AB" w14:textId="77777777" w:rsidR="00BF4529" w:rsidRDefault="00BF4529" w:rsidP="00BF4529">
            <w:pPr>
              <w:pStyle w:val="TableBlock"/>
              <w:spacing w:before="0"/>
              <w:rPr>
                <w:sz w:val="26"/>
                <w:rtl/>
              </w:rPr>
            </w:pPr>
            <w:r>
              <w:rPr>
                <w:rFonts w:hint="cs"/>
                <w:sz w:val="26"/>
                <w:rtl/>
              </w:rPr>
              <w:t>(ב)</w:t>
            </w:r>
            <w:r>
              <w:rPr>
                <w:rFonts w:hint="cs"/>
                <w:sz w:val="26"/>
                <w:rtl/>
              </w:rPr>
              <w:tab/>
              <w:t>לשם ביצוע תפקידיה, רשאית הרשות ליזום, לנהל ולעשות שימוש במגוון האמצעים המפורטים בחוק זה שיסייעו בידה לקדם את החדשנות הטכנולוגית בתעשייה, ברמה המקצועית הגבוהה ביותר, בקצב שמתאים לשוק, ביעילות מרבית ובגמישות הנדרשת.</w:t>
            </w:r>
          </w:p>
        </w:tc>
      </w:tr>
      <w:tr w:rsidR="00BF4529" w14:paraId="751FC9A5" w14:textId="77777777" w:rsidTr="00BF4529">
        <w:trPr>
          <w:cantSplit/>
        </w:trPr>
        <w:tc>
          <w:tcPr>
            <w:tcW w:w="1871" w:type="dxa"/>
            <w:tcMar>
              <w:top w:w="79" w:type="dxa"/>
              <w:left w:w="0" w:type="dxa"/>
              <w:bottom w:w="79" w:type="dxa"/>
              <w:right w:w="0" w:type="dxa"/>
            </w:tcMar>
          </w:tcPr>
          <w:p w14:paraId="22097376" w14:textId="77777777" w:rsidR="00BF4529" w:rsidRDefault="00BF4529" w:rsidP="00BF4529">
            <w:pPr>
              <w:pStyle w:val="TableSideHeading"/>
              <w:spacing w:before="0" w:line="240" w:lineRule="auto"/>
              <w:jc w:val="left"/>
              <w:rPr>
                <w:sz w:val="24"/>
                <w:szCs w:val="24"/>
                <w:rtl/>
              </w:rPr>
            </w:pPr>
          </w:p>
        </w:tc>
        <w:tc>
          <w:tcPr>
            <w:tcW w:w="624" w:type="dxa"/>
            <w:tcMar>
              <w:top w:w="79" w:type="dxa"/>
              <w:left w:w="0" w:type="dxa"/>
              <w:bottom w:w="79" w:type="dxa"/>
              <w:right w:w="0" w:type="dxa"/>
            </w:tcMar>
          </w:tcPr>
          <w:p w14:paraId="5F9F448A"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7C1557B1"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59D22147"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6D5383EC"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37F8DA7D"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60E2BAA9" w14:textId="77777777" w:rsidR="00BF4529" w:rsidRDefault="00BF4529" w:rsidP="00BF4529">
            <w:pPr>
              <w:pStyle w:val="TableBlock"/>
              <w:spacing w:before="0"/>
              <w:rPr>
                <w:sz w:val="26"/>
                <w:rtl/>
              </w:rPr>
            </w:pPr>
            <w:r>
              <w:rPr>
                <w:rFonts w:hint="cs"/>
                <w:sz w:val="26"/>
                <w:rtl/>
              </w:rPr>
              <w:t>(ג)</w:t>
            </w:r>
            <w:r>
              <w:rPr>
                <w:rFonts w:hint="cs"/>
                <w:sz w:val="26"/>
                <w:rtl/>
              </w:rPr>
              <w:tab/>
              <w:t xml:space="preserve">בביצוע תפקידיה תפעל הרשות בהתאם למדיניות הממשלה בתחומי פעולתה של הרשות, כפי שנקבעה בהחלטות הממשלה, וככל שלא נקבעה מדיניות בידי הממשלה כאמור – בהתאם למדיניות שר הכלכלה שתימסר לרשות בכתב, לרבות באמצעות המדען הראשי, ותפורסם באתר האינטרנט של הרשות. </w:t>
            </w:r>
          </w:p>
        </w:tc>
      </w:tr>
      <w:tr w:rsidR="00BF4529" w14:paraId="6C5EA1F1" w14:textId="77777777" w:rsidTr="00BF4529">
        <w:trPr>
          <w:cantSplit/>
        </w:trPr>
        <w:tc>
          <w:tcPr>
            <w:tcW w:w="1871" w:type="dxa"/>
            <w:tcMar>
              <w:top w:w="79" w:type="dxa"/>
              <w:left w:w="0" w:type="dxa"/>
              <w:bottom w:w="79" w:type="dxa"/>
              <w:right w:w="0" w:type="dxa"/>
            </w:tcMar>
          </w:tcPr>
          <w:p w14:paraId="5F87C07E"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75F07DDB"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261943D4" w14:textId="77777777" w:rsidR="00BF4529" w:rsidRDefault="00BF4529" w:rsidP="00BF4529">
            <w:pPr>
              <w:pStyle w:val="TableInnerSideHeading"/>
              <w:spacing w:before="0"/>
              <w:jc w:val="left"/>
              <w:rPr>
                <w:sz w:val="26"/>
                <w:rtl/>
              </w:rPr>
            </w:pPr>
            <w:r>
              <w:rPr>
                <w:rFonts w:hint="cs"/>
                <w:sz w:val="26"/>
                <w:rtl/>
              </w:rPr>
              <w:t>הרשות – תאגיד</w:t>
            </w:r>
          </w:p>
        </w:tc>
        <w:tc>
          <w:tcPr>
            <w:tcW w:w="624" w:type="dxa"/>
            <w:tcMar>
              <w:top w:w="79" w:type="dxa"/>
              <w:left w:w="0" w:type="dxa"/>
              <w:bottom w:w="79" w:type="dxa"/>
              <w:right w:w="0" w:type="dxa"/>
            </w:tcMar>
            <w:hideMark/>
          </w:tcPr>
          <w:p w14:paraId="324BECDD" w14:textId="77777777" w:rsidR="00BF4529" w:rsidRDefault="00BF4529" w:rsidP="00BF4529">
            <w:pPr>
              <w:pStyle w:val="TableText"/>
              <w:spacing w:before="0"/>
              <w:rPr>
                <w:sz w:val="26"/>
                <w:rtl/>
              </w:rPr>
            </w:pPr>
            <w:r>
              <w:rPr>
                <w:rFonts w:hint="cs"/>
                <w:sz w:val="26"/>
                <w:rtl/>
              </w:rPr>
              <w:t>5ב.</w:t>
            </w:r>
          </w:p>
        </w:tc>
        <w:tc>
          <w:tcPr>
            <w:tcW w:w="4650" w:type="dxa"/>
            <w:gridSpan w:val="3"/>
            <w:tcMar>
              <w:top w:w="79" w:type="dxa"/>
              <w:left w:w="0" w:type="dxa"/>
              <w:bottom w:w="79" w:type="dxa"/>
              <w:right w:w="0" w:type="dxa"/>
            </w:tcMar>
            <w:hideMark/>
          </w:tcPr>
          <w:p w14:paraId="25CAB3C0" w14:textId="77777777" w:rsidR="00BF4529" w:rsidRDefault="00BF4529" w:rsidP="00BF4529">
            <w:pPr>
              <w:pStyle w:val="TableBlock"/>
              <w:spacing w:before="0"/>
              <w:rPr>
                <w:sz w:val="26"/>
                <w:rtl/>
              </w:rPr>
            </w:pPr>
            <w:r>
              <w:rPr>
                <w:rFonts w:hint="cs"/>
                <w:sz w:val="26"/>
                <w:rtl/>
              </w:rPr>
              <w:t>הרשות היא תאגיד כשר לכל זכות, חובה ופעולה משפטית.</w:t>
            </w:r>
          </w:p>
        </w:tc>
      </w:tr>
      <w:tr w:rsidR="00BF4529" w14:paraId="39DB5349" w14:textId="77777777" w:rsidTr="00BF4529">
        <w:trPr>
          <w:cantSplit/>
        </w:trPr>
        <w:tc>
          <w:tcPr>
            <w:tcW w:w="1871" w:type="dxa"/>
            <w:tcMar>
              <w:top w:w="79" w:type="dxa"/>
              <w:left w:w="0" w:type="dxa"/>
              <w:bottom w:w="79" w:type="dxa"/>
              <w:right w:w="0" w:type="dxa"/>
            </w:tcMar>
          </w:tcPr>
          <w:p w14:paraId="0577888D"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55BE2F36"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7C2607F9" w14:textId="77777777" w:rsidR="00BF4529" w:rsidRDefault="00BF4529" w:rsidP="00BF4529">
            <w:pPr>
              <w:pStyle w:val="TableInnerSideHeading"/>
              <w:spacing w:before="0"/>
              <w:jc w:val="left"/>
              <w:rPr>
                <w:sz w:val="26"/>
                <w:rtl/>
              </w:rPr>
            </w:pPr>
            <w:r>
              <w:rPr>
                <w:rFonts w:hint="cs"/>
                <w:sz w:val="26"/>
                <w:rtl/>
              </w:rPr>
              <w:t>הרשות – גוף מבוקר</w:t>
            </w:r>
          </w:p>
        </w:tc>
        <w:tc>
          <w:tcPr>
            <w:tcW w:w="624" w:type="dxa"/>
            <w:tcMar>
              <w:top w:w="79" w:type="dxa"/>
              <w:left w:w="0" w:type="dxa"/>
              <w:bottom w:w="79" w:type="dxa"/>
              <w:right w:w="0" w:type="dxa"/>
            </w:tcMar>
            <w:hideMark/>
          </w:tcPr>
          <w:p w14:paraId="5A0CE819" w14:textId="77777777" w:rsidR="00BF4529" w:rsidRDefault="00BF4529" w:rsidP="00BF4529">
            <w:pPr>
              <w:pStyle w:val="TableText"/>
              <w:spacing w:before="0"/>
              <w:rPr>
                <w:sz w:val="26"/>
                <w:rtl/>
              </w:rPr>
            </w:pPr>
            <w:r>
              <w:rPr>
                <w:rFonts w:hint="cs"/>
                <w:sz w:val="26"/>
                <w:rtl/>
              </w:rPr>
              <w:t xml:space="preserve">5ג. </w:t>
            </w:r>
          </w:p>
        </w:tc>
        <w:tc>
          <w:tcPr>
            <w:tcW w:w="4650" w:type="dxa"/>
            <w:gridSpan w:val="3"/>
            <w:tcMar>
              <w:top w:w="79" w:type="dxa"/>
              <w:left w:w="0" w:type="dxa"/>
              <w:bottom w:w="79" w:type="dxa"/>
              <w:right w:w="0" w:type="dxa"/>
            </w:tcMar>
            <w:hideMark/>
          </w:tcPr>
          <w:p w14:paraId="3C30DEAC" w14:textId="77777777" w:rsidR="00BF4529" w:rsidRDefault="00BF4529" w:rsidP="00BF4529">
            <w:pPr>
              <w:pStyle w:val="TableBlock"/>
              <w:spacing w:before="0"/>
              <w:rPr>
                <w:sz w:val="26"/>
                <w:rtl/>
              </w:rPr>
            </w:pPr>
            <w:r>
              <w:rPr>
                <w:rFonts w:hint="cs"/>
                <w:sz w:val="26"/>
                <w:rtl/>
              </w:rPr>
              <w:t>הרשות תהיה גוף מבוקר כמשמעותו בסעיף 9(5) לחוק מבקר המדינה, התשי"ח–1958 [נוסח משולב]</w:t>
            </w:r>
            <w:r>
              <w:rPr>
                <w:rStyle w:val="ab"/>
                <w:rFonts w:hAnsi="HadasaMFO"/>
                <w:sz w:val="26"/>
                <w:rtl/>
              </w:rPr>
              <w:footnoteReference w:id="11"/>
            </w:r>
            <w:r>
              <w:rPr>
                <w:rFonts w:hint="cs"/>
                <w:sz w:val="26"/>
                <w:rtl/>
              </w:rPr>
              <w:t>.</w:t>
            </w:r>
          </w:p>
        </w:tc>
      </w:tr>
      <w:tr w:rsidR="00BF4529" w14:paraId="55853112" w14:textId="77777777" w:rsidTr="00BF4529">
        <w:trPr>
          <w:cantSplit/>
        </w:trPr>
        <w:tc>
          <w:tcPr>
            <w:tcW w:w="1871" w:type="dxa"/>
            <w:tcMar>
              <w:top w:w="79" w:type="dxa"/>
              <w:left w:w="0" w:type="dxa"/>
              <w:bottom w:w="79" w:type="dxa"/>
              <w:right w:w="0" w:type="dxa"/>
            </w:tcMar>
          </w:tcPr>
          <w:p w14:paraId="2E16F974"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426C9A20"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5B61A64C" w14:textId="77777777" w:rsidR="00BF4529" w:rsidRDefault="00BF4529" w:rsidP="00BF4529">
            <w:pPr>
              <w:pStyle w:val="TableInnerSideHeading"/>
              <w:spacing w:before="0"/>
              <w:jc w:val="left"/>
              <w:rPr>
                <w:sz w:val="26"/>
                <w:rtl/>
              </w:rPr>
            </w:pPr>
            <w:r>
              <w:rPr>
                <w:rFonts w:hint="cs"/>
                <w:sz w:val="26"/>
                <w:rtl/>
              </w:rPr>
              <w:t>קבלה לעבודה ברשות</w:t>
            </w:r>
          </w:p>
        </w:tc>
        <w:tc>
          <w:tcPr>
            <w:tcW w:w="624" w:type="dxa"/>
            <w:tcMar>
              <w:top w:w="79" w:type="dxa"/>
              <w:left w:w="0" w:type="dxa"/>
              <w:bottom w:w="79" w:type="dxa"/>
              <w:right w:w="0" w:type="dxa"/>
            </w:tcMar>
            <w:hideMark/>
          </w:tcPr>
          <w:p w14:paraId="4C35A84C" w14:textId="77777777" w:rsidR="00BF4529" w:rsidRDefault="00BF4529" w:rsidP="00BF4529">
            <w:pPr>
              <w:pStyle w:val="TableText"/>
              <w:spacing w:before="0"/>
              <w:rPr>
                <w:sz w:val="26"/>
                <w:rtl/>
              </w:rPr>
            </w:pPr>
            <w:r>
              <w:rPr>
                <w:rFonts w:hint="cs"/>
                <w:sz w:val="26"/>
                <w:rtl/>
              </w:rPr>
              <w:t>5ד.</w:t>
            </w:r>
          </w:p>
        </w:tc>
        <w:tc>
          <w:tcPr>
            <w:tcW w:w="4650" w:type="dxa"/>
            <w:gridSpan w:val="3"/>
            <w:tcMar>
              <w:top w:w="79" w:type="dxa"/>
              <w:left w:w="0" w:type="dxa"/>
              <w:bottom w:w="79" w:type="dxa"/>
              <w:right w:w="0" w:type="dxa"/>
            </w:tcMar>
            <w:hideMark/>
          </w:tcPr>
          <w:p w14:paraId="41863AA9" w14:textId="77777777" w:rsidR="00BF4529" w:rsidRDefault="00BF4529" w:rsidP="00BF4529">
            <w:pPr>
              <w:pStyle w:val="TableBlock"/>
              <w:spacing w:before="0"/>
              <w:rPr>
                <w:sz w:val="26"/>
                <w:rtl/>
              </w:rPr>
            </w:pPr>
            <w:r>
              <w:rPr>
                <w:rFonts w:hint="cs"/>
                <w:sz w:val="26"/>
                <w:rtl/>
              </w:rPr>
              <w:t>קבלתו של אדם לעבודה ברשות תיעשה בהתאם לעקרונות השוויון והייצוג ההולם, השקיפות, הפומביות וטוהר המידות, בהתחשב באופי המשרה ובאופי הרשות, על פי נהלים שתקבע המועצה, ולפי כל דין."</w:t>
            </w:r>
          </w:p>
        </w:tc>
      </w:tr>
      <w:tr w:rsidR="00BF4529" w14:paraId="4F4F11F1" w14:textId="77777777" w:rsidTr="00BF4529">
        <w:trPr>
          <w:cantSplit/>
        </w:trPr>
        <w:tc>
          <w:tcPr>
            <w:tcW w:w="1871" w:type="dxa"/>
            <w:tcMar>
              <w:top w:w="79" w:type="dxa"/>
              <w:left w:w="0" w:type="dxa"/>
              <w:bottom w:w="79" w:type="dxa"/>
              <w:right w:w="0" w:type="dxa"/>
            </w:tcMar>
            <w:hideMark/>
          </w:tcPr>
          <w:p w14:paraId="71B86AE9" w14:textId="77777777" w:rsidR="00BF4529" w:rsidRDefault="00BF4529" w:rsidP="00BF4529">
            <w:pPr>
              <w:pStyle w:val="TableSideHeading"/>
              <w:spacing w:before="0"/>
              <w:jc w:val="left"/>
              <w:rPr>
                <w:sz w:val="26"/>
                <w:rtl/>
              </w:rPr>
            </w:pPr>
            <w:r>
              <w:rPr>
                <w:rFonts w:hint="cs"/>
                <w:sz w:val="26"/>
                <w:rtl/>
              </w:rPr>
              <w:t>החלפת סעיפים</w:t>
            </w:r>
            <w:r>
              <w:rPr>
                <w:rFonts w:hint="cs"/>
                <w:sz w:val="26"/>
                <w:rtl/>
              </w:rPr>
              <w:br/>
              <w:t>6 עד 8</w:t>
            </w:r>
          </w:p>
        </w:tc>
        <w:tc>
          <w:tcPr>
            <w:tcW w:w="624" w:type="dxa"/>
            <w:tcMar>
              <w:top w:w="79" w:type="dxa"/>
              <w:left w:w="0" w:type="dxa"/>
              <w:bottom w:w="79" w:type="dxa"/>
              <w:right w:w="0" w:type="dxa"/>
            </w:tcMar>
            <w:hideMark/>
          </w:tcPr>
          <w:p w14:paraId="4AEA51A6" w14:textId="77777777" w:rsidR="00BF4529" w:rsidRDefault="00BF4529" w:rsidP="00BF4529">
            <w:pPr>
              <w:pStyle w:val="TableText"/>
              <w:spacing w:before="0"/>
              <w:rPr>
                <w:sz w:val="26"/>
                <w:rtl/>
              </w:rPr>
            </w:pPr>
            <w:r>
              <w:rPr>
                <w:rFonts w:hint="cs"/>
                <w:sz w:val="26"/>
                <w:rtl/>
              </w:rPr>
              <w:t>8.</w:t>
            </w:r>
          </w:p>
        </w:tc>
        <w:tc>
          <w:tcPr>
            <w:tcW w:w="7146" w:type="dxa"/>
            <w:gridSpan w:val="7"/>
            <w:tcMar>
              <w:top w:w="79" w:type="dxa"/>
              <w:left w:w="0" w:type="dxa"/>
              <w:bottom w:w="79" w:type="dxa"/>
              <w:right w:w="0" w:type="dxa"/>
            </w:tcMar>
            <w:hideMark/>
          </w:tcPr>
          <w:p w14:paraId="1A4B2174" w14:textId="77777777" w:rsidR="00BF4529" w:rsidRDefault="00BF4529" w:rsidP="00BF4529">
            <w:pPr>
              <w:pStyle w:val="TableBlock"/>
              <w:spacing w:before="0"/>
              <w:rPr>
                <w:sz w:val="26"/>
                <w:rtl/>
              </w:rPr>
            </w:pPr>
            <w:r>
              <w:rPr>
                <w:rFonts w:hint="cs"/>
                <w:sz w:val="26"/>
                <w:rtl/>
              </w:rPr>
              <w:t>במקום סעיפים 6 עד 8 לחוק העיקרי יבוא:</w:t>
            </w:r>
          </w:p>
        </w:tc>
      </w:tr>
      <w:tr w:rsidR="00BF4529" w14:paraId="6A077848" w14:textId="77777777" w:rsidTr="00BF4529">
        <w:trPr>
          <w:cantSplit/>
        </w:trPr>
        <w:tc>
          <w:tcPr>
            <w:tcW w:w="1871" w:type="dxa"/>
          </w:tcPr>
          <w:p w14:paraId="27702A3C" w14:textId="77777777" w:rsidR="00BF4529" w:rsidRDefault="00BF4529" w:rsidP="00BF4529">
            <w:pPr>
              <w:pStyle w:val="TableSideHeading"/>
              <w:spacing w:before="0"/>
              <w:ind w:right="0"/>
              <w:jc w:val="left"/>
              <w:rPr>
                <w:sz w:val="26"/>
                <w:rtl/>
              </w:rPr>
            </w:pPr>
          </w:p>
        </w:tc>
        <w:tc>
          <w:tcPr>
            <w:tcW w:w="624" w:type="dxa"/>
            <w:tcMar>
              <w:top w:w="79" w:type="dxa"/>
              <w:left w:w="0" w:type="dxa"/>
              <w:bottom w:w="79" w:type="dxa"/>
              <w:right w:w="0" w:type="dxa"/>
            </w:tcMar>
          </w:tcPr>
          <w:p w14:paraId="151117EA"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4BCF36DC" w14:textId="77777777" w:rsidR="00BF4529" w:rsidRDefault="00BF4529" w:rsidP="00BF4529">
            <w:pPr>
              <w:pStyle w:val="TableInnerSideHeading"/>
              <w:spacing w:before="0"/>
              <w:jc w:val="left"/>
              <w:rPr>
                <w:sz w:val="26"/>
                <w:rtl/>
              </w:rPr>
            </w:pPr>
            <w:r>
              <w:rPr>
                <w:rFonts w:hint="cs"/>
                <w:sz w:val="26"/>
                <w:rtl/>
              </w:rPr>
              <w:t>"האורגנים של הרשות</w:t>
            </w:r>
          </w:p>
        </w:tc>
        <w:tc>
          <w:tcPr>
            <w:tcW w:w="624" w:type="dxa"/>
            <w:tcMar>
              <w:top w:w="79" w:type="dxa"/>
              <w:left w:w="0" w:type="dxa"/>
              <w:bottom w:w="79" w:type="dxa"/>
              <w:right w:w="0" w:type="dxa"/>
            </w:tcMar>
            <w:hideMark/>
          </w:tcPr>
          <w:p w14:paraId="6778815E" w14:textId="77777777" w:rsidR="00BF4529" w:rsidRDefault="00BF4529" w:rsidP="00BF4529">
            <w:pPr>
              <w:pStyle w:val="TableText"/>
              <w:spacing w:before="0"/>
              <w:rPr>
                <w:sz w:val="26"/>
                <w:rtl/>
              </w:rPr>
            </w:pPr>
            <w:r>
              <w:rPr>
                <w:rFonts w:hint="cs"/>
                <w:sz w:val="26"/>
                <w:rtl/>
              </w:rPr>
              <w:t>6.</w:t>
            </w:r>
          </w:p>
        </w:tc>
        <w:tc>
          <w:tcPr>
            <w:tcW w:w="4650" w:type="dxa"/>
            <w:gridSpan w:val="3"/>
            <w:tcMar>
              <w:top w:w="79" w:type="dxa"/>
              <w:left w:w="0" w:type="dxa"/>
              <w:bottom w:w="79" w:type="dxa"/>
              <w:right w:w="0" w:type="dxa"/>
            </w:tcMar>
            <w:hideMark/>
          </w:tcPr>
          <w:p w14:paraId="1507DF20" w14:textId="77777777" w:rsidR="00BF4529" w:rsidRDefault="00BF4529" w:rsidP="00BF4529">
            <w:pPr>
              <w:pStyle w:val="TableBlock"/>
              <w:spacing w:before="0"/>
              <w:rPr>
                <w:sz w:val="26"/>
                <w:rtl/>
              </w:rPr>
            </w:pPr>
            <w:r>
              <w:rPr>
                <w:rFonts w:hint="cs"/>
                <w:sz w:val="26"/>
                <w:rtl/>
              </w:rPr>
              <w:t>אלה האורגנים של הרשות:</w:t>
            </w:r>
          </w:p>
        </w:tc>
      </w:tr>
      <w:tr w:rsidR="00BF4529" w14:paraId="7427888C" w14:textId="77777777" w:rsidTr="00BF4529">
        <w:trPr>
          <w:cantSplit/>
        </w:trPr>
        <w:tc>
          <w:tcPr>
            <w:tcW w:w="1871" w:type="dxa"/>
            <w:tcMar>
              <w:top w:w="79" w:type="dxa"/>
              <w:left w:w="0" w:type="dxa"/>
              <w:bottom w:w="79" w:type="dxa"/>
              <w:right w:w="0" w:type="dxa"/>
            </w:tcMar>
          </w:tcPr>
          <w:p w14:paraId="3B9E620F"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4624B59C" w14:textId="77777777" w:rsidR="00BF4529" w:rsidRDefault="00BF4529" w:rsidP="00BF4529">
            <w:pPr>
              <w:pStyle w:val="TableText"/>
              <w:spacing w:before="0"/>
              <w:rPr>
                <w:sz w:val="26"/>
                <w:rtl/>
              </w:rPr>
            </w:pPr>
          </w:p>
        </w:tc>
        <w:tc>
          <w:tcPr>
            <w:tcW w:w="1872" w:type="dxa"/>
            <w:gridSpan w:val="3"/>
          </w:tcPr>
          <w:p w14:paraId="09580B8D" w14:textId="77777777" w:rsidR="00BF4529" w:rsidRDefault="00BF4529" w:rsidP="00BF4529">
            <w:pPr>
              <w:pStyle w:val="TableInnerSideHeading"/>
              <w:spacing w:before="0"/>
              <w:ind w:right="0"/>
              <w:rPr>
                <w:sz w:val="26"/>
                <w:rtl/>
              </w:rPr>
            </w:pPr>
          </w:p>
        </w:tc>
        <w:tc>
          <w:tcPr>
            <w:tcW w:w="624" w:type="dxa"/>
            <w:tcMar>
              <w:top w:w="79" w:type="dxa"/>
              <w:left w:w="0" w:type="dxa"/>
              <w:bottom w:w="79" w:type="dxa"/>
              <w:right w:w="0" w:type="dxa"/>
            </w:tcMar>
          </w:tcPr>
          <w:p w14:paraId="11BFC697"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05324256" w14:textId="77777777" w:rsidR="00BF4529" w:rsidRDefault="00BF4529" w:rsidP="00BF4529">
            <w:pPr>
              <w:pStyle w:val="TableBlock"/>
              <w:spacing w:before="0"/>
              <w:rPr>
                <w:sz w:val="26"/>
                <w:rtl/>
              </w:rPr>
            </w:pPr>
            <w:r>
              <w:rPr>
                <w:rFonts w:hint="cs"/>
                <w:sz w:val="26"/>
                <w:rtl/>
              </w:rPr>
              <w:t>(1)</w:t>
            </w:r>
            <w:r>
              <w:rPr>
                <w:rFonts w:hint="cs"/>
                <w:sz w:val="26"/>
                <w:rtl/>
              </w:rPr>
              <w:tab/>
              <w:t>מועצת הרשות (להלן – המועצה);</w:t>
            </w:r>
          </w:p>
        </w:tc>
      </w:tr>
      <w:tr w:rsidR="00BF4529" w14:paraId="1086F056" w14:textId="77777777" w:rsidTr="00BF4529">
        <w:trPr>
          <w:cantSplit/>
        </w:trPr>
        <w:tc>
          <w:tcPr>
            <w:tcW w:w="1871" w:type="dxa"/>
            <w:tcMar>
              <w:top w:w="79" w:type="dxa"/>
              <w:left w:w="0" w:type="dxa"/>
              <w:bottom w:w="79" w:type="dxa"/>
              <w:right w:w="0" w:type="dxa"/>
            </w:tcMar>
          </w:tcPr>
          <w:p w14:paraId="2BAE629D"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5C09EF55"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042F88F8"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2EA63397"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3915E2C0"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17A8B0C0"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3D9176CA" w14:textId="77777777" w:rsidR="00BF4529" w:rsidRDefault="00BF4529" w:rsidP="00BF4529">
            <w:pPr>
              <w:pStyle w:val="TableBlock"/>
              <w:spacing w:before="0"/>
              <w:rPr>
                <w:sz w:val="26"/>
                <w:rtl/>
              </w:rPr>
            </w:pPr>
            <w:r>
              <w:rPr>
                <w:rFonts w:hint="cs"/>
                <w:sz w:val="26"/>
                <w:rtl/>
              </w:rPr>
              <w:t>(2)</w:t>
            </w:r>
            <w:r>
              <w:rPr>
                <w:rFonts w:hint="cs"/>
                <w:sz w:val="26"/>
                <w:rtl/>
              </w:rPr>
              <w:tab/>
              <w:t>המנהל הכללי של הרשות;</w:t>
            </w:r>
          </w:p>
        </w:tc>
      </w:tr>
      <w:tr w:rsidR="00BF4529" w14:paraId="49FEB80C" w14:textId="77777777" w:rsidTr="00BF4529">
        <w:trPr>
          <w:cantSplit/>
        </w:trPr>
        <w:tc>
          <w:tcPr>
            <w:tcW w:w="1871" w:type="dxa"/>
            <w:tcMar>
              <w:top w:w="91" w:type="dxa"/>
              <w:left w:w="0" w:type="dxa"/>
              <w:bottom w:w="91" w:type="dxa"/>
              <w:right w:w="0" w:type="dxa"/>
            </w:tcMar>
          </w:tcPr>
          <w:p w14:paraId="23BEDBA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BFC4E6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59D2D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FA45C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534A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F6BF83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C1F5B4F" w14:textId="77777777" w:rsidR="00BF4529" w:rsidRDefault="00BF4529" w:rsidP="00BF4529">
            <w:pPr>
              <w:pStyle w:val="TableBlock"/>
              <w:spacing w:before="0"/>
              <w:rPr>
                <w:sz w:val="26"/>
                <w:rtl/>
              </w:rPr>
            </w:pPr>
            <w:r>
              <w:rPr>
                <w:rFonts w:hint="cs"/>
                <w:sz w:val="26"/>
                <w:rtl/>
              </w:rPr>
              <w:t>(3)</w:t>
            </w:r>
            <w:r>
              <w:rPr>
                <w:rFonts w:hint="cs"/>
                <w:sz w:val="26"/>
                <w:rtl/>
              </w:rPr>
              <w:tab/>
              <w:t>ועדות המחקר.</w:t>
            </w:r>
          </w:p>
        </w:tc>
      </w:tr>
      <w:tr w:rsidR="00BF4529" w14:paraId="47EACD47" w14:textId="77777777" w:rsidTr="00BF4529">
        <w:trPr>
          <w:cantSplit/>
        </w:trPr>
        <w:tc>
          <w:tcPr>
            <w:tcW w:w="1871" w:type="dxa"/>
            <w:tcMar>
              <w:top w:w="91" w:type="dxa"/>
              <w:left w:w="0" w:type="dxa"/>
              <w:bottom w:w="91" w:type="dxa"/>
              <w:right w:w="0" w:type="dxa"/>
            </w:tcMar>
          </w:tcPr>
          <w:p w14:paraId="4BE76FB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8B6752A"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AB97504" w14:textId="77777777" w:rsidR="00BF4529" w:rsidRDefault="00BF4529" w:rsidP="00BF4529">
            <w:pPr>
              <w:pStyle w:val="TableInnerSideHeading"/>
              <w:spacing w:before="0"/>
              <w:jc w:val="left"/>
              <w:rPr>
                <w:sz w:val="26"/>
                <w:rtl/>
              </w:rPr>
            </w:pPr>
            <w:r>
              <w:rPr>
                <w:rFonts w:hint="cs"/>
                <w:sz w:val="26"/>
                <w:rtl/>
              </w:rPr>
              <w:t>המדען הראשי – ראש הרשות</w:t>
            </w:r>
          </w:p>
        </w:tc>
        <w:tc>
          <w:tcPr>
            <w:tcW w:w="624" w:type="dxa"/>
            <w:tcMar>
              <w:top w:w="91" w:type="dxa"/>
              <w:left w:w="0" w:type="dxa"/>
              <w:bottom w:w="91" w:type="dxa"/>
              <w:right w:w="0" w:type="dxa"/>
            </w:tcMar>
            <w:hideMark/>
          </w:tcPr>
          <w:p w14:paraId="17CB1377" w14:textId="77777777" w:rsidR="00BF4529" w:rsidRDefault="00BF4529" w:rsidP="00BF4529">
            <w:pPr>
              <w:pStyle w:val="TableText"/>
              <w:spacing w:before="0"/>
              <w:rPr>
                <w:sz w:val="26"/>
                <w:rtl/>
              </w:rPr>
            </w:pPr>
            <w:r>
              <w:rPr>
                <w:rFonts w:hint="cs"/>
                <w:sz w:val="26"/>
                <w:rtl/>
              </w:rPr>
              <w:t>7.</w:t>
            </w:r>
          </w:p>
        </w:tc>
        <w:tc>
          <w:tcPr>
            <w:tcW w:w="4650" w:type="dxa"/>
            <w:gridSpan w:val="3"/>
            <w:tcMar>
              <w:top w:w="91" w:type="dxa"/>
              <w:left w:w="0" w:type="dxa"/>
              <w:bottom w:w="91" w:type="dxa"/>
              <w:right w:w="0" w:type="dxa"/>
            </w:tcMar>
            <w:hideMark/>
          </w:tcPr>
          <w:p w14:paraId="64B67D1E" w14:textId="77777777" w:rsidR="00BF4529" w:rsidRDefault="00BF4529" w:rsidP="00BF4529">
            <w:pPr>
              <w:pStyle w:val="TableBlock"/>
              <w:spacing w:before="0"/>
              <w:rPr>
                <w:sz w:val="26"/>
                <w:rtl/>
              </w:rPr>
            </w:pPr>
            <w:r>
              <w:rPr>
                <w:rFonts w:hint="cs"/>
                <w:sz w:val="26"/>
                <w:rtl/>
              </w:rPr>
              <w:t>המדען הראשי יהיה ראש הרשות, והוא ישמש חבר ויושב ראש של המועצה וחבר ויושב ראש של ועדות המחקר.</w:t>
            </w:r>
          </w:p>
        </w:tc>
      </w:tr>
      <w:tr w:rsidR="00BF4529" w14:paraId="3CD61B7D" w14:textId="77777777" w:rsidTr="00BF4529">
        <w:trPr>
          <w:cantSplit/>
        </w:trPr>
        <w:tc>
          <w:tcPr>
            <w:tcW w:w="1871" w:type="dxa"/>
            <w:tcMar>
              <w:top w:w="91" w:type="dxa"/>
              <w:left w:w="0" w:type="dxa"/>
              <w:bottom w:w="91" w:type="dxa"/>
              <w:right w:w="0" w:type="dxa"/>
            </w:tcMar>
          </w:tcPr>
          <w:p w14:paraId="15D1ED6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8DE66F"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BCDEB85" w14:textId="77777777" w:rsidR="00BF4529" w:rsidRDefault="00BF4529" w:rsidP="00BF4529">
            <w:pPr>
              <w:pStyle w:val="TableInnerSideHeading"/>
              <w:spacing w:before="0"/>
              <w:jc w:val="left"/>
              <w:rPr>
                <w:sz w:val="26"/>
                <w:rtl/>
              </w:rPr>
            </w:pPr>
            <w:r>
              <w:rPr>
                <w:rFonts w:hint="cs"/>
                <w:sz w:val="26"/>
                <w:rtl/>
              </w:rPr>
              <w:t>תפקידי המדען הראשי</w:t>
            </w:r>
          </w:p>
        </w:tc>
        <w:tc>
          <w:tcPr>
            <w:tcW w:w="624" w:type="dxa"/>
            <w:tcMar>
              <w:top w:w="91" w:type="dxa"/>
              <w:left w:w="0" w:type="dxa"/>
              <w:bottom w:w="91" w:type="dxa"/>
              <w:right w:w="0" w:type="dxa"/>
            </w:tcMar>
            <w:hideMark/>
          </w:tcPr>
          <w:p w14:paraId="15D113D4" w14:textId="77777777" w:rsidR="00BF4529" w:rsidRDefault="00BF4529" w:rsidP="00BF4529">
            <w:pPr>
              <w:pStyle w:val="TableText"/>
              <w:spacing w:before="0"/>
              <w:rPr>
                <w:sz w:val="26"/>
                <w:rtl/>
              </w:rPr>
            </w:pPr>
            <w:r>
              <w:rPr>
                <w:rFonts w:hint="cs"/>
                <w:sz w:val="26"/>
                <w:rtl/>
              </w:rPr>
              <w:t>8.</w:t>
            </w:r>
          </w:p>
        </w:tc>
        <w:tc>
          <w:tcPr>
            <w:tcW w:w="4650" w:type="dxa"/>
            <w:gridSpan w:val="3"/>
            <w:tcMar>
              <w:top w:w="91" w:type="dxa"/>
              <w:left w:w="0" w:type="dxa"/>
              <w:bottom w:w="91" w:type="dxa"/>
              <w:right w:w="0" w:type="dxa"/>
            </w:tcMar>
            <w:hideMark/>
          </w:tcPr>
          <w:p w14:paraId="10F25C93" w14:textId="77777777" w:rsidR="00BF4529" w:rsidRDefault="00BF4529" w:rsidP="00BF4529">
            <w:pPr>
              <w:pStyle w:val="TableBlock"/>
              <w:spacing w:before="0"/>
              <w:rPr>
                <w:sz w:val="26"/>
                <w:rtl/>
              </w:rPr>
            </w:pPr>
            <w:r>
              <w:rPr>
                <w:rFonts w:hint="cs"/>
                <w:sz w:val="26"/>
                <w:rtl/>
              </w:rPr>
              <w:t>תפקידי המדען הראשי יהיו, בין השאר –</w:t>
            </w:r>
          </w:p>
        </w:tc>
      </w:tr>
      <w:tr w:rsidR="00BF4529" w14:paraId="7603A14E" w14:textId="77777777" w:rsidTr="00BF4529">
        <w:trPr>
          <w:cantSplit/>
          <w:trHeight w:val="60"/>
        </w:trPr>
        <w:tc>
          <w:tcPr>
            <w:tcW w:w="1871" w:type="dxa"/>
          </w:tcPr>
          <w:p w14:paraId="7CE96B10" w14:textId="77777777" w:rsidR="00BF4529" w:rsidRDefault="00BF4529" w:rsidP="00BF4529">
            <w:pPr>
              <w:pStyle w:val="TableSideHeading"/>
              <w:spacing w:before="0"/>
              <w:jc w:val="left"/>
              <w:rPr>
                <w:sz w:val="26"/>
                <w:rtl/>
              </w:rPr>
            </w:pPr>
          </w:p>
        </w:tc>
        <w:tc>
          <w:tcPr>
            <w:tcW w:w="624" w:type="dxa"/>
          </w:tcPr>
          <w:p w14:paraId="21BD5128" w14:textId="77777777" w:rsidR="00BF4529" w:rsidRDefault="00BF4529" w:rsidP="00BF4529">
            <w:pPr>
              <w:pStyle w:val="TableText"/>
              <w:spacing w:before="0"/>
              <w:rPr>
                <w:sz w:val="26"/>
                <w:rtl/>
              </w:rPr>
            </w:pPr>
          </w:p>
        </w:tc>
        <w:tc>
          <w:tcPr>
            <w:tcW w:w="624" w:type="dxa"/>
          </w:tcPr>
          <w:p w14:paraId="76DF273F" w14:textId="77777777" w:rsidR="00BF4529" w:rsidRDefault="00BF4529" w:rsidP="00BF4529">
            <w:pPr>
              <w:pStyle w:val="TableText"/>
              <w:spacing w:before="0"/>
              <w:rPr>
                <w:sz w:val="26"/>
              </w:rPr>
            </w:pPr>
          </w:p>
        </w:tc>
        <w:tc>
          <w:tcPr>
            <w:tcW w:w="624" w:type="dxa"/>
          </w:tcPr>
          <w:p w14:paraId="69F1932C" w14:textId="77777777" w:rsidR="00BF4529" w:rsidRDefault="00BF4529" w:rsidP="00BF4529">
            <w:pPr>
              <w:pStyle w:val="TableText"/>
              <w:spacing w:before="0"/>
              <w:rPr>
                <w:sz w:val="26"/>
              </w:rPr>
            </w:pPr>
          </w:p>
        </w:tc>
        <w:tc>
          <w:tcPr>
            <w:tcW w:w="624" w:type="dxa"/>
          </w:tcPr>
          <w:p w14:paraId="73A7DF6A" w14:textId="77777777" w:rsidR="00BF4529" w:rsidRDefault="00BF4529" w:rsidP="00BF4529">
            <w:pPr>
              <w:pStyle w:val="TableText"/>
              <w:spacing w:before="0"/>
              <w:rPr>
                <w:sz w:val="26"/>
              </w:rPr>
            </w:pPr>
          </w:p>
        </w:tc>
        <w:tc>
          <w:tcPr>
            <w:tcW w:w="624" w:type="dxa"/>
          </w:tcPr>
          <w:p w14:paraId="0A32DCF2" w14:textId="77777777" w:rsidR="00BF4529" w:rsidRDefault="00BF4529" w:rsidP="00BF4529">
            <w:pPr>
              <w:pStyle w:val="TableText"/>
              <w:spacing w:before="0"/>
              <w:rPr>
                <w:sz w:val="26"/>
              </w:rPr>
            </w:pPr>
          </w:p>
        </w:tc>
        <w:tc>
          <w:tcPr>
            <w:tcW w:w="4650" w:type="dxa"/>
            <w:gridSpan w:val="3"/>
            <w:hideMark/>
          </w:tcPr>
          <w:p w14:paraId="5C52F812" w14:textId="77777777" w:rsidR="00BF4529" w:rsidRDefault="00BF4529" w:rsidP="00BF4529">
            <w:pPr>
              <w:pStyle w:val="TableBlock"/>
              <w:spacing w:before="0"/>
              <w:rPr>
                <w:sz w:val="26"/>
              </w:rPr>
            </w:pPr>
            <w:r>
              <w:rPr>
                <w:rFonts w:hint="cs"/>
                <w:sz w:val="26"/>
                <w:rtl/>
              </w:rPr>
              <w:t>(1)</w:t>
            </w:r>
            <w:r>
              <w:rPr>
                <w:rFonts w:hint="cs"/>
                <w:sz w:val="26"/>
                <w:rtl/>
              </w:rPr>
              <w:tab/>
              <w:t>לייעץ לממשלה בכל הקשור ליישום מטרות חוק זה;</w:t>
            </w:r>
          </w:p>
        </w:tc>
      </w:tr>
      <w:tr w:rsidR="00BF4529" w14:paraId="35404013" w14:textId="77777777" w:rsidTr="00BF4529">
        <w:trPr>
          <w:cantSplit/>
        </w:trPr>
        <w:tc>
          <w:tcPr>
            <w:tcW w:w="1871" w:type="dxa"/>
            <w:tcMar>
              <w:top w:w="91" w:type="dxa"/>
              <w:left w:w="0" w:type="dxa"/>
              <w:bottom w:w="91" w:type="dxa"/>
              <w:right w:w="0" w:type="dxa"/>
            </w:tcMar>
          </w:tcPr>
          <w:p w14:paraId="04501437" w14:textId="77777777" w:rsidR="00BF4529" w:rsidRDefault="00BF4529" w:rsidP="00BF4529">
            <w:pPr>
              <w:pStyle w:val="TableSideHeading"/>
              <w:spacing w:before="0"/>
              <w:jc w:val="left"/>
              <w:rPr>
                <w:sz w:val="26"/>
              </w:rPr>
            </w:pPr>
          </w:p>
        </w:tc>
        <w:tc>
          <w:tcPr>
            <w:tcW w:w="624" w:type="dxa"/>
            <w:tcMar>
              <w:top w:w="91" w:type="dxa"/>
              <w:left w:w="0" w:type="dxa"/>
              <w:bottom w:w="91" w:type="dxa"/>
              <w:right w:w="0" w:type="dxa"/>
            </w:tcMar>
          </w:tcPr>
          <w:p w14:paraId="0F244498" w14:textId="77777777" w:rsidR="00BF4529" w:rsidRDefault="00BF4529" w:rsidP="00BF4529">
            <w:pPr>
              <w:pStyle w:val="TableText"/>
              <w:spacing w:before="0"/>
              <w:rPr>
                <w:sz w:val="26"/>
              </w:rPr>
            </w:pPr>
          </w:p>
        </w:tc>
        <w:tc>
          <w:tcPr>
            <w:tcW w:w="624" w:type="dxa"/>
            <w:tcMar>
              <w:top w:w="91" w:type="dxa"/>
              <w:left w:w="0" w:type="dxa"/>
              <w:bottom w:w="91" w:type="dxa"/>
              <w:right w:w="0" w:type="dxa"/>
            </w:tcMar>
          </w:tcPr>
          <w:p w14:paraId="7D68410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9474A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14BF7E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72D6A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2A09351" w14:textId="77777777" w:rsidR="00BF4529" w:rsidRDefault="00BF4529" w:rsidP="00BF4529">
            <w:pPr>
              <w:pStyle w:val="TableBlock"/>
              <w:spacing w:before="0"/>
              <w:rPr>
                <w:sz w:val="26"/>
                <w:rtl/>
              </w:rPr>
            </w:pPr>
            <w:r>
              <w:rPr>
                <w:rFonts w:hint="cs"/>
                <w:sz w:val="26"/>
                <w:rtl/>
              </w:rPr>
              <w:t>(2)</w:t>
            </w:r>
            <w:r>
              <w:rPr>
                <w:rFonts w:hint="cs"/>
                <w:sz w:val="26"/>
                <w:rtl/>
              </w:rPr>
              <w:tab/>
              <w:t>לעקוב אחר התהליכים והשינויים בחדשנות הטכנולוגית בתעשייה בישראל ומחוצה לה, לרבות השפעתם על יצירת מקומות עבודה וצמצום פערים חברתיים-כלכליים;</w:t>
            </w:r>
          </w:p>
        </w:tc>
      </w:tr>
      <w:tr w:rsidR="00BF4529" w14:paraId="714E28A6" w14:textId="77777777" w:rsidTr="00BF4529">
        <w:trPr>
          <w:cantSplit/>
        </w:trPr>
        <w:tc>
          <w:tcPr>
            <w:tcW w:w="1871" w:type="dxa"/>
            <w:tcMar>
              <w:top w:w="91" w:type="dxa"/>
              <w:left w:w="0" w:type="dxa"/>
              <w:bottom w:w="91" w:type="dxa"/>
              <w:right w:w="0" w:type="dxa"/>
            </w:tcMar>
          </w:tcPr>
          <w:p w14:paraId="7CE6F4D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34BB11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D4FF2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4CEEB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6F4FE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5A28B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BD7CFDE" w14:textId="77777777" w:rsidR="00BF4529" w:rsidRDefault="00BF4529" w:rsidP="00BF4529">
            <w:pPr>
              <w:pStyle w:val="TableBlock"/>
              <w:spacing w:before="0"/>
              <w:rPr>
                <w:sz w:val="26"/>
                <w:rtl/>
              </w:rPr>
            </w:pPr>
            <w:r>
              <w:rPr>
                <w:rFonts w:hint="cs"/>
                <w:sz w:val="26"/>
                <w:rtl/>
              </w:rPr>
              <w:t>(3)</w:t>
            </w:r>
            <w:r>
              <w:rPr>
                <w:rFonts w:hint="cs"/>
                <w:sz w:val="26"/>
                <w:rtl/>
              </w:rPr>
              <w:tab/>
              <w:t>להמליץ לפני כל רשות המוסמכת לכך בדבר מתן הטבות העשויות לסייע בהגשמת מטרות החוק, בתחומים שבסמכות אותה רשות או בתחומים שהיא ממונה על ביצועם;</w:t>
            </w:r>
          </w:p>
        </w:tc>
      </w:tr>
      <w:tr w:rsidR="00BF4529" w14:paraId="59D20460" w14:textId="77777777" w:rsidTr="00BF4529">
        <w:trPr>
          <w:cantSplit/>
        </w:trPr>
        <w:tc>
          <w:tcPr>
            <w:tcW w:w="1871" w:type="dxa"/>
            <w:tcMar>
              <w:top w:w="91" w:type="dxa"/>
              <w:left w:w="0" w:type="dxa"/>
              <w:bottom w:w="91" w:type="dxa"/>
              <w:right w:w="0" w:type="dxa"/>
            </w:tcMar>
          </w:tcPr>
          <w:p w14:paraId="5E7A609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7D762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CF19C6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0A0A8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84311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1350A4"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0098F7A" w14:textId="77777777" w:rsidR="00BF4529" w:rsidRDefault="00BF4529" w:rsidP="00BF4529">
            <w:pPr>
              <w:pStyle w:val="TableBlock"/>
              <w:spacing w:before="0"/>
              <w:rPr>
                <w:sz w:val="26"/>
                <w:rtl/>
              </w:rPr>
            </w:pPr>
            <w:r>
              <w:rPr>
                <w:rFonts w:hint="cs"/>
                <w:sz w:val="26"/>
                <w:rtl/>
              </w:rPr>
              <w:t>(4)</w:t>
            </w:r>
            <w:r>
              <w:rPr>
                <w:rFonts w:hint="cs"/>
                <w:sz w:val="26"/>
                <w:rtl/>
              </w:rPr>
              <w:tab/>
              <w:t>לדווח לממשלה, ובכלל זה לוועדת השרים לענייני מדע טכנולוגיה וחלל שקבעה הממשלה, אחת לשנה, על ממצאיו והמלצותיו בנוגע לקידום החדשנות הטכנולוגית בתעשייה, והמלצותיו באשר לפעולות של הרשות והממשלה הנדרשות כדי להגשים את מטרות החוק, בהתחשב בהשפעתן על יצירת מקומות עבודה ועל צמצום פערים חברתיים-כלכליים.</w:t>
            </w:r>
          </w:p>
        </w:tc>
      </w:tr>
      <w:tr w:rsidR="00BF4529" w14:paraId="403EA184" w14:textId="77777777" w:rsidTr="00BF4529">
        <w:trPr>
          <w:cantSplit/>
        </w:trPr>
        <w:tc>
          <w:tcPr>
            <w:tcW w:w="1871" w:type="dxa"/>
            <w:tcMar>
              <w:top w:w="91" w:type="dxa"/>
              <w:left w:w="0" w:type="dxa"/>
              <w:bottom w:w="91" w:type="dxa"/>
              <w:right w:w="0" w:type="dxa"/>
            </w:tcMar>
          </w:tcPr>
          <w:p w14:paraId="68FEB48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E60C78F"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1D47FFC" w14:textId="77777777" w:rsidR="00BF4529" w:rsidRDefault="00BF4529" w:rsidP="00BF4529">
            <w:pPr>
              <w:pStyle w:val="TableHead"/>
              <w:spacing w:before="0"/>
              <w:rPr>
                <w:sz w:val="26"/>
                <w:rtl/>
              </w:rPr>
            </w:pPr>
            <w:r>
              <w:rPr>
                <w:rFonts w:hint="cs"/>
                <w:sz w:val="26"/>
                <w:rtl/>
              </w:rPr>
              <w:t>סימן ב': מועצת הרשות</w:t>
            </w:r>
          </w:p>
        </w:tc>
      </w:tr>
      <w:tr w:rsidR="00BF4529" w14:paraId="304E0247" w14:textId="77777777" w:rsidTr="00BF4529">
        <w:trPr>
          <w:cantSplit/>
        </w:trPr>
        <w:tc>
          <w:tcPr>
            <w:tcW w:w="1871" w:type="dxa"/>
            <w:tcMar>
              <w:top w:w="91" w:type="dxa"/>
              <w:left w:w="0" w:type="dxa"/>
              <w:bottom w:w="91" w:type="dxa"/>
              <w:right w:w="0" w:type="dxa"/>
            </w:tcMar>
          </w:tcPr>
          <w:p w14:paraId="3DC71CE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AAD46A7"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47C41FF" w14:textId="77777777" w:rsidR="00BF4529" w:rsidRDefault="00BF4529" w:rsidP="00BF4529">
            <w:pPr>
              <w:pStyle w:val="TableInnerSideHeading"/>
              <w:spacing w:before="0"/>
              <w:jc w:val="left"/>
              <w:rPr>
                <w:sz w:val="26"/>
                <w:rtl/>
              </w:rPr>
            </w:pPr>
            <w:r>
              <w:rPr>
                <w:rFonts w:hint="cs"/>
                <w:sz w:val="26"/>
                <w:rtl/>
              </w:rPr>
              <w:t>המועצה ותפקידיה</w:t>
            </w:r>
          </w:p>
        </w:tc>
        <w:tc>
          <w:tcPr>
            <w:tcW w:w="624" w:type="dxa"/>
            <w:tcMar>
              <w:top w:w="91" w:type="dxa"/>
              <w:left w:w="0" w:type="dxa"/>
              <w:bottom w:w="91" w:type="dxa"/>
              <w:right w:w="0" w:type="dxa"/>
            </w:tcMar>
            <w:hideMark/>
          </w:tcPr>
          <w:p w14:paraId="2DFC987F" w14:textId="77777777" w:rsidR="00BF4529" w:rsidRDefault="00BF4529" w:rsidP="00BF4529">
            <w:pPr>
              <w:pStyle w:val="TableText"/>
              <w:spacing w:before="0"/>
              <w:rPr>
                <w:sz w:val="26"/>
                <w:rtl/>
              </w:rPr>
            </w:pPr>
            <w:r>
              <w:rPr>
                <w:rFonts w:hint="cs"/>
                <w:sz w:val="26"/>
                <w:rtl/>
              </w:rPr>
              <w:t>8א.</w:t>
            </w:r>
          </w:p>
        </w:tc>
        <w:tc>
          <w:tcPr>
            <w:tcW w:w="4650" w:type="dxa"/>
            <w:gridSpan w:val="3"/>
            <w:tcMar>
              <w:top w:w="91" w:type="dxa"/>
              <w:left w:w="0" w:type="dxa"/>
              <w:bottom w:w="91" w:type="dxa"/>
              <w:right w:w="0" w:type="dxa"/>
            </w:tcMar>
            <w:hideMark/>
          </w:tcPr>
          <w:p w14:paraId="4E731734" w14:textId="77777777" w:rsidR="00BF4529" w:rsidRDefault="00BF4529" w:rsidP="00BF4529">
            <w:pPr>
              <w:pStyle w:val="TableBlock"/>
              <w:spacing w:before="0"/>
              <w:rPr>
                <w:sz w:val="26"/>
                <w:rtl/>
              </w:rPr>
            </w:pPr>
            <w:r>
              <w:rPr>
                <w:rFonts w:hint="cs"/>
                <w:sz w:val="26"/>
                <w:rtl/>
              </w:rPr>
              <w:t>לרשות תהיה מועצה, ואלה תפקידיה:</w:t>
            </w:r>
          </w:p>
        </w:tc>
      </w:tr>
      <w:tr w:rsidR="00BF4529" w14:paraId="757994E4" w14:textId="77777777" w:rsidTr="00BF4529">
        <w:trPr>
          <w:cantSplit/>
        </w:trPr>
        <w:tc>
          <w:tcPr>
            <w:tcW w:w="1871" w:type="dxa"/>
            <w:tcMar>
              <w:top w:w="91" w:type="dxa"/>
              <w:left w:w="0" w:type="dxa"/>
              <w:bottom w:w="91" w:type="dxa"/>
              <w:right w:w="0" w:type="dxa"/>
            </w:tcMar>
          </w:tcPr>
          <w:p w14:paraId="3BBA363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1BE75F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C0F92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22EE1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13ABB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AE4A8A"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16E748A" w14:textId="77777777" w:rsidR="00BF4529" w:rsidRDefault="00BF4529" w:rsidP="00BF4529">
            <w:pPr>
              <w:pStyle w:val="TableBlock"/>
              <w:spacing w:before="0"/>
              <w:rPr>
                <w:sz w:val="26"/>
                <w:rtl/>
              </w:rPr>
            </w:pPr>
            <w:r>
              <w:rPr>
                <w:rFonts w:hint="cs"/>
                <w:sz w:val="26"/>
                <w:rtl/>
              </w:rPr>
              <w:t>(1)</w:t>
            </w:r>
            <w:r>
              <w:rPr>
                <w:rFonts w:hint="cs"/>
                <w:sz w:val="26"/>
                <w:rtl/>
              </w:rPr>
              <w:tab/>
              <w:t>לפעול ליישום המדיניות האמורה בסעיף 5א(ג);</w:t>
            </w:r>
          </w:p>
        </w:tc>
      </w:tr>
      <w:tr w:rsidR="00BF4529" w14:paraId="0FA01611" w14:textId="77777777" w:rsidTr="00BF4529">
        <w:trPr>
          <w:cantSplit/>
        </w:trPr>
        <w:tc>
          <w:tcPr>
            <w:tcW w:w="1871" w:type="dxa"/>
            <w:tcMar>
              <w:top w:w="91" w:type="dxa"/>
              <w:left w:w="0" w:type="dxa"/>
              <w:bottom w:w="91" w:type="dxa"/>
              <w:right w:w="0" w:type="dxa"/>
            </w:tcMar>
          </w:tcPr>
          <w:p w14:paraId="5451E8F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56302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5860C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3849A1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1927C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16A2BA"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86D9955" w14:textId="77777777" w:rsidR="00BF4529" w:rsidRDefault="00BF4529" w:rsidP="00BF4529">
            <w:pPr>
              <w:pStyle w:val="TableBlock"/>
              <w:spacing w:before="0"/>
              <w:rPr>
                <w:sz w:val="26"/>
                <w:rtl/>
              </w:rPr>
            </w:pPr>
            <w:r>
              <w:rPr>
                <w:rFonts w:hint="cs"/>
                <w:sz w:val="26"/>
                <w:rtl/>
              </w:rPr>
              <w:t>(2)</w:t>
            </w:r>
            <w:r>
              <w:rPr>
                <w:rFonts w:hint="cs"/>
                <w:sz w:val="26"/>
                <w:rtl/>
              </w:rPr>
              <w:tab/>
              <w:t>לפקח על התנהלותה היעילה והתקינה של הרשות;</w:t>
            </w:r>
          </w:p>
        </w:tc>
      </w:tr>
      <w:tr w:rsidR="00BF4529" w14:paraId="4F088176" w14:textId="77777777" w:rsidTr="00BF4529">
        <w:trPr>
          <w:cantSplit/>
        </w:trPr>
        <w:tc>
          <w:tcPr>
            <w:tcW w:w="1871" w:type="dxa"/>
            <w:tcMar>
              <w:top w:w="91" w:type="dxa"/>
              <w:left w:w="0" w:type="dxa"/>
              <w:bottom w:w="91" w:type="dxa"/>
              <w:right w:w="0" w:type="dxa"/>
            </w:tcMar>
          </w:tcPr>
          <w:p w14:paraId="0B7B48E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3A82DF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F74B9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1BE6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85E066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27E0A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6E23498" w14:textId="77777777" w:rsidR="00BF4529" w:rsidRDefault="00BF4529" w:rsidP="00BF4529">
            <w:pPr>
              <w:pStyle w:val="TableBlock"/>
              <w:spacing w:before="0"/>
              <w:rPr>
                <w:sz w:val="26"/>
                <w:rtl/>
              </w:rPr>
            </w:pPr>
            <w:r>
              <w:rPr>
                <w:rFonts w:hint="cs"/>
                <w:sz w:val="26"/>
                <w:rtl/>
              </w:rPr>
              <w:t>(3)</w:t>
            </w:r>
            <w:r>
              <w:rPr>
                <w:rFonts w:hint="cs"/>
                <w:sz w:val="26"/>
                <w:rtl/>
              </w:rPr>
              <w:tab/>
              <w:t>לדון בתכניות העבודה של הרשות, לאשרן ולעקוב אחר יישומן;</w:t>
            </w:r>
          </w:p>
        </w:tc>
      </w:tr>
      <w:tr w:rsidR="00BF4529" w14:paraId="5479E46F" w14:textId="77777777" w:rsidTr="00BF4529">
        <w:trPr>
          <w:cantSplit/>
        </w:trPr>
        <w:tc>
          <w:tcPr>
            <w:tcW w:w="1871" w:type="dxa"/>
            <w:tcMar>
              <w:top w:w="91" w:type="dxa"/>
              <w:left w:w="0" w:type="dxa"/>
              <w:bottom w:w="91" w:type="dxa"/>
              <w:right w:w="0" w:type="dxa"/>
            </w:tcMar>
          </w:tcPr>
          <w:p w14:paraId="145B685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1BE3DE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59832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09973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FB9C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AB2F4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2424C67" w14:textId="77777777" w:rsidR="00BF4529" w:rsidRDefault="00BF4529" w:rsidP="00BF4529">
            <w:pPr>
              <w:pStyle w:val="TableBlock"/>
              <w:spacing w:before="0"/>
              <w:rPr>
                <w:sz w:val="26"/>
                <w:rtl/>
              </w:rPr>
            </w:pPr>
            <w:r>
              <w:rPr>
                <w:rFonts w:hint="cs"/>
                <w:sz w:val="26"/>
                <w:rtl/>
              </w:rPr>
              <w:t>(4)</w:t>
            </w:r>
            <w:r>
              <w:rPr>
                <w:rFonts w:hint="cs"/>
                <w:sz w:val="26"/>
                <w:rtl/>
              </w:rPr>
              <w:tab/>
              <w:t>לאשר את התקציב המינהלי של פעילות הרשות כאמור בסעיף 15כט(ב);</w:t>
            </w:r>
          </w:p>
        </w:tc>
      </w:tr>
      <w:tr w:rsidR="00BF4529" w14:paraId="0E17C329" w14:textId="77777777" w:rsidTr="00BF4529">
        <w:trPr>
          <w:cantSplit/>
        </w:trPr>
        <w:tc>
          <w:tcPr>
            <w:tcW w:w="1871" w:type="dxa"/>
            <w:tcMar>
              <w:top w:w="91" w:type="dxa"/>
              <w:left w:w="0" w:type="dxa"/>
              <w:bottom w:w="91" w:type="dxa"/>
              <w:right w:w="0" w:type="dxa"/>
            </w:tcMar>
          </w:tcPr>
          <w:p w14:paraId="633D481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102BAE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C8D3A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6CC6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F08CB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65C9F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F02EBAA" w14:textId="77777777" w:rsidR="00BF4529" w:rsidRDefault="00BF4529" w:rsidP="00BF4529">
            <w:pPr>
              <w:pStyle w:val="TableBlock"/>
              <w:spacing w:before="0"/>
              <w:rPr>
                <w:sz w:val="26"/>
                <w:rtl/>
              </w:rPr>
            </w:pPr>
            <w:r>
              <w:rPr>
                <w:rFonts w:hint="cs"/>
                <w:sz w:val="26"/>
                <w:rtl/>
              </w:rPr>
              <w:t>(5)</w:t>
            </w:r>
            <w:r>
              <w:rPr>
                <w:rFonts w:hint="cs"/>
                <w:sz w:val="26"/>
                <w:rtl/>
              </w:rPr>
              <w:tab/>
              <w:t>לעקוב ברציפות אחר הגשמת המדיניות האמורה בסעיף 5א(ג) והתכניות והתקציבים של הרשות;</w:t>
            </w:r>
          </w:p>
        </w:tc>
      </w:tr>
      <w:tr w:rsidR="00BF4529" w14:paraId="70068FF7" w14:textId="77777777" w:rsidTr="00BF4529">
        <w:trPr>
          <w:cantSplit/>
        </w:trPr>
        <w:tc>
          <w:tcPr>
            <w:tcW w:w="1871" w:type="dxa"/>
            <w:tcMar>
              <w:top w:w="91" w:type="dxa"/>
              <w:left w:w="0" w:type="dxa"/>
              <w:bottom w:w="91" w:type="dxa"/>
              <w:right w:w="0" w:type="dxa"/>
            </w:tcMar>
          </w:tcPr>
          <w:p w14:paraId="40A6ACA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53B25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277D6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02992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BA6AF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3A6AB5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C0752F6" w14:textId="77777777" w:rsidR="00BF4529" w:rsidRDefault="00BF4529" w:rsidP="00BF4529">
            <w:pPr>
              <w:pStyle w:val="TableBlock"/>
              <w:spacing w:before="0"/>
              <w:rPr>
                <w:sz w:val="26"/>
                <w:rtl/>
              </w:rPr>
            </w:pPr>
            <w:r>
              <w:rPr>
                <w:rFonts w:hint="cs"/>
                <w:sz w:val="26"/>
                <w:rtl/>
              </w:rPr>
              <w:t>(6)</w:t>
            </w:r>
            <w:r>
              <w:rPr>
                <w:rFonts w:hint="cs"/>
                <w:sz w:val="26"/>
                <w:rtl/>
              </w:rPr>
              <w:tab/>
              <w:t>לדון בטיוטת הדוחות הכספיים של הרשות ובהערות רואה החשבון המבקר לגביה, ולאחר אישור הדוחות הכספיים – לדון בכל פרט שלגביו רואה החשבון המבקר הסתייג, העיר הערה או נמנע מלחוות את דעתו;</w:t>
            </w:r>
          </w:p>
        </w:tc>
      </w:tr>
      <w:tr w:rsidR="00BF4529" w14:paraId="7025553B" w14:textId="77777777" w:rsidTr="00BF4529">
        <w:trPr>
          <w:cantSplit/>
        </w:trPr>
        <w:tc>
          <w:tcPr>
            <w:tcW w:w="1871" w:type="dxa"/>
            <w:tcMar>
              <w:top w:w="91" w:type="dxa"/>
              <w:left w:w="0" w:type="dxa"/>
              <w:bottom w:w="91" w:type="dxa"/>
              <w:right w:w="0" w:type="dxa"/>
            </w:tcMar>
          </w:tcPr>
          <w:p w14:paraId="46CDE67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40E9D0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FAAC17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CC438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484B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F926C3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F4E7683" w14:textId="77777777" w:rsidR="00BF4529" w:rsidRDefault="00BF4529" w:rsidP="00BF4529">
            <w:pPr>
              <w:pStyle w:val="TableBlock"/>
              <w:spacing w:before="0"/>
              <w:rPr>
                <w:sz w:val="26"/>
                <w:rtl/>
              </w:rPr>
            </w:pPr>
            <w:r>
              <w:rPr>
                <w:rFonts w:hint="cs"/>
                <w:sz w:val="26"/>
                <w:rtl/>
              </w:rPr>
              <w:t>(7)</w:t>
            </w:r>
            <w:r>
              <w:rPr>
                <w:rFonts w:hint="cs"/>
                <w:sz w:val="26"/>
                <w:rtl/>
              </w:rPr>
              <w:tab/>
              <w:t>לקבוע מסלולים למתן ההטבות לפי חוק זה, את הוראותיהם ואת תנאיהם (בחוק זה – מסלולי הטבות), ורשאית המועצה להסמיך את ועדות המחקר לגבש נהלים ליישום מסלולי ההטבות;</w:t>
            </w:r>
          </w:p>
        </w:tc>
      </w:tr>
      <w:tr w:rsidR="00BF4529" w14:paraId="04120E3D" w14:textId="77777777" w:rsidTr="00BF4529">
        <w:trPr>
          <w:cantSplit/>
        </w:trPr>
        <w:tc>
          <w:tcPr>
            <w:tcW w:w="1871" w:type="dxa"/>
            <w:tcMar>
              <w:top w:w="91" w:type="dxa"/>
              <w:left w:w="0" w:type="dxa"/>
              <w:bottom w:w="91" w:type="dxa"/>
              <w:right w:w="0" w:type="dxa"/>
            </w:tcMar>
          </w:tcPr>
          <w:p w14:paraId="6343A9E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5D8D0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C41F2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EB4A9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9A857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FFCA14"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DF8278D" w14:textId="77777777" w:rsidR="00BF4529" w:rsidRDefault="00BF4529" w:rsidP="00BF4529">
            <w:pPr>
              <w:pStyle w:val="TableBlock"/>
              <w:spacing w:before="0"/>
              <w:rPr>
                <w:sz w:val="26"/>
                <w:rtl/>
              </w:rPr>
            </w:pPr>
            <w:r>
              <w:rPr>
                <w:rFonts w:hint="cs"/>
                <w:sz w:val="26"/>
                <w:rtl/>
              </w:rPr>
              <w:t>(8)</w:t>
            </w:r>
            <w:r>
              <w:rPr>
                <w:rFonts w:hint="cs"/>
                <w:sz w:val="26"/>
                <w:rtl/>
              </w:rPr>
              <w:tab/>
              <w:t>לגבש נהלים בנוגע לסדרי עבודת ועדות המחקר;</w:t>
            </w:r>
          </w:p>
        </w:tc>
      </w:tr>
      <w:tr w:rsidR="00BF4529" w14:paraId="35BFA0B9" w14:textId="77777777" w:rsidTr="00BF4529">
        <w:trPr>
          <w:cantSplit/>
        </w:trPr>
        <w:tc>
          <w:tcPr>
            <w:tcW w:w="1871" w:type="dxa"/>
            <w:tcMar>
              <w:top w:w="91" w:type="dxa"/>
              <w:left w:w="0" w:type="dxa"/>
              <w:bottom w:w="91" w:type="dxa"/>
              <w:right w:w="0" w:type="dxa"/>
            </w:tcMar>
          </w:tcPr>
          <w:p w14:paraId="43B8EE9C" w14:textId="77777777" w:rsidR="00BF4529" w:rsidRDefault="00BF4529" w:rsidP="00BF4529">
            <w:pPr>
              <w:pStyle w:val="TableSideHeading"/>
              <w:spacing w:before="0" w:line="276" w:lineRule="auto"/>
              <w:jc w:val="left"/>
              <w:rPr>
                <w:sz w:val="22"/>
                <w:szCs w:val="22"/>
                <w:rtl/>
              </w:rPr>
            </w:pPr>
          </w:p>
        </w:tc>
        <w:tc>
          <w:tcPr>
            <w:tcW w:w="624" w:type="dxa"/>
            <w:tcMar>
              <w:top w:w="91" w:type="dxa"/>
              <w:left w:w="0" w:type="dxa"/>
              <w:bottom w:w="91" w:type="dxa"/>
              <w:right w:w="0" w:type="dxa"/>
            </w:tcMar>
          </w:tcPr>
          <w:p w14:paraId="28A6B63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A8D96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AA4A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F5D59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30F0EB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3B36F40" w14:textId="77777777" w:rsidR="00BF4529" w:rsidRDefault="00BF4529" w:rsidP="00BF4529">
            <w:pPr>
              <w:pStyle w:val="TableBlock"/>
              <w:spacing w:before="0"/>
              <w:rPr>
                <w:sz w:val="26"/>
                <w:rtl/>
              </w:rPr>
            </w:pPr>
            <w:r>
              <w:rPr>
                <w:rFonts w:hint="cs"/>
                <w:sz w:val="26"/>
                <w:rtl/>
              </w:rPr>
              <w:t>(9)</w:t>
            </w:r>
            <w:r>
              <w:rPr>
                <w:rFonts w:hint="cs"/>
                <w:sz w:val="26"/>
                <w:rtl/>
              </w:rPr>
              <w:tab/>
              <w:t>לקבוע את השכר, התנאים הסוציאליים, ההטבות, המענקים ותנאי העבודה האחרים של עובדי הרשות, ובכלל זה המשנה למנהל הכללי וסגניו, מנהלי האגפים, מנהל ענייני הכספים, המבקר הפנימי והיועץ המשפטי;</w:t>
            </w:r>
          </w:p>
        </w:tc>
      </w:tr>
      <w:tr w:rsidR="00BF4529" w14:paraId="12CFCE51" w14:textId="77777777" w:rsidTr="00BF4529">
        <w:trPr>
          <w:cantSplit/>
        </w:trPr>
        <w:tc>
          <w:tcPr>
            <w:tcW w:w="1871" w:type="dxa"/>
            <w:tcMar>
              <w:top w:w="91" w:type="dxa"/>
              <w:left w:w="0" w:type="dxa"/>
              <w:bottom w:w="91" w:type="dxa"/>
              <w:right w:w="0" w:type="dxa"/>
            </w:tcMar>
          </w:tcPr>
          <w:p w14:paraId="1385B51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B80418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5F285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79B905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FC067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909598"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5C78896" w14:textId="77777777" w:rsidR="00BF4529" w:rsidRDefault="00BF4529" w:rsidP="00BF4529">
            <w:pPr>
              <w:pStyle w:val="TableBlock"/>
              <w:spacing w:before="0"/>
              <w:rPr>
                <w:sz w:val="26"/>
                <w:rtl/>
              </w:rPr>
            </w:pPr>
            <w:r>
              <w:rPr>
                <w:rFonts w:hint="cs"/>
                <w:sz w:val="26"/>
                <w:rtl/>
              </w:rPr>
              <w:t>(10)</w:t>
            </w:r>
            <w:r>
              <w:rPr>
                <w:rFonts w:hint="cs"/>
                <w:sz w:val="26"/>
                <w:rtl/>
              </w:rPr>
              <w:tab/>
              <w:t>למלא כל תפקיד אחר שהוטל עליה לפי חוק זה.</w:t>
            </w:r>
          </w:p>
        </w:tc>
      </w:tr>
      <w:tr w:rsidR="00BF4529" w14:paraId="07DC9E61" w14:textId="77777777" w:rsidTr="00BF4529">
        <w:trPr>
          <w:cantSplit/>
        </w:trPr>
        <w:tc>
          <w:tcPr>
            <w:tcW w:w="1871" w:type="dxa"/>
            <w:tcMar>
              <w:top w:w="91" w:type="dxa"/>
              <w:left w:w="0" w:type="dxa"/>
              <w:bottom w:w="91" w:type="dxa"/>
              <w:right w:w="0" w:type="dxa"/>
            </w:tcMar>
          </w:tcPr>
          <w:p w14:paraId="492AC6FA" w14:textId="77777777" w:rsidR="00BF4529" w:rsidRDefault="00BF4529" w:rsidP="00BF4529">
            <w:pPr>
              <w:pStyle w:val="TableSideHeading"/>
              <w:spacing w:before="0" w:line="276" w:lineRule="auto"/>
              <w:jc w:val="left"/>
              <w:rPr>
                <w:sz w:val="26"/>
                <w:rtl/>
              </w:rPr>
            </w:pPr>
          </w:p>
        </w:tc>
        <w:tc>
          <w:tcPr>
            <w:tcW w:w="624" w:type="dxa"/>
            <w:tcMar>
              <w:top w:w="91" w:type="dxa"/>
              <w:left w:w="0" w:type="dxa"/>
              <w:bottom w:w="91" w:type="dxa"/>
              <w:right w:w="0" w:type="dxa"/>
            </w:tcMar>
          </w:tcPr>
          <w:p w14:paraId="09203E97"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50DCB32" w14:textId="77777777" w:rsidR="00BF4529" w:rsidRDefault="00BF4529" w:rsidP="00BF4529">
            <w:pPr>
              <w:pStyle w:val="TableInnerSideHeading"/>
              <w:spacing w:before="0"/>
              <w:rPr>
                <w:sz w:val="26"/>
                <w:rtl/>
              </w:rPr>
            </w:pPr>
            <w:r>
              <w:rPr>
                <w:rFonts w:hint="cs"/>
                <w:sz w:val="26"/>
                <w:rtl/>
              </w:rPr>
              <w:t xml:space="preserve">הרכב המועצה </w:t>
            </w:r>
          </w:p>
        </w:tc>
        <w:tc>
          <w:tcPr>
            <w:tcW w:w="624" w:type="dxa"/>
            <w:tcMar>
              <w:top w:w="91" w:type="dxa"/>
              <w:left w:w="0" w:type="dxa"/>
              <w:bottom w:w="91" w:type="dxa"/>
              <w:right w:w="0" w:type="dxa"/>
            </w:tcMar>
            <w:hideMark/>
          </w:tcPr>
          <w:p w14:paraId="6D391AAC" w14:textId="77777777" w:rsidR="00BF4529" w:rsidRDefault="00BF4529" w:rsidP="00BF4529">
            <w:pPr>
              <w:pStyle w:val="TableText"/>
              <w:spacing w:before="0"/>
              <w:rPr>
                <w:sz w:val="26"/>
                <w:rtl/>
              </w:rPr>
            </w:pPr>
            <w:r>
              <w:rPr>
                <w:rFonts w:hint="cs"/>
                <w:sz w:val="26"/>
                <w:rtl/>
              </w:rPr>
              <w:t xml:space="preserve">8ב. </w:t>
            </w:r>
          </w:p>
        </w:tc>
        <w:tc>
          <w:tcPr>
            <w:tcW w:w="4650" w:type="dxa"/>
            <w:gridSpan w:val="3"/>
            <w:tcMar>
              <w:top w:w="91" w:type="dxa"/>
              <w:left w:w="0" w:type="dxa"/>
              <w:bottom w:w="91" w:type="dxa"/>
              <w:right w:w="0" w:type="dxa"/>
            </w:tcMar>
            <w:hideMark/>
          </w:tcPr>
          <w:p w14:paraId="42C12CB3" w14:textId="77777777" w:rsidR="00BF4529" w:rsidRDefault="00BF4529" w:rsidP="00BF4529">
            <w:pPr>
              <w:pStyle w:val="TableBlock"/>
              <w:spacing w:before="0"/>
              <w:rPr>
                <w:sz w:val="26"/>
                <w:rtl/>
              </w:rPr>
            </w:pPr>
            <w:r>
              <w:rPr>
                <w:rFonts w:hint="cs"/>
                <w:sz w:val="26"/>
                <w:rtl/>
              </w:rPr>
              <w:t>(א)</w:t>
            </w:r>
            <w:r>
              <w:rPr>
                <w:rFonts w:hint="cs"/>
                <w:sz w:val="26"/>
                <w:rtl/>
              </w:rPr>
              <w:tab/>
              <w:t>במועצה יכהנו שמונה חברים, והם:</w:t>
            </w:r>
          </w:p>
        </w:tc>
      </w:tr>
      <w:tr w:rsidR="00BF4529" w14:paraId="42F6C684" w14:textId="77777777" w:rsidTr="00BF4529">
        <w:trPr>
          <w:cantSplit/>
        </w:trPr>
        <w:tc>
          <w:tcPr>
            <w:tcW w:w="1871" w:type="dxa"/>
            <w:tcMar>
              <w:top w:w="91" w:type="dxa"/>
              <w:left w:w="0" w:type="dxa"/>
              <w:bottom w:w="91" w:type="dxa"/>
              <w:right w:w="0" w:type="dxa"/>
            </w:tcMar>
          </w:tcPr>
          <w:p w14:paraId="35B4B06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FE1207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A81B8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E35B64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9EBB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90D04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793F86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2AC9C58" w14:textId="77777777" w:rsidR="00BF4529" w:rsidRDefault="00BF4529" w:rsidP="00BF4529">
            <w:pPr>
              <w:pStyle w:val="TableBlock"/>
              <w:spacing w:before="0"/>
              <w:rPr>
                <w:sz w:val="26"/>
                <w:rtl/>
              </w:rPr>
            </w:pPr>
            <w:r>
              <w:rPr>
                <w:rFonts w:hint="cs"/>
                <w:sz w:val="26"/>
                <w:rtl/>
              </w:rPr>
              <w:t>(1)</w:t>
            </w:r>
            <w:r>
              <w:rPr>
                <w:rFonts w:hint="cs"/>
                <w:sz w:val="26"/>
                <w:rtl/>
              </w:rPr>
              <w:tab/>
              <w:t>המדען הראשי, והוא יהיה היושב ראש כאמור בסעיף 7;</w:t>
            </w:r>
          </w:p>
        </w:tc>
      </w:tr>
      <w:tr w:rsidR="00BF4529" w14:paraId="5B2420EA" w14:textId="77777777" w:rsidTr="00BF4529">
        <w:trPr>
          <w:cantSplit/>
        </w:trPr>
        <w:tc>
          <w:tcPr>
            <w:tcW w:w="1871" w:type="dxa"/>
            <w:tcMar>
              <w:top w:w="91" w:type="dxa"/>
              <w:left w:w="0" w:type="dxa"/>
              <w:bottom w:w="91" w:type="dxa"/>
              <w:right w:w="0" w:type="dxa"/>
            </w:tcMar>
          </w:tcPr>
          <w:p w14:paraId="102A9B0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D8A5D0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1F5DD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60A0F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C0C91C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415BE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6F9A3C"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37CF086" w14:textId="77777777" w:rsidR="00BF4529" w:rsidRDefault="00BF4529" w:rsidP="00BF4529">
            <w:pPr>
              <w:pStyle w:val="TableBlock"/>
              <w:spacing w:before="0"/>
              <w:rPr>
                <w:sz w:val="26"/>
                <w:rtl/>
              </w:rPr>
            </w:pPr>
            <w:r>
              <w:rPr>
                <w:rFonts w:hint="cs"/>
                <w:sz w:val="26"/>
                <w:rtl/>
              </w:rPr>
              <w:t>(2)</w:t>
            </w:r>
            <w:r>
              <w:rPr>
                <w:rFonts w:hint="cs"/>
                <w:sz w:val="26"/>
                <w:rtl/>
              </w:rPr>
              <w:tab/>
              <w:t>עובד לשכת המדען הראשי שימנה המדען הראשי;</w:t>
            </w:r>
          </w:p>
        </w:tc>
      </w:tr>
      <w:tr w:rsidR="00BF4529" w14:paraId="7369634F" w14:textId="77777777" w:rsidTr="00BF4529">
        <w:trPr>
          <w:cantSplit/>
        </w:trPr>
        <w:tc>
          <w:tcPr>
            <w:tcW w:w="1871" w:type="dxa"/>
            <w:tcMar>
              <w:top w:w="91" w:type="dxa"/>
              <w:left w:w="0" w:type="dxa"/>
              <w:bottom w:w="91" w:type="dxa"/>
              <w:right w:w="0" w:type="dxa"/>
            </w:tcMar>
          </w:tcPr>
          <w:p w14:paraId="140FA1D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6C0F0C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E2C2B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53A81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643F2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4D7185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CD1698"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8E8BB61" w14:textId="77777777" w:rsidR="00BF4529" w:rsidRDefault="00BF4529" w:rsidP="00BF4529">
            <w:pPr>
              <w:pStyle w:val="TableBlock"/>
              <w:spacing w:before="0"/>
              <w:rPr>
                <w:sz w:val="26"/>
                <w:rtl/>
              </w:rPr>
            </w:pPr>
            <w:r>
              <w:rPr>
                <w:rFonts w:hint="cs"/>
                <w:sz w:val="26"/>
                <w:rtl/>
              </w:rPr>
              <w:t>(3)</w:t>
            </w:r>
            <w:r>
              <w:rPr>
                <w:rFonts w:hint="cs"/>
                <w:sz w:val="26"/>
                <w:rtl/>
              </w:rPr>
              <w:tab/>
              <w:t>עובד משרד הכלכלה שימנה המנהל הכללי של משרד הכלכלה;</w:t>
            </w:r>
          </w:p>
        </w:tc>
      </w:tr>
      <w:tr w:rsidR="00BF4529" w14:paraId="593DD54E" w14:textId="77777777" w:rsidTr="00BF4529">
        <w:trPr>
          <w:cantSplit/>
        </w:trPr>
        <w:tc>
          <w:tcPr>
            <w:tcW w:w="1871" w:type="dxa"/>
            <w:tcMar>
              <w:top w:w="91" w:type="dxa"/>
              <w:left w:w="0" w:type="dxa"/>
              <w:bottom w:w="91" w:type="dxa"/>
              <w:right w:w="0" w:type="dxa"/>
            </w:tcMar>
          </w:tcPr>
          <w:p w14:paraId="2D13BD3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94DE56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6784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A57DBE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9BBE1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D7CF9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43DB4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C3F08B5" w14:textId="77777777" w:rsidR="00BF4529" w:rsidRDefault="00BF4529" w:rsidP="00BF4529">
            <w:pPr>
              <w:pStyle w:val="TableBlock"/>
              <w:spacing w:before="0"/>
              <w:rPr>
                <w:sz w:val="26"/>
                <w:rtl/>
              </w:rPr>
            </w:pPr>
            <w:r>
              <w:rPr>
                <w:rFonts w:hint="cs"/>
                <w:sz w:val="26"/>
                <w:rtl/>
              </w:rPr>
              <w:t>(4)</w:t>
            </w:r>
            <w:r>
              <w:rPr>
                <w:rFonts w:hint="cs"/>
                <w:sz w:val="26"/>
                <w:rtl/>
              </w:rPr>
              <w:tab/>
              <w:t xml:space="preserve">הממונה על התקציבים במשרד האוצר או עובד משרד האוצר מטעמו; </w:t>
            </w:r>
          </w:p>
        </w:tc>
      </w:tr>
      <w:tr w:rsidR="00BF4529" w14:paraId="304727D2" w14:textId="77777777" w:rsidTr="00BF4529">
        <w:trPr>
          <w:cantSplit/>
        </w:trPr>
        <w:tc>
          <w:tcPr>
            <w:tcW w:w="1871" w:type="dxa"/>
            <w:tcMar>
              <w:top w:w="91" w:type="dxa"/>
              <w:left w:w="0" w:type="dxa"/>
              <w:bottom w:w="91" w:type="dxa"/>
              <w:right w:w="0" w:type="dxa"/>
            </w:tcMar>
          </w:tcPr>
          <w:p w14:paraId="342CEB1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A440F2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006025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193AB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91E921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4D676C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96CF8F"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EA58E0B" w14:textId="77777777" w:rsidR="00BF4529" w:rsidRDefault="00BF4529" w:rsidP="00BF4529">
            <w:pPr>
              <w:pStyle w:val="TableBlock"/>
              <w:spacing w:before="0"/>
              <w:rPr>
                <w:sz w:val="26"/>
                <w:rtl/>
              </w:rPr>
            </w:pPr>
            <w:r>
              <w:rPr>
                <w:rFonts w:hint="cs"/>
                <w:sz w:val="26"/>
                <w:rtl/>
              </w:rPr>
              <w:t>(5)</w:t>
            </w:r>
            <w:r>
              <w:rPr>
                <w:rFonts w:hint="cs"/>
                <w:sz w:val="26"/>
                <w:rtl/>
              </w:rPr>
              <w:tab/>
              <w:t>החשב הכללי במשרד האוצר או עובד משרד האוצר מטעמו;</w:t>
            </w:r>
          </w:p>
        </w:tc>
      </w:tr>
      <w:tr w:rsidR="00BF4529" w14:paraId="22E9A611" w14:textId="77777777" w:rsidTr="00BF4529">
        <w:trPr>
          <w:cantSplit/>
        </w:trPr>
        <w:tc>
          <w:tcPr>
            <w:tcW w:w="1871" w:type="dxa"/>
            <w:tcMar>
              <w:top w:w="91" w:type="dxa"/>
              <w:left w:w="0" w:type="dxa"/>
              <w:bottom w:w="91" w:type="dxa"/>
              <w:right w:w="0" w:type="dxa"/>
            </w:tcMar>
          </w:tcPr>
          <w:p w14:paraId="34CF657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373D58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DD373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FC752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727E50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8A721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48DFA9"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8B92C69" w14:textId="77777777" w:rsidR="00BF4529" w:rsidRDefault="00BF4529" w:rsidP="00BF4529">
            <w:pPr>
              <w:pStyle w:val="TableBlock"/>
              <w:spacing w:before="0"/>
              <w:rPr>
                <w:sz w:val="26"/>
                <w:rtl/>
              </w:rPr>
            </w:pPr>
            <w:r>
              <w:rPr>
                <w:rFonts w:hint="cs"/>
                <w:sz w:val="26"/>
                <w:rtl/>
              </w:rPr>
              <w:t>(6)</w:t>
            </w:r>
            <w:r>
              <w:rPr>
                <w:rFonts w:hint="cs"/>
                <w:sz w:val="26"/>
                <w:rtl/>
              </w:rPr>
              <w:tab/>
              <w:t>שלושה חברים מקרב הציבור.</w:t>
            </w:r>
          </w:p>
        </w:tc>
      </w:tr>
      <w:tr w:rsidR="00BF4529" w14:paraId="0AFFE001" w14:textId="77777777" w:rsidTr="00BF4529">
        <w:trPr>
          <w:cantSplit/>
        </w:trPr>
        <w:tc>
          <w:tcPr>
            <w:tcW w:w="1871" w:type="dxa"/>
            <w:tcMar>
              <w:top w:w="91" w:type="dxa"/>
              <w:left w:w="0" w:type="dxa"/>
              <w:bottom w:w="91" w:type="dxa"/>
              <w:right w:w="0" w:type="dxa"/>
            </w:tcMar>
          </w:tcPr>
          <w:p w14:paraId="78949F8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8BA126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61EBF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A5384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56C7FF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76ED58"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37C1A0B" w14:textId="77777777" w:rsidR="00BF4529" w:rsidRDefault="00BF4529" w:rsidP="00BF4529">
            <w:pPr>
              <w:pStyle w:val="TableBlock"/>
              <w:spacing w:before="0"/>
              <w:rPr>
                <w:sz w:val="26"/>
                <w:rtl/>
              </w:rPr>
            </w:pPr>
            <w:r>
              <w:rPr>
                <w:rFonts w:hint="cs"/>
                <w:sz w:val="26"/>
                <w:rtl/>
              </w:rPr>
              <w:t>(ב)</w:t>
            </w:r>
            <w:r>
              <w:rPr>
                <w:rFonts w:hint="cs"/>
                <w:sz w:val="26"/>
                <w:rtl/>
              </w:rPr>
              <w:tab/>
              <w:t xml:space="preserve">עובד המדינה העוסק במסגרת תפקידו בתחום החדשנות הטכנולוגית, לא יראו אותו בשל כך בלבד כמצוי בניגוד עניינים המונע את כהונתו כחבר המועצה. </w:t>
            </w:r>
          </w:p>
        </w:tc>
      </w:tr>
      <w:tr w:rsidR="00BF4529" w14:paraId="2416C847" w14:textId="77777777" w:rsidTr="00BF4529">
        <w:trPr>
          <w:cantSplit/>
        </w:trPr>
        <w:tc>
          <w:tcPr>
            <w:tcW w:w="1871" w:type="dxa"/>
            <w:tcMar>
              <w:top w:w="91" w:type="dxa"/>
              <w:left w:w="0" w:type="dxa"/>
              <w:bottom w:w="91" w:type="dxa"/>
              <w:right w:w="0" w:type="dxa"/>
            </w:tcMar>
          </w:tcPr>
          <w:p w14:paraId="15414F3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587F9E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8B94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CD9E9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49CC6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32E161"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4FD4A44" w14:textId="77777777" w:rsidR="00BF4529" w:rsidRDefault="00BF4529" w:rsidP="00BF4529">
            <w:pPr>
              <w:pStyle w:val="TableBlock"/>
              <w:spacing w:before="0"/>
              <w:rPr>
                <w:sz w:val="26"/>
                <w:rtl/>
              </w:rPr>
            </w:pPr>
            <w:r>
              <w:rPr>
                <w:rFonts w:hint="cs"/>
                <w:sz w:val="26"/>
                <w:rtl/>
              </w:rPr>
              <w:t>(ג)</w:t>
            </w:r>
            <w:r>
              <w:rPr>
                <w:rFonts w:hint="cs"/>
                <w:sz w:val="26"/>
                <w:rtl/>
              </w:rPr>
              <w:tab/>
              <w:t>כשיר להתמנות לחבר המועצה מקרב הציבור מי שמתקיימים בו תנאי הכשירות הקבועים בסעיף 16א לחוק החברות הממשלתיות, בשינויים המחויבים, ובלבד שהוא מילא תפקיד בכיר בתעשייה עתירת הידע, בתחום המימון של תעשייה זו או בתחום המחקר והפיתוח והוא בעל מוניטין וותק באחד או יותר מתחומים אלה; חבר מועצה אחד לפחות מקרב הציבור יהיה מי שמילא תפקיד בכיר במחקר ופיתוח בתעשייה.</w:t>
            </w:r>
          </w:p>
        </w:tc>
      </w:tr>
      <w:tr w:rsidR="00BF4529" w14:paraId="79BB59B1" w14:textId="77777777" w:rsidTr="00BF4529">
        <w:trPr>
          <w:cantSplit/>
        </w:trPr>
        <w:tc>
          <w:tcPr>
            <w:tcW w:w="1871" w:type="dxa"/>
            <w:tcMar>
              <w:top w:w="91" w:type="dxa"/>
              <w:left w:w="0" w:type="dxa"/>
              <w:bottom w:w="91" w:type="dxa"/>
              <w:right w:w="0" w:type="dxa"/>
            </w:tcMar>
          </w:tcPr>
          <w:p w14:paraId="190E20C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E0BB1E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1B5D02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7002A9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6E86F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3CC71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1AD8B08" w14:textId="77777777" w:rsidR="00BF4529" w:rsidRDefault="00BF4529" w:rsidP="00BF4529">
            <w:pPr>
              <w:pStyle w:val="TableBlock"/>
              <w:spacing w:before="0"/>
              <w:rPr>
                <w:sz w:val="26"/>
                <w:rtl/>
              </w:rPr>
            </w:pPr>
            <w:r>
              <w:rPr>
                <w:rFonts w:hint="cs"/>
                <w:sz w:val="26"/>
                <w:rtl/>
              </w:rPr>
              <w:t>(ד)</w:t>
            </w:r>
            <w:r>
              <w:rPr>
                <w:rFonts w:hint="cs"/>
                <w:sz w:val="26"/>
                <w:rtl/>
              </w:rPr>
              <w:tab/>
              <w:t xml:space="preserve">חברי המועצה מקרב הציבור ימונו כדלקמן: חבר אחד בידי שר הכלכלה, חבר אחד בידי שר האוצר, וחבר אחד בידי השרים; חברי המועצה האמורים ימונו מתוך רשימת מועמדים שעליהם המליצה ועדה לאיתור מועמדים שמינו השרים (בסעיף זה – ועדת האיתור); וזה הרכב ועדת האיתור: </w:t>
            </w:r>
          </w:p>
        </w:tc>
      </w:tr>
      <w:tr w:rsidR="00BF4529" w14:paraId="0E7277C2" w14:textId="77777777" w:rsidTr="00BF4529">
        <w:trPr>
          <w:cantSplit/>
        </w:trPr>
        <w:tc>
          <w:tcPr>
            <w:tcW w:w="1871" w:type="dxa"/>
            <w:tcMar>
              <w:top w:w="91" w:type="dxa"/>
              <w:left w:w="0" w:type="dxa"/>
              <w:bottom w:w="91" w:type="dxa"/>
              <w:right w:w="0" w:type="dxa"/>
            </w:tcMar>
          </w:tcPr>
          <w:p w14:paraId="236CC67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F0610F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C53F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810AA7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6881C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E47946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13DB9F"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3DD5E2A" w14:textId="77777777" w:rsidR="00BF4529" w:rsidRDefault="00BF4529" w:rsidP="00BF4529">
            <w:pPr>
              <w:pStyle w:val="TableBlock"/>
              <w:spacing w:before="0"/>
              <w:rPr>
                <w:sz w:val="26"/>
                <w:rtl/>
              </w:rPr>
            </w:pPr>
            <w:r>
              <w:rPr>
                <w:rFonts w:hint="cs"/>
                <w:sz w:val="26"/>
                <w:rtl/>
              </w:rPr>
              <w:t>(1)</w:t>
            </w:r>
            <w:r>
              <w:rPr>
                <w:rFonts w:hint="cs"/>
                <w:sz w:val="26"/>
                <w:rtl/>
              </w:rPr>
              <w:tab/>
              <w:t>ראש הרשות, והוא יהיה יושב ראש ועדת האיתור;</w:t>
            </w:r>
          </w:p>
        </w:tc>
      </w:tr>
      <w:tr w:rsidR="00BF4529" w14:paraId="4A6BC906" w14:textId="77777777" w:rsidTr="00BF4529">
        <w:trPr>
          <w:cantSplit/>
        </w:trPr>
        <w:tc>
          <w:tcPr>
            <w:tcW w:w="1871" w:type="dxa"/>
            <w:tcMar>
              <w:top w:w="91" w:type="dxa"/>
              <w:left w:w="0" w:type="dxa"/>
              <w:bottom w:w="91" w:type="dxa"/>
              <w:right w:w="0" w:type="dxa"/>
            </w:tcMar>
          </w:tcPr>
          <w:p w14:paraId="586902C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F9B5F3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A05DD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3C65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50472C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B34CA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9063C9"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1950C394" w14:textId="77777777" w:rsidR="00BF4529" w:rsidRDefault="00BF4529" w:rsidP="00BF4529">
            <w:pPr>
              <w:pStyle w:val="TableBlock"/>
              <w:spacing w:before="0"/>
              <w:rPr>
                <w:sz w:val="26"/>
                <w:rtl/>
              </w:rPr>
            </w:pPr>
            <w:r>
              <w:rPr>
                <w:rFonts w:hint="cs"/>
                <w:sz w:val="26"/>
                <w:rtl/>
              </w:rPr>
              <w:t>(2)</w:t>
            </w:r>
            <w:r>
              <w:rPr>
                <w:rFonts w:hint="cs"/>
                <w:sz w:val="26"/>
                <w:rtl/>
              </w:rPr>
              <w:tab/>
              <w:t xml:space="preserve">נשיא התאחדות התעשיינים או מי מטעמו; </w:t>
            </w:r>
          </w:p>
        </w:tc>
      </w:tr>
      <w:tr w:rsidR="00BF4529" w14:paraId="4831A5EC" w14:textId="77777777" w:rsidTr="00BF4529">
        <w:trPr>
          <w:cantSplit/>
        </w:trPr>
        <w:tc>
          <w:tcPr>
            <w:tcW w:w="1871" w:type="dxa"/>
            <w:tcMar>
              <w:top w:w="91" w:type="dxa"/>
              <w:left w:w="0" w:type="dxa"/>
              <w:bottom w:w="91" w:type="dxa"/>
              <w:right w:w="0" w:type="dxa"/>
            </w:tcMar>
          </w:tcPr>
          <w:p w14:paraId="240BD73A"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754CA30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81872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E31DF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01997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868890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5E7B01"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CA1D9E9" w14:textId="089A3905" w:rsidR="00BF4529" w:rsidRDefault="00BF4529" w:rsidP="00583A51">
            <w:pPr>
              <w:pStyle w:val="TableBlock"/>
              <w:spacing w:before="0"/>
              <w:rPr>
                <w:sz w:val="26"/>
                <w:rtl/>
              </w:rPr>
            </w:pPr>
            <w:r>
              <w:rPr>
                <w:rFonts w:hint="cs"/>
                <w:sz w:val="26"/>
                <w:rtl/>
              </w:rPr>
              <w:t>(3)</w:t>
            </w:r>
            <w:r>
              <w:rPr>
                <w:rFonts w:hint="cs"/>
                <w:sz w:val="26"/>
                <w:rtl/>
              </w:rPr>
              <w:tab/>
              <w:t xml:space="preserve">חבר נוסף שימנה שר הכלכלה, לפי המלצת המדען הראשי, </w:t>
            </w:r>
            <w:r w:rsidR="00583A51">
              <w:rPr>
                <w:rtl/>
              </w:rPr>
              <w:t>ובהתייעצות לפי שיקול דעתו של השר עם התאחדות התעשיינים וארגונים הנוגעים בדבר</w:t>
            </w:r>
            <w:r>
              <w:rPr>
                <w:rFonts w:hint="cs"/>
                <w:sz w:val="26"/>
                <w:rtl/>
              </w:rPr>
              <w:t>, שהוא בעל ניסיון משמעותי בחדשנות טכנולוגית בתעשייה או שמילא תפקיד בכיר בתעשייה עתירת הידע או בתחום המימון של תעשייה זו;</w:t>
            </w:r>
          </w:p>
        </w:tc>
      </w:tr>
      <w:tr w:rsidR="00BF4529" w14:paraId="79F35482" w14:textId="77777777" w:rsidTr="00BF4529">
        <w:trPr>
          <w:cantSplit/>
        </w:trPr>
        <w:tc>
          <w:tcPr>
            <w:tcW w:w="1871" w:type="dxa"/>
            <w:tcMar>
              <w:top w:w="91" w:type="dxa"/>
              <w:left w:w="0" w:type="dxa"/>
              <w:bottom w:w="91" w:type="dxa"/>
              <w:right w:w="0" w:type="dxa"/>
            </w:tcMar>
          </w:tcPr>
          <w:p w14:paraId="33B7264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443451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3BE1CA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5F282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0957F5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2433ED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8CF93B4"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E623E0D" w14:textId="6A161CF8" w:rsidR="00BF4529" w:rsidRDefault="00BF4529" w:rsidP="00BF4529">
            <w:pPr>
              <w:pStyle w:val="TableBlock"/>
              <w:spacing w:before="0"/>
              <w:rPr>
                <w:sz w:val="26"/>
                <w:rtl/>
              </w:rPr>
            </w:pPr>
            <w:r>
              <w:rPr>
                <w:rFonts w:hint="cs"/>
                <w:sz w:val="26"/>
                <w:rtl/>
              </w:rPr>
              <w:t>(4)</w:t>
            </w:r>
            <w:r>
              <w:rPr>
                <w:rFonts w:hint="cs"/>
                <w:sz w:val="26"/>
                <w:rtl/>
              </w:rPr>
              <w:tab/>
              <w:t xml:space="preserve">חבר נוסף שימנה שר האוצר, לפי המלצת הממונה על התקציבים במשרד האוצר, </w:t>
            </w:r>
            <w:r w:rsidR="00583A51">
              <w:rPr>
                <w:rtl/>
              </w:rPr>
              <w:t>ובהתייעצות לפי שיקול דעתו של השר עם התאחדות התעשיינים וארגונים הנוגעים בדבר</w:t>
            </w:r>
            <w:r>
              <w:rPr>
                <w:rFonts w:hint="cs"/>
                <w:sz w:val="26"/>
                <w:rtl/>
              </w:rPr>
              <w:t>, שהוא בעל ניסיון משמעותי בחדשנות טכנולוגית בתעשייה או שמילא תפקיד בכיר בתעשייה עתירת הידע או בתחום המימון של תעשייה זו או איש סגל אקדמי בכיר במוסד להשכלה גבוהה בישראל.</w:t>
            </w:r>
          </w:p>
        </w:tc>
      </w:tr>
      <w:tr w:rsidR="00BF4529" w14:paraId="0E86D803" w14:textId="77777777" w:rsidTr="00BF4529">
        <w:trPr>
          <w:cantSplit/>
        </w:trPr>
        <w:tc>
          <w:tcPr>
            <w:tcW w:w="1871" w:type="dxa"/>
            <w:tcMar>
              <w:top w:w="91" w:type="dxa"/>
              <w:left w:w="0" w:type="dxa"/>
              <w:bottom w:w="91" w:type="dxa"/>
              <w:right w:w="0" w:type="dxa"/>
            </w:tcMar>
          </w:tcPr>
          <w:p w14:paraId="06FDECA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66B711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DE7D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8885D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83EFF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997C31"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73E5D1C" w14:textId="77777777" w:rsidR="00BF4529" w:rsidRDefault="00BF4529" w:rsidP="00BF4529">
            <w:pPr>
              <w:pStyle w:val="TableBlock"/>
              <w:spacing w:before="0"/>
              <w:rPr>
                <w:sz w:val="26"/>
                <w:rtl/>
              </w:rPr>
            </w:pPr>
            <w:r>
              <w:rPr>
                <w:rFonts w:hint="cs"/>
                <w:sz w:val="26"/>
                <w:rtl/>
              </w:rPr>
              <w:t>(ה)</w:t>
            </w:r>
            <w:r>
              <w:rPr>
                <w:rFonts w:hint="cs"/>
                <w:sz w:val="26"/>
                <w:rtl/>
              </w:rPr>
              <w:tab/>
              <w:t>ועדת האיתור תקבע את אמות המידה לבחירת המועמדים מקרב הציבור, בהתחשב במדיניות שהמועצה רשאית לקבוע, כך שיביאו לבחירת מועמדים שיש להם ניסיון משמעותי הקשור בתחומי פעולתה של הרשות.</w:t>
            </w:r>
          </w:p>
        </w:tc>
      </w:tr>
      <w:tr w:rsidR="00BF4529" w14:paraId="075C5229" w14:textId="77777777" w:rsidTr="00BF4529">
        <w:trPr>
          <w:cantSplit/>
        </w:trPr>
        <w:tc>
          <w:tcPr>
            <w:tcW w:w="1871" w:type="dxa"/>
            <w:tcMar>
              <w:top w:w="91" w:type="dxa"/>
              <w:left w:w="0" w:type="dxa"/>
              <w:bottom w:w="91" w:type="dxa"/>
              <w:right w:w="0" w:type="dxa"/>
            </w:tcMar>
          </w:tcPr>
          <w:p w14:paraId="6619A09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0328ED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9F44C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1E11E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A1DF6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0532E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27E0396" w14:textId="77777777" w:rsidR="00BF4529" w:rsidRDefault="00BF4529" w:rsidP="00BF4529">
            <w:pPr>
              <w:pStyle w:val="TableBlock"/>
              <w:spacing w:before="0"/>
              <w:rPr>
                <w:sz w:val="26"/>
                <w:rtl/>
              </w:rPr>
            </w:pPr>
            <w:r>
              <w:rPr>
                <w:rFonts w:hint="cs"/>
                <w:sz w:val="26"/>
                <w:rtl/>
              </w:rPr>
              <w:t>(ו)</w:t>
            </w:r>
            <w:r>
              <w:rPr>
                <w:rFonts w:hint="cs"/>
                <w:sz w:val="26"/>
                <w:rtl/>
              </w:rPr>
              <w:tab/>
              <w:t>על ועדת האיתור ועל חבריה יחולו, בשינויים המחויבים, ההנחיות החלות על עבודת ועדות לאיתור מועמדים למשרות בשירות המדינה, לעניין נוהלי עבודה ולעניין הימנעות מניגוד עניינים.</w:t>
            </w:r>
          </w:p>
        </w:tc>
      </w:tr>
      <w:tr w:rsidR="00BF4529" w14:paraId="73C56388" w14:textId="77777777" w:rsidTr="00BF4529">
        <w:trPr>
          <w:cantSplit/>
        </w:trPr>
        <w:tc>
          <w:tcPr>
            <w:tcW w:w="1871" w:type="dxa"/>
            <w:tcMar>
              <w:top w:w="91" w:type="dxa"/>
              <w:left w:w="0" w:type="dxa"/>
              <w:bottom w:w="91" w:type="dxa"/>
              <w:right w:w="0" w:type="dxa"/>
            </w:tcMar>
          </w:tcPr>
          <w:p w14:paraId="7BC89900" w14:textId="77777777" w:rsidR="00BF4529" w:rsidRDefault="00BF4529" w:rsidP="00BF4529">
            <w:pPr>
              <w:pStyle w:val="TableSideHeading"/>
              <w:spacing w:before="0"/>
              <w:jc w:val="left"/>
              <w:rPr>
                <w:sz w:val="24"/>
                <w:szCs w:val="24"/>
                <w:rtl/>
              </w:rPr>
            </w:pPr>
          </w:p>
        </w:tc>
        <w:tc>
          <w:tcPr>
            <w:tcW w:w="624" w:type="dxa"/>
            <w:tcMar>
              <w:top w:w="91" w:type="dxa"/>
              <w:left w:w="0" w:type="dxa"/>
              <w:bottom w:w="91" w:type="dxa"/>
              <w:right w:w="0" w:type="dxa"/>
            </w:tcMar>
          </w:tcPr>
          <w:p w14:paraId="59A2985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BB783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FF55F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D92580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47AFD9"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33217BC" w14:textId="77777777" w:rsidR="00BF4529" w:rsidRDefault="00BF4529" w:rsidP="00BF4529">
            <w:pPr>
              <w:pStyle w:val="TableBlock"/>
              <w:spacing w:before="0"/>
              <w:rPr>
                <w:sz w:val="26"/>
                <w:rtl/>
              </w:rPr>
            </w:pPr>
            <w:r>
              <w:rPr>
                <w:rFonts w:hint="cs"/>
                <w:sz w:val="26"/>
                <w:rtl/>
              </w:rPr>
              <w:t>(ז)</w:t>
            </w:r>
            <w:r>
              <w:rPr>
                <w:rFonts w:hint="cs"/>
                <w:sz w:val="26"/>
                <w:rtl/>
              </w:rPr>
              <w:tab/>
              <w:t>החלטות ועדת האיתור יתקבלו ברוב קולות; היו הקולות שקולים, יהיה ליושב הראש הוועדה קול נוסף; ועדת האיתור תוכל להתחיל את עבודתה לאחר שמונו שלושה מחברי הוועדה, אך תהיה מנועה מלקבל החלטות עד שיושלם מינוים של כל חבריה.</w:t>
            </w:r>
          </w:p>
        </w:tc>
      </w:tr>
      <w:tr w:rsidR="00BF4529" w14:paraId="1379E02F" w14:textId="77777777" w:rsidTr="00BF4529">
        <w:trPr>
          <w:cantSplit/>
        </w:trPr>
        <w:tc>
          <w:tcPr>
            <w:tcW w:w="1871" w:type="dxa"/>
            <w:tcMar>
              <w:top w:w="91" w:type="dxa"/>
              <w:left w:w="0" w:type="dxa"/>
              <w:bottom w:w="91" w:type="dxa"/>
              <w:right w:w="0" w:type="dxa"/>
            </w:tcMar>
          </w:tcPr>
          <w:p w14:paraId="7688493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56EE50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543F9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1850B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DDFDB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75AF88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7FDECFF" w14:textId="77777777" w:rsidR="00BF4529" w:rsidRDefault="00BF4529" w:rsidP="00BF4529">
            <w:pPr>
              <w:pStyle w:val="TableBlock"/>
              <w:spacing w:before="0"/>
              <w:rPr>
                <w:sz w:val="26"/>
                <w:rtl/>
              </w:rPr>
            </w:pPr>
            <w:r>
              <w:rPr>
                <w:rFonts w:hint="cs"/>
                <w:sz w:val="26"/>
                <w:rtl/>
              </w:rPr>
              <w:t>(ח)</w:t>
            </w:r>
            <w:r>
              <w:rPr>
                <w:rFonts w:hint="cs"/>
                <w:sz w:val="26"/>
                <w:rtl/>
              </w:rPr>
              <w:tab/>
              <w:t>תקופת הכהונה של חבר המועצה מקרב הציבור לא תעלה על שלוש שנים, וניתן לשוב ולמנותו לתקופת כהונה אחת נוספת בלבד.</w:t>
            </w:r>
          </w:p>
        </w:tc>
      </w:tr>
      <w:tr w:rsidR="00BF4529" w14:paraId="14765E91" w14:textId="77777777" w:rsidTr="00BF4529">
        <w:trPr>
          <w:cantSplit/>
        </w:trPr>
        <w:tc>
          <w:tcPr>
            <w:tcW w:w="1871" w:type="dxa"/>
            <w:tcMar>
              <w:top w:w="91" w:type="dxa"/>
              <w:left w:w="0" w:type="dxa"/>
              <w:bottom w:w="91" w:type="dxa"/>
              <w:right w:w="0" w:type="dxa"/>
            </w:tcMar>
          </w:tcPr>
          <w:p w14:paraId="459A33F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7C8F3E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341EF5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86965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D42965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8E9FC8"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094B87C" w14:textId="77777777" w:rsidR="00BF4529" w:rsidRDefault="00BF4529" w:rsidP="00BF4529">
            <w:pPr>
              <w:pStyle w:val="TableBlock"/>
              <w:spacing w:before="0"/>
              <w:rPr>
                <w:sz w:val="26"/>
                <w:rtl/>
              </w:rPr>
            </w:pPr>
            <w:r>
              <w:rPr>
                <w:rFonts w:hint="cs"/>
                <w:sz w:val="26"/>
                <w:rtl/>
              </w:rPr>
              <w:t>(ט)</w:t>
            </w:r>
            <w:r>
              <w:rPr>
                <w:rFonts w:hint="cs"/>
                <w:sz w:val="26"/>
                <w:rtl/>
              </w:rPr>
              <w:tab/>
              <w:t>על חברי המועצה יחולו ההסדרים שבסעיפים 9א ו-14 עד 15א, בשינויים המחויבים.</w:t>
            </w:r>
          </w:p>
        </w:tc>
      </w:tr>
      <w:tr w:rsidR="00BF4529" w14:paraId="32EAD821" w14:textId="77777777" w:rsidTr="00BF4529">
        <w:trPr>
          <w:cantSplit/>
        </w:trPr>
        <w:tc>
          <w:tcPr>
            <w:tcW w:w="1871" w:type="dxa"/>
            <w:tcMar>
              <w:top w:w="91" w:type="dxa"/>
              <w:left w:w="0" w:type="dxa"/>
              <w:bottom w:w="91" w:type="dxa"/>
              <w:right w:w="0" w:type="dxa"/>
            </w:tcMar>
          </w:tcPr>
          <w:p w14:paraId="1C169B5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A52616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5706000" w14:textId="77777777" w:rsidR="00BF4529" w:rsidRDefault="00BF4529" w:rsidP="00BF4529">
            <w:pPr>
              <w:pStyle w:val="TableInnerSideHeading"/>
              <w:spacing w:before="0"/>
              <w:jc w:val="left"/>
              <w:rPr>
                <w:sz w:val="26"/>
                <w:rtl/>
              </w:rPr>
            </w:pPr>
            <w:r>
              <w:rPr>
                <w:rFonts w:hint="cs"/>
                <w:sz w:val="26"/>
                <w:rtl/>
              </w:rPr>
              <w:t>גמול והחזר הוצאות</w:t>
            </w:r>
          </w:p>
        </w:tc>
        <w:tc>
          <w:tcPr>
            <w:tcW w:w="624" w:type="dxa"/>
            <w:tcMar>
              <w:top w:w="91" w:type="dxa"/>
              <w:left w:w="0" w:type="dxa"/>
              <w:bottom w:w="91" w:type="dxa"/>
              <w:right w:w="0" w:type="dxa"/>
            </w:tcMar>
            <w:hideMark/>
          </w:tcPr>
          <w:p w14:paraId="331FABD4" w14:textId="77777777" w:rsidR="00BF4529" w:rsidRDefault="00BF4529" w:rsidP="00BF4529">
            <w:pPr>
              <w:pStyle w:val="TableText"/>
              <w:spacing w:before="0"/>
              <w:rPr>
                <w:sz w:val="26"/>
                <w:rtl/>
              </w:rPr>
            </w:pPr>
            <w:r>
              <w:rPr>
                <w:rFonts w:hint="cs"/>
                <w:sz w:val="26"/>
                <w:rtl/>
              </w:rPr>
              <w:t>8ג.</w:t>
            </w:r>
          </w:p>
        </w:tc>
        <w:tc>
          <w:tcPr>
            <w:tcW w:w="4650" w:type="dxa"/>
            <w:gridSpan w:val="3"/>
            <w:tcMar>
              <w:top w:w="91" w:type="dxa"/>
              <w:left w:w="0" w:type="dxa"/>
              <w:bottom w:w="91" w:type="dxa"/>
              <w:right w:w="0" w:type="dxa"/>
            </w:tcMar>
            <w:hideMark/>
          </w:tcPr>
          <w:p w14:paraId="610FB6F6" w14:textId="77777777" w:rsidR="00BF4529" w:rsidRDefault="00BF4529" w:rsidP="00BF4529">
            <w:pPr>
              <w:pStyle w:val="TableBlock"/>
              <w:spacing w:before="0"/>
              <w:rPr>
                <w:sz w:val="26"/>
                <w:rtl/>
              </w:rPr>
            </w:pPr>
            <w:r>
              <w:rPr>
                <w:rFonts w:hint="cs"/>
                <w:sz w:val="26"/>
                <w:rtl/>
              </w:rPr>
              <w:t>(א)</w:t>
            </w:r>
            <w:r>
              <w:rPr>
                <w:rFonts w:hint="cs"/>
                <w:sz w:val="26"/>
                <w:rtl/>
              </w:rPr>
              <w:tab/>
              <w:t>חבר המועצה מקרב הציבור שאינו עובד גוף מתוקצב או עובד גוף נתמך זכאי לקבל מהרשות גמול בעד השתתפות בישיבות המועצה או ועדה מוועדותיה לפי הוראות סעיף קטן (ג), ובלבד שאינו זכאי לקבל ממקור אחר תמורה בעד ההשתתפות.</w:t>
            </w:r>
          </w:p>
        </w:tc>
      </w:tr>
      <w:tr w:rsidR="00BF4529" w14:paraId="16A4914F" w14:textId="77777777" w:rsidTr="00BF4529">
        <w:trPr>
          <w:cantSplit/>
        </w:trPr>
        <w:tc>
          <w:tcPr>
            <w:tcW w:w="1871" w:type="dxa"/>
            <w:tcMar>
              <w:top w:w="91" w:type="dxa"/>
              <w:left w:w="0" w:type="dxa"/>
              <w:bottom w:w="91" w:type="dxa"/>
              <w:right w:w="0" w:type="dxa"/>
            </w:tcMar>
          </w:tcPr>
          <w:p w14:paraId="76723EE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7E3363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A4058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975815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F0746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AF4773"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954D60E" w14:textId="77777777" w:rsidR="00BF4529" w:rsidRDefault="00BF4529" w:rsidP="00BF4529">
            <w:pPr>
              <w:pStyle w:val="TableBlock"/>
              <w:spacing w:before="0"/>
              <w:rPr>
                <w:sz w:val="26"/>
                <w:rtl/>
              </w:rPr>
            </w:pPr>
            <w:r>
              <w:rPr>
                <w:rFonts w:hint="cs"/>
                <w:sz w:val="26"/>
                <w:rtl/>
              </w:rPr>
              <w:t>(ב)</w:t>
            </w:r>
            <w:r>
              <w:rPr>
                <w:rFonts w:hint="cs"/>
                <w:sz w:val="26"/>
                <w:rtl/>
              </w:rPr>
              <w:tab/>
              <w:t>חבר המועצה שאינו זכאי לגמול לפי הוראות סעיף קטן (א), זכאי לקבל מהרשות החזר הוצאות שהוציא לשם השתתפות בישיבות המועצה או ועדה מוועדותיה לפי הוראות סעיף קטן (ג), ובלבד שאינו זכאי לקבל ממקור אחר החזר הוצאות.</w:t>
            </w:r>
          </w:p>
        </w:tc>
      </w:tr>
      <w:tr w:rsidR="00BF4529" w14:paraId="307482FF" w14:textId="77777777" w:rsidTr="00BF4529">
        <w:trPr>
          <w:cantSplit/>
        </w:trPr>
        <w:tc>
          <w:tcPr>
            <w:tcW w:w="1871" w:type="dxa"/>
            <w:tcMar>
              <w:top w:w="91" w:type="dxa"/>
              <w:left w:w="0" w:type="dxa"/>
              <w:bottom w:w="91" w:type="dxa"/>
              <w:right w:w="0" w:type="dxa"/>
            </w:tcMar>
          </w:tcPr>
          <w:p w14:paraId="42673C58" w14:textId="77777777" w:rsidR="00BF4529" w:rsidRDefault="00BF4529" w:rsidP="00BF4529">
            <w:pPr>
              <w:pStyle w:val="TableSideHeading"/>
              <w:spacing w:before="0" w:line="276" w:lineRule="auto"/>
              <w:jc w:val="left"/>
              <w:rPr>
                <w:sz w:val="26"/>
                <w:rtl/>
              </w:rPr>
            </w:pPr>
          </w:p>
        </w:tc>
        <w:tc>
          <w:tcPr>
            <w:tcW w:w="624" w:type="dxa"/>
            <w:tcMar>
              <w:top w:w="91" w:type="dxa"/>
              <w:left w:w="0" w:type="dxa"/>
              <w:bottom w:w="91" w:type="dxa"/>
              <w:right w:w="0" w:type="dxa"/>
            </w:tcMar>
          </w:tcPr>
          <w:p w14:paraId="0D82E2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28A2A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EF5157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4581F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97FE1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5FB3031" w14:textId="77777777" w:rsidR="00BF4529" w:rsidRDefault="00BF4529" w:rsidP="00BF4529">
            <w:pPr>
              <w:pStyle w:val="TableBlock"/>
              <w:spacing w:before="0"/>
              <w:rPr>
                <w:sz w:val="26"/>
                <w:rtl/>
              </w:rPr>
            </w:pPr>
            <w:r>
              <w:rPr>
                <w:rFonts w:hint="cs"/>
                <w:sz w:val="26"/>
                <w:rtl/>
              </w:rPr>
              <w:t>(ג)</w:t>
            </w:r>
            <w:r>
              <w:rPr>
                <w:rFonts w:hint="cs"/>
                <w:sz w:val="26"/>
                <w:rtl/>
              </w:rPr>
              <w:tab/>
              <w:t>שר האוצר, באישור ועדת הכספים של הכנסת, יקבע כללים ותנאים שלפיהם תשלם הרשות גמול או החזר הוצאות לחבר המועצה לפי סעיף זה, ואת שיעוריהם.</w:t>
            </w:r>
          </w:p>
        </w:tc>
      </w:tr>
      <w:tr w:rsidR="00BF4529" w14:paraId="103A6B3C" w14:textId="77777777" w:rsidTr="00BF4529">
        <w:trPr>
          <w:cantSplit/>
        </w:trPr>
        <w:tc>
          <w:tcPr>
            <w:tcW w:w="1871" w:type="dxa"/>
            <w:tcMar>
              <w:top w:w="91" w:type="dxa"/>
              <w:left w:w="0" w:type="dxa"/>
              <w:bottom w:w="91" w:type="dxa"/>
              <w:right w:w="0" w:type="dxa"/>
            </w:tcMar>
          </w:tcPr>
          <w:p w14:paraId="00D2372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B9A5D5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FC60E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1D372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DA613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FD1906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59E2D3E" w14:textId="77777777" w:rsidR="00BF4529" w:rsidRDefault="00BF4529" w:rsidP="00BF4529">
            <w:pPr>
              <w:pStyle w:val="TableBlock"/>
              <w:spacing w:before="0"/>
              <w:rPr>
                <w:sz w:val="26"/>
                <w:rtl/>
              </w:rPr>
            </w:pPr>
            <w:r>
              <w:rPr>
                <w:rFonts w:hint="cs"/>
                <w:sz w:val="26"/>
                <w:rtl/>
              </w:rPr>
              <w:t>(ד)</w:t>
            </w:r>
            <w:r>
              <w:rPr>
                <w:rFonts w:hint="cs"/>
                <w:sz w:val="26"/>
                <w:rtl/>
              </w:rPr>
              <w:tab/>
              <w:t>בסעיף זה, "עובד גוף מתוקצב" ו"עובד גוף נתמך" – כהגדרתם בסעיף 32 לחוק יסודות התקציב.</w:t>
            </w:r>
          </w:p>
        </w:tc>
      </w:tr>
      <w:tr w:rsidR="00BF4529" w14:paraId="2B1B10D2" w14:textId="77777777" w:rsidTr="00BF4529">
        <w:trPr>
          <w:cantSplit/>
        </w:trPr>
        <w:tc>
          <w:tcPr>
            <w:tcW w:w="1871" w:type="dxa"/>
            <w:tcMar>
              <w:top w:w="91" w:type="dxa"/>
              <w:left w:w="0" w:type="dxa"/>
              <w:bottom w:w="91" w:type="dxa"/>
              <w:right w:w="0" w:type="dxa"/>
            </w:tcMar>
          </w:tcPr>
          <w:p w14:paraId="2C3089C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D218A5A"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6AC58558" w14:textId="77777777" w:rsidR="00BF4529" w:rsidRDefault="00BF4529" w:rsidP="00BF4529">
            <w:pPr>
              <w:pStyle w:val="TableInnerSideHeading"/>
              <w:spacing w:before="0"/>
              <w:jc w:val="left"/>
              <w:rPr>
                <w:sz w:val="26"/>
                <w:rtl/>
              </w:rPr>
            </w:pPr>
            <w:r>
              <w:rPr>
                <w:rFonts w:hint="cs"/>
                <w:sz w:val="26"/>
                <w:rtl/>
              </w:rPr>
              <w:t>סדרי עבודת המועצה</w:t>
            </w:r>
          </w:p>
        </w:tc>
        <w:tc>
          <w:tcPr>
            <w:tcW w:w="624" w:type="dxa"/>
            <w:tcMar>
              <w:top w:w="91" w:type="dxa"/>
              <w:left w:w="0" w:type="dxa"/>
              <w:bottom w:w="91" w:type="dxa"/>
              <w:right w:w="0" w:type="dxa"/>
            </w:tcMar>
            <w:hideMark/>
          </w:tcPr>
          <w:p w14:paraId="36997B54" w14:textId="77777777" w:rsidR="00BF4529" w:rsidRDefault="00BF4529" w:rsidP="00BF4529">
            <w:pPr>
              <w:pStyle w:val="TableText"/>
              <w:spacing w:before="0"/>
              <w:rPr>
                <w:sz w:val="26"/>
                <w:rtl/>
              </w:rPr>
            </w:pPr>
            <w:r>
              <w:rPr>
                <w:rFonts w:hint="cs"/>
                <w:sz w:val="26"/>
                <w:rtl/>
              </w:rPr>
              <w:t>8ד.</w:t>
            </w:r>
          </w:p>
        </w:tc>
        <w:tc>
          <w:tcPr>
            <w:tcW w:w="4650" w:type="dxa"/>
            <w:gridSpan w:val="3"/>
            <w:tcMar>
              <w:top w:w="91" w:type="dxa"/>
              <w:left w:w="0" w:type="dxa"/>
              <w:bottom w:w="91" w:type="dxa"/>
              <w:right w:w="0" w:type="dxa"/>
            </w:tcMar>
            <w:hideMark/>
          </w:tcPr>
          <w:p w14:paraId="391D10D2" w14:textId="77777777" w:rsidR="00BF4529" w:rsidRDefault="00BF4529" w:rsidP="00BF4529">
            <w:pPr>
              <w:pStyle w:val="TableBlock"/>
              <w:spacing w:before="0"/>
              <w:rPr>
                <w:sz w:val="26"/>
                <w:rtl/>
              </w:rPr>
            </w:pPr>
            <w:r>
              <w:rPr>
                <w:rFonts w:hint="cs"/>
                <w:sz w:val="26"/>
                <w:rtl/>
              </w:rPr>
              <w:t>(א)</w:t>
            </w:r>
            <w:r>
              <w:rPr>
                <w:rFonts w:hint="cs"/>
                <w:sz w:val="26"/>
                <w:rtl/>
              </w:rPr>
              <w:tab/>
              <w:t>ראש הרשות יכנס את המועצה שש פעמים בשנה, לפחות.</w:t>
            </w:r>
          </w:p>
        </w:tc>
      </w:tr>
      <w:tr w:rsidR="00BF4529" w14:paraId="4F92779F" w14:textId="77777777" w:rsidTr="00BF4529">
        <w:trPr>
          <w:cantSplit/>
        </w:trPr>
        <w:tc>
          <w:tcPr>
            <w:tcW w:w="1871" w:type="dxa"/>
            <w:tcMar>
              <w:top w:w="91" w:type="dxa"/>
              <w:left w:w="0" w:type="dxa"/>
              <w:bottom w:w="91" w:type="dxa"/>
              <w:right w:w="0" w:type="dxa"/>
            </w:tcMar>
          </w:tcPr>
          <w:p w14:paraId="48611B8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06A290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B54F6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DB41C6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B26A2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9FC9C9"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10D2006" w14:textId="77777777" w:rsidR="00BF4529" w:rsidRDefault="00BF4529" w:rsidP="00BF4529">
            <w:pPr>
              <w:pStyle w:val="TableBlock"/>
              <w:spacing w:before="0"/>
              <w:rPr>
                <w:sz w:val="26"/>
                <w:rtl/>
              </w:rPr>
            </w:pPr>
            <w:r>
              <w:rPr>
                <w:rFonts w:hint="cs"/>
                <w:sz w:val="26"/>
                <w:rtl/>
              </w:rPr>
              <w:t>(ב)</w:t>
            </w:r>
            <w:r>
              <w:rPr>
                <w:rFonts w:hint="cs"/>
                <w:sz w:val="26"/>
                <w:rtl/>
              </w:rPr>
              <w:tab/>
              <w:t>ראש הרשות ימנה את אחד מחברי המועצה שהם עובדי המדינה, לשמש ממלא מקומו לכינוס ולניהול ישיבות המועצה בהיעדרו.</w:t>
            </w:r>
          </w:p>
        </w:tc>
      </w:tr>
      <w:tr w:rsidR="00BF4529" w14:paraId="712921E2" w14:textId="77777777" w:rsidTr="00BF4529">
        <w:trPr>
          <w:cantSplit/>
        </w:trPr>
        <w:tc>
          <w:tcPr>
            <w:tcW w:w="1871" w:type="dxa"/>
            <w:tcMar>
              <w:top w:w="91" w:type="dxa"/>
              <w:left w:w="0" w:type="dxa"/>
              <w:bottom w:w="91" w:type="dxa"/>
              <w:right w:w="0" w:type="dxa"/>
            </w:tcMar>
          </w:tcPr>
          <w:p w14:paraId="4103E8C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E04ED5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12B39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7FB70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49CD92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43E964"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85D5F98" w14:textId="77777777" w:rsidR="00BF4529" w:rsidRDefault="00BF4529" w:rsidP="00BF4529">
            <w:pPr>
              <w:pStyle w:val="TableBlock"/>
              <w:spacing w:before="0"/>
              <w:rPr>
                <w:sz w:val="26"/>
                <w:rtl/>
              </w:rPr>
            </w:pPr>
            <w:r>
              <w:rPr>
                <w:rFonts w:hint="cs"/>
                <w:sz w:val="26"/>
                <w:rtl/>
              </w:rPr>
              <w:t>(ג)</w:t>
            </w:r>
            <w:r>
              <w:rPr>
                <w:rFonts w:hint="cs"/>
                <w:sz w:val="26"/>
                <w:rtl/>
              </w:rPr>
              <w:tab/>
              <w:t>מניין חוקי בישיבות המועצה יהיה ראש הרשות או ממלא מקומו, נציג משרד האוצר, וחבר מקרב הציבור.</w:t>
            </w:r>
          </w:p>
        </w:tc>
      </w:tr>
      <w:tr w:rsidR="00BF4529" w14:paraId="621FB1D2" w14:textId="77777777" w:rsidTr="00BF4529">
        <w:trPr>
          <w:cantSplit/>
        </w:trPr>
        <w:tc>
          <w:tcPr>
            <w:tcW w:w="1871" w:type="dxa"/>
            <w:tcMar>
              <w:top w:w="91" w:type="dxa"/>
              <w:left w:w="0" w:type="dxa"/>
              <w:bottom w:w="91" w:type="dxa"/>
              <w:right w:w="0" w:type="dxa"/>
            </w:tcMar>
          </w:tcPr>
          <w:p w14:paraId="5205C8D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2F7F0E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CE171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DACC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D616C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35D099"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A906FDA" w14:textId="77777777" w:rsidR="00BF4529" w:rsidRDefault="00BF4529" w:rsidP="00BF4529">
            <w:pPr>
              <w:pStyle w:val="TableBlock"/>
              <w:spacing w:before="0"/>
              <w:rPr>
                <w:sz w:val="26"/>
                <w:rtl/>
              </w:rPr>
            </w:pPr>
            <w:r>
              <w:rPr>
                <w:rFonts w:hint="cs"/>
                <w:sz w:val="26"/>
                <w:rtl/>
              </w:rPr>
              <w:t>(ד)</w:t>
            </w:r>
            <w:r>
              <w:rPr>
                <w:rFonts w:hint="cs"/>
                <w:sz w:val="26"/>
                <w:rtl/>
              </w:rPr>
              <w:tab/>
              <w:t>החלטות המועצה יתקבלו ברוב קולות של חברי המועצה המשתתפים בהצבעה; היו הקולות שקולים, יהיה ליושב הראש קול נוסף, ואולם הוראה זו לא תחול על ממלא מקום כאמור בסעיף קטן (ב).</w:t>
            </w:r>
          </w:p>
        </w:tc>
      </w:tr>
      <w:tr w:rsidR="00BF4529" w14:paraId="73CEB018" w14:textId="77777777" w:rsidTr="00BF4529">
        <w:trPr>
          <w:cantSplit/>
        </w:trPr>
        <w:tc>
          <w:tcPr>
            <w:tcW w:w="1871" w:type="dxa"/>
            <w:tcMar>
              <w:top w:w="91" w:type="dxa"/>
              <w:left w:w="0" w:type="dxa"/>
              <w:bottom w:w="91" w:type="dxa"/>
              <w:right w:w="0" w:type="dxa"/>
            </w:tcMar>
          </w:tcPr>
          <w:p w14:paraId="74F5A4E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EC3DCB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AF6B47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751EB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928B0F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18F28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D1E05BB" w14:textId="77777777" w:rsidR="00BF4529" w:rsidRDefault="00BF4529" w:rsidP="00BF4529">
            <w:pPr>
              <w:pStyle w:val="TableBlock"/>
              <w:spacing w:before="0"/>
              <w:rPr>
                <w:sz w:val="26"/>
                <w:rtl/>
              </w:rPr>
            </w:pPr>
            <w:r>
              <w:rPr>
                <w:rFonts w:hint="cs"/>
                <w:sz w:val="26"/>
                <w:rtl/>
              </w:rPr>
              <w:t>(ה)</w:t>
            </w:r>
            <w:r>
              <w:rPr>
                <w:rFonts w:hint="cs"/>
                <w:sz w:val="26"/>
                <w:rtl/>
              </w:rPr>
              <w:tab/>
              <w:t>דיון במועצה על אישור מסלול הטבות, שינויו או ביטולו, יתקיים רק אם נוכחים בו כל חברי המועצה שהם עובדי המדינה; ואולם דיון כאמור לא יידחה בשל היעדרות של חברים שהם עובדי המדינה כאמור ליותר מישיבה אחת, ובישיבה השנייה תהיה המועצה רשאית לדון ולהחליט בנושאים אלה במניין החוקי כאמור בסעיף קטן (ג).</w:t>
            </w:r>
          </w:p>
        </w:tc>
      </w:tr>
      <w:tr w:rsidR="00BF4529" w14:paraId="3A21FD20" w14:textId="77777777" w:rsidTr="00BF4529">
        <w:trPr>
          <w:cantSplit/>
        </w:trPr>
        <w:tc>
          <w:tcPr>
            <w:tcW w:w="1871" w:type="dxa"/>
            <w:tcMar>
              <w:top w:w="91" w:type="dxa"/>
              <w:left w:w="0" w:type="dxa"/>
              <w:bottom w:w="91" w:type="dxa"/>
              <w:right w:w="0" w:type="dxa"/>
            </w:tcMar>
          </w:tcPr>
          <w:p w14:paraId="5B468EC4"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3CDFCD65" w14:textId="77777777" w:rsidR="00BF4529" w:rsidRDefault="00BF4529" w:rsidP="00BF4529">
            <w:pPr>
              <w:pStyle w:val="TableText"/>
              <w:spacing w:before="0"/>
              <w:rPr>
                <w:rtl/>
              </w:rPr>
            </w:pPr>
          </w:p>
        </w:tc>
        <w:tc>
          <w:tcPr>
            <w:tcW w:w="624" w:type="dxa"/>
            <w:tcMar>
              <w:top w:w="91" w:type="dxa"/>
              <w:left w:w="0" w:type="dxa"/>
              <w:bottom w:w="91" w:type="dxa"/>
              <w:right w:w="0" w:type="dxa"/>
            </w:tcMar>
          </w:tcPr>
          <w:p w14:paraId="70D76D8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9121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1CEFA6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C6A216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E916023" w14:textId="77777777" w:rsidR="00BF4529" w:rsidRDefault="00BF4529" w:rsidP="00BF4529">
            <w:pPr>
              <w:pStyle w:val="TableBlock"/>
              <w:spacing w:before="0"/>
              <w:rPr>
                <w:sz w:val="26"/>
                <w:rtl/>
              </w:rPr>
            </w:pPr>
            <w:r>
              <w:rPr>
                <w:rFonts w:hint="cs"/>
                <w:sz w:val="26"/>
                <w:rtl/>
              </w:rPr>
              <w:t>(ו)</w:t>
            </w:r>
            <w:r>
              <w:rPr>
                <w:rFonts w:hint="cs"/>
                <w:sz w:val="26"/>
                <w:rtl/>
              </w:rPr>
              <w:tab/>
              <w:t xml:space="preserve">על אף האמור בסעיף קטן (ה), דיון במועצה שעניינו גיוס הון לפי סעיף 15לא, מסלולי הטבות שעניינן שותפויות לפי סעיף 15לח או קביעת הסדרים לעניין העברת ידע אל מחוץ לישראל לפי סעיף 15מא, שתכליתם הקלה בהעברת הידע אל מחוץ לישראל, יתקיים רק אם נוכחים בו כל חברי המועצה שהם עובדי המדינה ושני חברים מקרב הציבור לפחות, ולא תתקבל החלטה בנושאים אלה אלא בהסכמת שני חברים מקרב הציבור; ואולם, </w:t>
            </w:r>
            <w:r>
              <w:rPr>
                <w:rFonts w:hint="cs"/>
                <w:rtl/>
              </w:rPr>
              <w:t>דיון כאמור לא יידחה בשל היעדרות של חברים שהם עובדי המדינה או שני נציגי ציבור כאמור ליותר מישיבה אחת, ובישיבה העוקבת בנושאים אלה תהיה המועצה רשאית לדון ולהחליט בהם ובלבד שיתקיים המניין החוקי כאמור בסעיף קטן (ג)</w:t>
            </w:r>
            <w:r>
              <w:rPr>
                <w:rFonts w:hint="cs"/>
                <w:sz w:val="26"/>
                <w:rtl/>
              </w:rPr>
              <w:t>; לעניין הישיבה העוקבת החברים מקרב הציבור יהיו רשאים לשלוח את עמדתם בכתב, ובלבד שזו התקבלה עד למועד הדיון בישיבה העוקבת.</w:t>
            </w:r>
          </w:p>
        </w:tc>
      </w:tr>
      <w:tr w:rsidR="00BF4529" w14:paraId="7EE71149" w14:textId="77777777" w:rsidTr="00BF4529">
        <w:trPr>
          <w:cantSplit/>
        </w:trPr>
        <w:tc>
          <w:tcPr>
            <w:tcW w:w="1871" w:type="dxa"/>
            <w:tcMar>
              <w:top w:w="91" w:type="dxa"/>
              <w:left w:w="0" w:type="dxa"/>
              <w:bottom w:w="91" w:type="dxa"/>
              <w:right w:w="0" w:type="dxa"/>
            </w:tcMar>
          </w:tcPr>
          <w:p w14:paraId="44F8895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DBAC5B3" w14:textId="77777777" w:rsidR="00BF4529" w:rsidRDefault="00BF4529" w:rsidP="00BF4529">
            <w:pPr>
              <w:pStyle w:val="TableText"/>
              <w:spacing w:before="0"/>
              <w:rPr>
                <w:rtl/>
              </w:rPr>
            </w:pPr>
          </w:p>
        </w:tc>
        <w:tc>
          <w:tcPr>
            <w:tcW w:w="624" w:type="dxa"/>
            <w:tcMar>
              <w:top w:w="91" w:type="dxa"/>
              <w:left w:w="0" w:type="dxa"/>
              <w:bottom w:w="91" w:type="dxa"/>
              <w:right w:w="0" w:type="dxa"/>
            </w:tcMar>
          </w:tcPr>
          <w:p w14:paraId="513F22B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E24AE2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03949C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0CF779D"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22C773D" w14:textId="77777777" w:rsidR="00BF4529" w:rsidRDefault="00BF4529" w:rsidP="00BF4529">
            <w:pPr>
              <w:pStyle w:val="TableBlock"/>
              <w:spacing w:before="0"/>
              <w:rPr>
                <w:sz w:val="26"/>
                <w:rtl/>
              </w:rPr>
            </w:pPr>
            <w:r>
              <w:rPr>
                <w:rFonts w:hint="cs"/>
                <w:sz w:val="26"/>
                <w:rtl/>
              </w:rPr>
              <w:t>(ז)</w:t>
            </w:r>
            <w:r>
              <w:rPr>
                <w:rFonts w:hint="cs"/>
                <w:sz w:val="26"/>
                <w:rtl/>
              </w:rPr>
              <w:tab/>
              <w:t>נעדר חבר מקרב הציבור מישיבת המועצה באחד הנושאים המנויים בסעיף קטן (ו), ולא התקבלה עמדתו בכתב כאמור בו, יראו בכך כאילו נעדר פעם אחת מישיבת המועצה לפי סעיף 8ב(ט).</w:t>
            </w:r>
          </w:p>
        </w:tc>
      </w:tr>
      <w:tr w:rsidR="00BF4529" w14:paraId="4151C39B" w14:textId="77777777" w:rsidTr="00BF4529">
        <w:trPr>
          <w:cantSplit/>
        </w:trPr>
        <w:tc>
          <w:tcPr>
            <w:tcW w:w="1871" w:type="dxa"/>
            <w:tcMar>
              <w:top w:w="91" w:type="dxa"/>
              <w:left w:w="0" w:type="dxa"/>
              <w:bottom w:w="91" w:type="dxa"/>
              <w:right w:w="0" w:type="dxa"/>
            </w:tcMar>
          </w:tcPr>
          <w:p w14:paraId="018F0B3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7AE2AE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FB0A54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C267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1980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5A2E4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AAF475E" w14:textId="77777777" w:rsidR="00BF4529" w:rsidRDefault="00BF4529" w:rsidP="00BF4529">
            <w:pPr>
              <w:pStyle w:val="TableBlock"/>
              <w:spacing w:before="0"/>
              <w:rPr>
                <w:sz w:val="26"/>
                <w:rtl/>
              </w:rPr>
            </w:pPr>
            <w:r>
              <w:rPr>
                <w:rFonts w:hint="cs"/>
                <w:sz w:val="26"/>
                <w:rtl/>
              </w:rPr>
              <w:t>(ח)</w:t>
            </w:r>
            <w:r>
              <w:rPr>
                <w:rFonts w:hint="cs"/>
                <w:sz w:val="26"/>
                <w:rtl/>
              </w:rPr>
              <w:tab/>
              <w:t>קיום המועצה, סמכויותיה ותוקף החלטותיה לא ייפגעו מחמת שהתפנה מקומו של חבר המועצה, או מחמת ליקוי במינויו או בהמשך כהונתו, ובלבד שרוב חברי המועצה מכהנים כדין.</w:t>
            </w:r>
          </w:p>
        </w:tc>
      </w:tr>
      <w:tr w:rsidR="00BF4529" w14:paraId="18D437F0" w14:textId="77777777" w:rsidTr="00BF4529">
        <w:trPr>
          <w:cantSplit/>
        </w:trPr>
        <w:tc>
          <w:tcPr>
            <w:tcW w:w="1871" w:type="dxa"/>
            <w:tcMar>
              <w:top w:w="91" w:type="dxa"/>
              <w:left w:w="0" w:type="dxa"/>
              <w:bottom w:w="91" w:type="dxa"/>
              <w:right w:w="0" w:type="dxa"/>
            </w:tcMar>
          </w:tcPr>
          <w:p w14:paraId="78C9DEB5" w14:textId="77777777" w:rsidR="00BF4529" w:rsidRDefault="00BF4529" w:rsidP="00BF4529">
            <w:pPr>
              <w:pStyle w:val="TableSideHeading"/>
              <w:spacing w:before="0"/>
              <w:jc w:val="left"/>
              <w:rPr>
                <w:sz w:val="24"/>
                <w:szCs w:val="24"/>
                <w:rtl/>
              </w:rPr>
            </w:pPr>
          </w:p>
        </w:tc>
        <w:tc>
          <w:tcPr>
            <w:tcW w:w="624" w:type="dxa"/>
            <w:tcMar>
              <w:top w:w="91" w:type="dxa"/>
              <w:left w:w="0" w:type="dxa"/>
              <w:bottom w:w="91" w:type="dxa"/>
              <w:right w:w="0" w:type="dxa"/>
            </w:tcMar>
          </w:tcPr>
          <w:p w14:paraId="7371B7F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AA91D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AA81C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40CB6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C87679"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B75FF6A" w14:textId="77777777" w:rsidR="00BF4529" w:rsidRDefault="00BF4529" w:rsidP="00BF4529">
            <w:pPr>
              <w:pStyle w:val="TableBlock"/>
              <w:spacing w:before="0"/>
              <w:rPr>
                <w:sz w:val="26"/>
                <w:rtl/>
              </w:rPr>
            </w:pPr>
            <w:r>
              <w:rPr>
                <w:rFonts w:hint="cs"/>
                <w:sz w:val="26"/>
                <w:rtl/>
              </w:rPr>
              <w:t>(ט)</w:t>
            </w:r>
            <w:r>
              <w:rPr>
                <w:rFonts w:hint="cs"/>
                <w:sz w:val="26"/>
                <w:rtl/>
              </w:rPr>
              <w:tab/>
              <w:t>ישיבות המועצה והחלטותיה יתועדו בפרוטוקול ויפורסמו באתר האינטרנט של הרשות; ואולם המועצה רשאית, בהחלטה מנומקת בכתב, לקבוע כי פרוטוקול של דיון מסוים או חלקו לא יפורסם כאמור.</w:t>
            </w:r>
          </w:p>
        </w:tc>
      </w:tr>
      <w:tr w:rsidR="00BF4529" w14:paraId="1A21899D" w14:textId="77777777" w:rsidTr="00BF4529">
        <w:trPr>
          <w:cantSplit/>
        </w:trPr>
        <w:tc>
          <w:tcPr>
            <w:tcW w:w="1871" w:type="dxa"/>
            <w:tcMar>
              <w:top w:w="91" w:type="dxa"/>
              <w:left w:w="0" w:type="dxa"/>
              <w:bottom w:w="91" w:type="dxa"/>
              <w:right w:w="0" w:type="dxa"/>
            </w:tcMar>
          </w:tcPr>
          <w:p w14:paraId="2072AF0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AB18C4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85ED5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38714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5E1D9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A2D6B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013293B" w14:textId="77777777" w:rsidR="00BF4529" w:rsidRDefault="00BF4529" w:rsidP="00BF4529">
            <w:pPr>
              <w:pStyle w:val="TableBlock"/>
              <w:spacing w:before="0"/>
              <w:rPr>
                <w:sz w:val="26"/>
                <w:rtl/>
              </w:rPr>
            </w:pPr>
            <w:r>
              <w:rPr>
                <w:rFonts w:hint="cs"/>
                <w:sz w:val="26"/>
                <w:rtl/>
              </w:rPr>
              <w:t>(י)</w:t>
            </w:r>
            <w:r>
              <w:rPr>
                <w:rFonts w:hint="cs"/>
                <w:sz w:val="26"/>
                <w:rtl/>
              </w:rPr>
              <w:tab/>
              <w:t>המועצה תקבע לעצמה את סדרי עבודתה בעניינים שלא נקבעו לפי חוק זה.</w:t>
            </w:r>
          </w:p>
        </w:tc>
      </w:tr>
      <w:tr w:rsidR="00BF4529" w14:paraId="1CDEBAFB" w14:textId="77777777" w:rsidTr="00BF4529">
        <w:trPr>
          <w:cantSplit/>
        </w:trPr>
        <w:tc>
          <w:tcPr>
            <w:tcW w:w="1871" w:type="dxa"/>
            <w:tcMar>
              <w:top w:w="91" w:type="dxa"/>
              <w:left w:w="0" w:type="dxa"/>
              <w:bottom w:w="91" w:type="dxa"/>
              <w:right w:w="0" w:type="dxa"/>
            </w:tcMar>
          </w:tcPr>
          <w:p w14:paraId="13A902F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5E35050"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C8CE8B4" w14:textId="77777777" w:rsidR="00BF4529" w:rsidRDefault="00BF4529" w:rsidP="00BF4529">
            <w:pPr>
              <w:pStyle w:val="TableInnerSideHeading"/>
              <w:spacing w:before="0"/>
              <w:jc w:val="left"/>
              <w:rPr>
                <w:sz w:val="26"/>
                <w:rtl/>
              </w:rPr>
            </w:pPr>
            <w:r>
              <w:rPr>
                <w:rFonts w:hint="cs"/>
                <w:sz w:val="26"/>
                <w:rtl/>
              </w:rPr>
              <w:t>סמכויות השרים לגבי החלטות המועצה בנוגע למסלולי הטבות</w:t>
            </w:r>
          </w:p>
        </w:tc>
        <w:tc>
          <w:tcPr>
            <w:tcW w:w="624" w:type="dxa"/>
            <w:tcMar>
              <w:top w:w="91" w:type="dxa"/>
              <w:left w:w="0" w:type="dxa"/>
              <w:bottom w:w="91" w:type="dxa"/>
              <w:right w:w="0" w:type="dxa"/>
            </w:tcMar>
            <w:hideMark/>
          </w:tcPr>
          <w:p w14:paraId="14C7FA7D" w14:textId="77777777" w:rsidR="00BF4529" w:rsidRDefault="00BF4529" w:rsidP="00BF4529">
            <w:pPr>
              <w:pStyle w:val="TableText"/>
              <w:spacing w:before="0"/>
              <w:rPr>
                <w:sz w:val="26"/>
                <w:rtl/>
              </w:rPr>
            </w:pPr>
            <w:r>
              <w:rPr>
                <w:rFonts w:hint="cs"/>
                <w:sz w:val="26"/>
                <w:rtl/>
              </w:rPr>
              <w:t>8ה.</w:t>
            </w:r>
          </w:p>
        </w:tc>
        <w:tc>
          <w:tcPr>
            <w:tcW w:w="4650" w:type="dxa"/>
            <w:gridSpan w:val="3"/>
            <w:tcMar>
              <w:top w:w="91" w:type="dxa"/>
              <w:left w:w="0" w:type="dxa"/>
              <w:bottom w:w="91" w:type="dxa"/>
              <w:right w:w="0" w:type="dxa"/>
            </w:tcMar>
            <w:hideMark/>
          </w:tcPr>
          <w:p w14:paraId="56E1509F" w14:textId="77777777" w:rsidR="00BF4529" w:rsidRDefault="00BF4529" w:rsidP="00BF4529">
            <w:pPr>
              <w:pStyle w:val="TableBlock"/>
              <w:spacing w:before="0"/>
              <w:rPr>
                <w:sz w:val="26"/>
                <w:rtl/>
              </w:rPr>
            </w:pPr>
            <w:r>
              <w:rPr>
                <w:rFonts w:hint="cs"/>
                <w:sz w:val="26"/>
                <w:rtl/>
              </w:rPr>
              <w:t>(א)</w:t>
            </w:r>
            <w:r>
              <w:rPr>
                <w:rFonts w:hint="cs"/>
                <w:sz w:val="26"/>
                <w:rtl/>
              </w:rPr>
              <w:tab/>
              <w:t>החליטה המועצה על אישור מסלול הטבות, על שינויו או על ביטולו, תובא ההחלטה לפני השרים בתוך שבעה ימים.</w:t>
            </w:r>
          </w:p>
        </w:tc>
      </w:tr>
      <w:tr w:rsidR="00BF4529" w14:paraId="41F0875A" w14:textId="77777777" w:rsidTr="00BF4529">
        <w:trPr>
          <w:cantSplit/>
          <w:trHeight w:val="60"/>
        </w:trPr>
        <w:tc>
          <w:tcPr>
            <w:tcW w:w="1871" w:type="dxa"/>
          </w:tcPr>
          <w:p w14:paraId="27B7F325" w14:textId="77777777" w:rsidR="00BF4529" w:rsidRDefault="00BF4529" w:rsidP="00BF4529">
            <w:pPr>
              <w:pStyle w:val="TableSideHeading"/>
              <w:spacing w:before="0"/>
              <w:jc w:val="left"/>
              <w:rPr>
                <w:rtl/>
              </w:rPr>
            </w:pPr>
          </w:p>
        </w:tc>
        <w:tc>
          <w:tcPr>
            <w:tcW w:w="624" w:type="dxa"/>
          </w:tcPr>
          <w:p w14:paraId="56F7A29D" w14:textId="77777777" w:rsidR="00BF4529" w:rsidRDefault="00BF4529" w:rsidP="00BF4529">
            <w:pPr>
              <w:pStyle w:val="TableText"/>
              <w:spacing w:before="0"/>
              <w:rPr>
                <w:rtl/>
              </w:rPr>
            </w:pPr>
          </w:p>
        </w:tc>
        <w:tc>
          <w:tcPr>
            <w:tcW w:w="624" w:type="dxa"/>
          </w:tcPr>
          <w:p w14:paraId="75264882" w14:textId="77777777" w:rsidR="00BF4529" w:rsidRDefault="00BF4529" w:rsidP="00BF4529">
            <w:pPr>
              <w:pStyle w:val="TableText"/>
              <w:spacing w:before="0"/>
            </w:pPr>
          </w:p>
        </w:tc>
        <w:tc>
          <w:tcPr>
            <w:tcW w:w="624" w:type="dxa"/>
          </w:tcPr>
          <w:p w14:paraId="58B89D82" w14:textId="77777777" w:rsidR="00BF4529" w:rsidRDefault="00BF4529" w:rsidP="00BF4529">
            <w:pPr>
              <w:pStyle w:val="TableText"/>
              <w:spacing w:before="0"/>
            </w:pPr>
          </w:p>
        </w:tc>
        <w:tc>
          <w:tcPr>
            <w:tcW w:w="624" w:type="dxa"/>
          </w:tcPr>
          <w:p w14:paraId="3D7F6EDA" w14:textId="77777777" w:rsidR="00BF4529" w:rsidRDefault="00BF4529" w:rsidP="00BF4529">
            <w:pPr>
              <w:pStyle w:val="TableText"/>
              <w:spacing w:before="0"/>
            </w:pPr>
          </w:p>
        </w:tc>
        <w:tc>
          <w:tcPr>
            <w:tcW w:w="624" w:type="dxa"/>
          </w:tcPr>
          <w:p w14:paraId="5CCC66E1" w14:textId="77777777" w:rsidR="00BF4529" w:rsidRDefault="00BF4529" w:rsidP="00BF4529">
            <w:pPr>
              <w:pStyle w:val="TableText"/>
              <w:spacing w:before="0"/>
            </w:pPr>
          </w:p>
        </w:tc>
        <w:tc>
          <w:tcPr>
            <w:tcW w:w="4650" w:type="dxa"/>
            <w:gridSpan w:val="3"/>
            <w:hideMark/>
          </w:tcPr>
          <w:p w14:paraId="28939CBB" w14:textId="77777777" w:rsidR="00BF4529" w:rsidRDefault="00BF4529" w:rsidP="00BF4529">
            <w:pPr>
              <w:pStyle w:val="TableBlock"/>
              <w:spacing w:before="0"/>
            </w:pPr>
            <w:r>
              <w:rPr>
                <w:rFonts w:hint="cs"/>
                <w:sz w:val="26"/>
                <w:rtl/>
              </w:rPr>
              <w:t>(ב)</w:t>
            </w:r>
            <w:r>
              <w:rPr>
                <w:rFonts w:hint="cs"/>
                <w:sz w:val="26"/>
                <w:rtl/>
              </w:rPr>
              <w:tab/>
              <w:t>השרים רשאים להתנגד, בהחלטה מנומקת בכתב, להחלטת המועצה כאמור בסעיף קטן (א), בתוך 14 ימי עבודה מיום שנמסרה להם ההחלטה; לא התנגדו השרים כאמור, תיכנס החלטת המועצה לתוקף.</w:t>
            </w:r>
          </w:p>
        </w:tc>
      </w:tr>
      <w:tr w:rsidR="00BF4529" w14:paraId="043DAF5D" w14:textId="77777777" w:rsidTr="00BF4529">
        <w:trPr>
          <w:cantSplit/>
        </w:trPr>
        <w:tc>
          <w:tcPr>
            <w:tcW w:w="1871" w:type="dxa"/>
            <w:tcMar>
              <w:top w:w="91" w:type="dxa"/>
              <w:left w:w="0" w:type="dxa"/>
              <w:bottom w:w="91" w:type="dxa"/>
              <w:right w:w="0" w:type="dxa"/>
            </w:tcMar>
          </w:tcPr>
          <w:p w14:paraId="4385643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F6311C8"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46AE2A81" w14:textId="77777777" w:rsidR="00BF4529" w:rsidRDefault="00BF4529" w:rsidP="00BF4529">
            <w:pPr>
              <w:pStyle w:val="TableInnerSideHeading"/>
              <w:spacing w:before="0"/>
              <w:jc w:val="left"/>
              <w:rPr>
                <w:sz w:val="26"/>
                <w:rtl/>
              </w:rPr>
            </w:pPr>
            <w:r>
              <w:rPr>
                <w:rFonts w:hint="cs"/>
                <w:sz w:val="26"/>
                <w:rtl/>
              </w:rPr>
              <w:t>זכות לקבלת מידע</w:t>
            </w:r>
          </w:p>
        </w:tc>
        <w:tc>
          <w:tcPr>
            <w:tcW w:w="624" w:type="dxa"/>
            <w:tcMar>
              <w:top w:w="91" w:type="dxa"/>
              <w:left w:w="0" w:type="dxa"/>
              <w:bottom w:w="91" w:type="dxa"/>
              <w:right w:w="0" w:type="dxa"/>
            </w:tcMar>
            <w:hideMark/>
          </w:tcPr>
          <w:p w14:paraId="22A172A7" w14:textId="77777777" w:rsidR="00BF4529" w:rsidRDefault="00BF4529" w:rsidP="00BF4529">
            <w:pPr>
              <w:pStyle w:val="TableText"/>
              <w:spacing w:before="0"/>
              <w:rPr>
                <w:sz w:val="26"/>
                <w:rtl/>
              </w:rPr>
            </w:pPr>
            <w:r>
              <w:rPr>
                <w:rFonts w:hint="cs"/>
                <w:sz w:val="26"/>
                <w:rtl/>
              </w:rPr>
              <w:t>8ו.</w:t>
            </w:r>
          </w:p>
        </w:tc>
        <w:tc>
          <w:tcPr>
            <w:tcW w:w="4650" w:type="dxa"/>
            <w:gridSpan w:val="3"/>
            <w:tcMar>
              <w:top w:w="91" w:type="dxa"/>
              <w:left w:w="0" w:type="dxa"/>
              <w:bottom w:w="91" w:type="dxa"/>
              <w:right w:w="0" w:type="dxa"/>
            </w:tcMar>
            <w:hideMark/>
          </w:tcPr>
          <w:p w14:paraId="26B837B4" w14:textId="77777777" w:rsidR="00BF4529" w:rsidRDefault="00BF4529" w:rsidP="00BF4529">
            <w:pPr>
              <w:pStyle w:val="TableBlock"/>
              <w:spacing w:before="0"/>
              <w:rPr>
                <w:sz w:val="26"/>
                <w:rtl/>
              </w:rPr>
            </w:pPr>
            <w:r>
              <w:rPr>
                <w:rFonts w:hint="cs"/>
                <w:sz w:val="26"/>
                <w:rtl/>
              </w:rPr>
              <w:t>לכל חבר המועצה הזכות לבדוק את מסמכי הרשות ואת רישומיה ולקבל העתקים מהם ואת נכסי הרשות ואת התחייבויותיה, ככל שהדבר דרוש למילוי חובותיו כחבר המועצה.</w:t>
            </w:r>
          </w:p>
        </w:tc>
      </w:tr>
      <w:tr w:rsidR="00BF4529" w14:paraId="60ADDC5F" w14:textId="77777777" w:rsidTr="00BF4529">
        <w:trPr>
          <w:cantSplit/>
        </w:trPr>
        <w:tc>
          <w:tcPr>
            <w:tcW w:w="1871" w:type="dxa"/>
            <w:tcMar>
              <w:top w:w="91" w:type="dxa"/>
              <w:left w:w="0" w:type="dxa"/>
              <w:bottom w:w="91" w:type="dxa"/>
              <w:right w:w="0" w:type="dxa"/>
            </w:tcMar>
          </w:tcPr>
          <w:p w14:paraId="4D7D346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74F9D3E"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4504737" w14:textId="77777777" w:rsidR="00BF4529" w:rsidRDefault="00BF4529" w:rsidP="00BF4529">
            <w:pPr>
              <w:pStyle w:val="TableInnerSideHeading"/>
              <w:spacing w:before="0"/>
              <w:rPr>
                <w:sz w:val="26"/>
                <w:rtl/>
              </w:rPr>
            </w:pPr>
            <w:r>
              <w:rPr>
                <w:rFonts w:hint="cs"/>
                <w:sz w:val="26"/>
                <w:rtl/>
              </w:rPr>
              <w:t>ועדת ביקורת</w:t>
            </w:r>
          </w:p>
        </w:tc>
        <w:tc>
          <w:tcPr>
            <w:tcW w:w="624" w:type="dxa"/>
            <w:tcMar>
              <w:top w:w="91" w:type="dxa"/>
              <w:left w:w="0" w:type="dxa"/>
              <w:bottom w:w="91" w:type="dxa"/>
              <w:right w:w="0" w:type="dxa"/>
            </w:tcMar>
            <w:hideMark/>
          </w:tcPr>
          <w:p w14:paraId="36C8CDD7" w14:textId="77777777" w:rsidR="00BF4529" w:rsidRDefault="00BF4529" w:rsidP="00BF4529">
            <w:pPr>
              <w:pStyle w:val="TableText"/>
              <w:spacing w:before="0"/>
              <w:rPr>
                <w:sz w:val="26"/>
                <w:rtl/>
              </w:rPr>
            </w:pPr>
            <w:r>
              <w:rPr>
                <w:rFonts w:hint="cs"/>
                <w:sz w:val="26"/>
                <w:rtl/>
              </w:rPr>
              <w:t>8ז.</w:t>
            </w:r>
          </w:p>
        </w:tc>
        <w:tc>
          <w:tcPr>
            <w:tcW w:w="4650" w:type="dxa"/>
            <w:gridSpan w:val="3"/>
            <w:tcMar>
              <w:top w:w="91" w:type="dxa"/>
              <w:left w:w="0" w:type="dxa"/>
              <w:bottom w:w="91" w:type="dxa"/>
              <w:right w:w="0" w:type="dxa"/>
            </w:tcMar>
            <w:hideMark/>
          </w:tcPr>
          <w:p w14:paraId="508D882C" w14:textId="77777777" w:rsidR="00BF4529" w:rsidRDefault="00BF4529" w:rsidP="00BF4529">
            <w:pPr>
              <w:pStyle w:val="TableBlock"/>
              <w:spacing w:before="0"/>
              <w:rPr>
                <w:sz w:val="26"/>
                <w:rtl/>
              </w:rPr>
            </w:pPr>
            <w:r>
              <w:rPr>
                <w:rFonts w:hint="cs"/>
                <w:sz w:val="26"/>
                <w:rtl/>
              </w:rPr>
              <w:t>(א)</w:t>
            </w:r>
            <w:r>
              <w:rPr>
                <w:rFonts w:hint="cs"/>
                <w:sz w:val="26"/>
                <w:rtl/>
              </w:rPr>
              <w:tab/>
              <w:t xml:space="preserve">המועצה תמנה מבין חבריה ועדת ביקורת ובה שלושה חברים; אחד מהם יהיה חבר המועצה מקרב עובדי המדינה ושניים מהם יהיו חברי המועצה מקרב הציבור שאחד מהם יהיה יושב ראש ועדת הביקורת; ראש הרשות לא יהיה חבר בוועדת הביקורת. </w:t>
            </w:r>
          </w:p>
        </w:tc>
      </w:tr>
      <w:tr w:rsidR="00BF4529" w14:paraId="6EDC4F3F" w14:textId="77777777" w:rsidTr="00BF4529">
        <w:trPr>
          <w:cantSplit/>
        </w:trPr>
        <w:tc>
          <w:tcPr>
            <w:tcW w:w="1871" w:type="dxa"/>
            <w:tcMar>
              <w:top w:w="91" w:type="dxa"/>
              <w:left w:w="0" w:type="dxa"/>
              <w:bottom w:w="91" w:type="dxa"/>
              <w:right w:w="0" w:type="dxa"/>
            </w:tcMar>
          </w:tcPr>
          <w:p w14:paraId="08EC00E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0EC6AD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CAFB9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23A38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844742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529431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B00201A" w14:textId="77777777" w:rsidR="00BF4529" w:rsidRDefault="00BF4529" w:rsidP="00BF4529">
            <w:pPr>
              <w:pStyle w:val="TableBlock"/>
              <w:spacing w:before="0"/>
              <w:rPr>
                <w:sz w:val="26"/>
                <w:rtl/>
              </w:rPr>
            </w:pPr>
            <w:r>
              <w:rPr>
                <w:rFonts w:hint="cs"/>
                <w:sz w:val="26"/>
                <w:rtl/>
              </w:rPr>
              <w:t>(ב)</w:t>
            </w:r>
            <w:r>
              <w:rPr>
                <w:rFonts w:hint="cs"/>
                <w:sz w:val="26"/>
                <w:rtl/>
              </w:rPr>
              <w:tab/>
              <w:t xml:space="preserve">ועדת הביקורת – </w:t>
            </w:r>
          </w:p>
        </w:tc>
      </w:tr>
      <w:tr w:rsidR="00BF4529" w14:paraId="7E724594" w14:textId="77777777" w:rsidTr="00BF4529">
        <w:trPr>
          <w:cantSplit/>
        </w:trPr>
        <w:tc>
          <w:tcPr>
            <w:tcW w:w="1871" w:type="dxa"/>
            <w:tcMar>
              <w:top w:w="91" w:type="dxa"/>
              <w:left w:w="0" w:type="dxa"/>
              <w:bottom w:w="91" w:type="dxa"/>
              <w:right w:w="0" w:type="dxa"/>
            </w:tcMar>
          </w:tcPr>
          <w:p w14:paraId="14D920D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8CEBD9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4C14A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7C06F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7BD99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58055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9D0F7DB"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0C1309A" w14:textId="77777777" w:rsidR="00BF4529" w:rsidRDefault="00BF4529" w:rsidP="00BF4529">
            <w:pPr>
              <w:pStyle w:val="TableBlock"/>
              <w:spacing w:before="0"/>
              <w:rPr>
                <w:sz w:val="26"/>
                <w:rtl/>
              </w:rPr>
            </w:pPr>
            <w:r>
              <w:rPr>
                <w:rFonts w:hint="cs"/>
                <w:sz w:val="26"/>
                <w:rtl/>
              </w:rPr>
              <w:t>(1)</w:t>
            </w:r>
            <w:r>
              <w:rPr>
                <w:rFonts w:hint="cs"/>
                <w:sz w:val="26"/>
                <w:rtl/>
              </w:rPr>
              <w:tab/>
              <w:t>תעמוד על ליקויים בניהול הרשות, בין השאר בהתייעצות עם המבקר הפנימי של הרשות או עם רואה החשבון המבקר, ותציע למועצה דרכים לתיקונם; מצאה ועדת הביקורת ליקוי כאמור שהוא ליקוי מהותי, תקיים ישיבה אחת לפחות לעניין הליקוי הנדון, בנוכחות המבקר הפנימי או רואה החשבון המבקר, לפי העניין, ובלא נוכחות של נושאי משרה ברשות שאינם חברי הוועדה; ואולם, נושא משרה רשאי להיות נוכח בישיבה כאמור לשם הצגת עמדה בנושא שבתחומי אחריותו;</w:t>
            </w:r>
          </w:p>
        </w:tc>
      </w:tr>
      <w:tr w:rsidR="00BF4529" w14:paraId="44E603BE" w14:textId="77777777" w:rsidTr="00BF4529">
        <w:trPr>
          <w:cantSplit/>
        </w:trPr>
        <w:tc>
          <w:tcPr>
            <w:tcW w:w="1871" w:type="dxa"/>
            <w:tcMar>
              <w:top w:w="91" w:type="dxa"/>
              <w:left w:w="0" w:type="dxa"/>
              <w:bottom w:w="91" w:type="dxa"/>
              <w:right w:w="0" w:type="dxa"/>
            </w:tcMar>
          </w:tcPr>
          <w:p w14:paraId="00E4437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FFCFA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12C6E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6577F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DB815B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A262F9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5FDE9AA"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18F9DED3" w14:textId="77777777" w:rsidR="00BF4529" w:rsidRDefault="00BF4529" w:rsidP="00BF4529">
            <w:pPr>
              <w:pStyle w:val="TableBlock"/>
              <w:spacing w:before="0"/>
              <w:rPr>
                <w:sz w:val="26"/>
                <w:rtl/>
              </w:rPr>
            </w:pPr>
            <w:r>
              <w:rPr>
                <w:rFonts w:hint="cs"/>
                <w:sz w:val="26"/>
                <w:rtl/>
              </w:rPr>
              <w:t>(2)</w:t>
            </w:r>
            <w:r>
              <w:rPr>
                <w:rFonts w:hint="cs"/>
                <w:sz w:val="26"/>
                <w:rtl/>
              </w:rPr>
              <w:tab/>
              <w:t>תבחן את מערך הביקורת הפנימית של הרשות ואת תפקודו של המבקר הפנימי וכן אם עומדים לרשותו המשאבים והכלים הנחוצים לו לשם מילוי תפקידו, בשים לב בין השאר לצרכיה המיוחדים של הרשות ולגודלה;</w:t>
            </w:r>
          </w:p>
        </w:tc>
      </w:tr>
      <w:tr w:rsidR="00BF4529" w14:paraId="2EFEC25A" w14:textId="77777777" w:rsidTr="00BF4529">
        <w:trPr>
          <w:cantSplit/>
        </w:trPr>
        <w:tc>
          <w:tcPr>
            <w:tcW w:w="1871" w:type="dxa"/>
            <w:tcMar>
              <w:top w:w="91" w:type="dxa"/>
              <w:left w:w="0" w:type="dxa"/>
              <w:bottom w:w="91" w:type="dxa"/>
              <w:right w:w="0" w:type="dxa"/>
            </w:tcMar>
          </w:tcPr>
          <w:p w14:paraId="472A679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0D5D8D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EC6BA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EB8ED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5D36A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A986B6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5D6A32"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EBFCBEA" w14:textId="77777777" w:rsidR="00BF4529" w:rsidRDefault="00BF4529" w:rsidP="00BF4529">
            <w:pPr>
              <w:pStyle w:val="TableBlock"/>
              <w:spacing w:before="0"/>
              <w:rPr>
                <w:sz w:val="26"/>
                <w:rtl/>
              </w:rPr>
            </w:pPr>
            <w:r>
              <w:rPr>
                <w:rFonts w:hint="cs"/>
                <w:sz w:val="26"/>
                <w:rtl/>
              </w:rPr>
              <w:t>(3)</w:t>
            </w:r>
            <w:r>
              <w:rPr>
                <w:rFonts w:hint="cs"/>
                <w:sz w:val="26"/>
                <w:rtl/>
              </w:rPr>
              <w:tab/>
              <w:t>תדון בדוחות של המבקר הפנימי ובדוחות מבקר המדינה;</w:t>
            </w:r>
          </w:p>
        </w:tc>
      </w:tr>
      <w:tr w:rsidR="00BF4529" w14:paraId="26719B4C" w14:textId="77777777" w:rsidTr="00BF4529">
        <w:trPr>
          <w:cantSplit/>
        </w:trPr>
        <w:tc>
          <w:tcPr>
            <w:tcW w:w="1871" w:type="dxa"/>
            <w:tcMar>
              <w:top w:w="91" w:type="dxa"/>
              <w:left w:w="0" w:type="dxa"/>
              <w:bottom w:w="91" w:type="dxa"/>
              <w:right w:w="0" w:type="dxa"/>
            </w:tcMar>
          </w:tcPr>
          <w:p w14:paraId="7E72B13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1055F8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2D872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A661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F8054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F0610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C6D4E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BE39FAE" w14:textId="77777777" w:rsidR="00BF4529" w:rsidRDefault="00BF4529" w:rsidP="00BF4529">
            <w:pPr>
              <w:pStyle w:val="TableBlock"/>
              <w:spacing w:before="0"/>
              <w:rPr>
                <w:sz w:val="26"/>
                <w:rtl/>
              </w:rPr>
            </w:pPr>
            <w:r>
              <w:rPr>
                <w:rFonts w:hint="cs"/>
                <w:sz w:val="26"/>
                <w:rtl/>
              </w:rPr>
              <w:t>(4)</w:t>
            </w:r>
            <w:r>
              <w:rPr>
                <w:rFonts w:hint="cs"/>
                <w:sz w:val="26"/>
                <w:rtl/>
              </w:rPr>
              <w:tab/>
              <w:t>תבחן את תכנית העבודה של המבקר הפנימי ותעבירה לאישור המועצה בצירוף הערותיה והמלצותיה;</w:t>
            </w:r>
          </w:p>
        </w:tc>
      </w:tr>
      <w:tr w:rsidR="00BF4529" w14:paraId="26A6A348" w14:textId="77777777" w:rsidTr="00BF4529">
        <w:trPr>
          <w:cantSplit/>
        </w:trPr>
        <w:tc>
          <w:tcPr>
            <w:tcW w:w="1871" w:type="dxa"/>
            <w:tcMar>
              <w:top w:w="91" w:type="dxa"/>
              <w:left w:w="0" w:type="dxa"/>
              <w:bottom w:w="91" w:type="dxa"/>
              <w:right w:w="0" w:type="dxa"/>
            </w:tcMar>
          </w:tcPr>
          <w:p w14:paraId="6F5F783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C93CC5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140BB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5113B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11517F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44DEB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A2185C5"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315CEAC" w14:textId="77777777" w:rsidR="00BF4529" w:rsidRDefault="00BF4529" w:rsidP="00BF4529">
            <w:pPr>
              <w:pStyle w:val="TableBlock"/>
              <w:spacing w:before="0"/>
              <w:rPr>
                <w:sz w:val="26"/>
                <w:rtl/>
              </w:rPr>
            </w:pPr>
            <w:r>
              <w:rPr>
                <w:rFonts w:hint="cs"/>
                <w:sz w:val="26"/>
                <w:rtl/>
              </w:rPr>
              <w:t>(5)</w:t>
            </w:r>
            <w:r>
              <w:rPr>
                <w:rFonts w:hint="cs"/>
                <w:sz w:val="26"/>
                <w:rtl/>
              </w:rPr>
              <w:tab/>
              <w:t xml:space="preserve">תחליט אם לאשר פעולות ועסקאות הטעונות אישור לפי סעיף 15יז. </w:t>
            </w:r>
          </w:p>
        </w:tc>
      </w:tr>
      <w:tr w:rsidR="00BF4529" w14:paraId="4BD751C3" w14:textId="77777777" w:rsidTr="00BF4529">
        <w:trPr>
          <w:cantSplit/>
        </w:trPr>
        <w:tc>
          <w:tcPr>
            <w:tcW w:w="1871" w:type="dxa"/>
            <w:tcMar>
              <w:top w:w="91" w:type="dxa"/>
              <w:left w:w="0" w:type="dxa"/>
              <w:bottom w:w="91" w:type="dxa"/>
              <w:right w:w="0" w:type="dxa"/>
            </w:tcMar>
          </w:tcPr>
          <w:p w14:paraId="61D2D24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FDAC94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69C6C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FB632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16FAF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EA60FD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3B9D96F" w14:textId="77777777" w:rsidR="00BF4529" w:rsidRDefault="00BF4529" w:rsidP="00BF4529">
            <w:pPr>
              <w:pStyle w:val="TableBlock"/>
              <w:spacing w:before="0"/>
              <w:rPr>
                <w:sz w:val="26"/>
                <w:rtl/>
              </w:rPr>
            </w:pPr>
            <w:r>
              <w:rPr>
                <w:rFonts w:hint="cs"/>
                <w:sz w:val="26"/>
                <w:rtl/>
              </w:rPr>
              <w:t>(ג)</w:t>
            </w:r>
            <w:r>
              <w:rPr>
                <w:rFonts w:hint="cs"/>
                <w:sz w:val="26"/>
                <w:rtl/>
              </w:rPr>
              <w:tab/>
              <w:t>יושב ראש ועדת הביקורת יכנס את ועדת הביקורת לדיון בנושאים שיועמדו על סדר יומה על ידו או על ידי חבר ועדה אחר או על ידי המועצה, המנהל הכללי של הרשות או המבקר הפנימי.</w:t>
            </w:r>
          </w:p>
        </w:tc>
      </w:tr>
      <w:tr w:rsidR="00BF4529" w14:paraId="7CAB5C5F" w14:textId="77777777" w:rsidTr="00BF4529">
        <w:trPr>
          <w:cantSplit/>
        </w:trPr>
        <w:tc>
          <w:tcPr>
            <w:tcW w:w="1871" w:type="dxa"/>
            <w:tcMar>
              <w:top w:w="91" w:type="dxa"/>
              <w:left w:w="0" w:type="dxa"/>
              <w:bottom w:w="91" w:type="dxa"/>
              <w:right w:w="0" w:type="dxa"/>
            </w:tcMar>
          </w:tcPr>
          <w:p w14:paraId="1E6888E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B5897F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CB230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C0C32F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B0B082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44221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DDC6F6C" w14:textId="77777777" w:rsidR="00BF4529" w:rsidRDefault="00BF4529" w:rsidP="00BF4529">
            <w:pPr>
              <w:pStyle w:val="TableBlock"/>
              <w:spacing w:before="0"/>
              <w:rPr>
                <w:sz w:val="26"/>
                <w:rtl/>
              </w:rPr>
            </w:pPr>
            <w:r>
              <w:rPr>
                <w:rFonts w:hint="cs"/>
                <w:sz w:val="26"/>
                <w:rtl/>
              </w:rPr>
              <w:t>(ד)</w:t>
            </w:r>
            <w:r>
              <w:rPr>
                <w:rFonts w:hint="cs"/>
                <w:sz w:val="26"/>
                <w:rtl/>
              </w:rPr>
              <w:tab/>
              <w:t>מי שאינו חבר בוועדת הביקורת לא יהיה נוכח בישיבות הוועדה בעת דיון ובעת קבלת החלטות הוועדה, אלא בהתאם להוראות סעיף זה או אם קבעו יושב ראש הוועדה או הוועדה כי הוא נדרש לשם הצגת נושא מסוים או לשם ניהולה התקין של הישיבה.</w:t>
            </w:r>
          </w:p>
        </w:tc>
      </w:tr>
      <w:tr w:rsidR="00BF4529" w14:paraId="1BFEDB57" w14:textId="77777777" w:rsidTr="00BF4529">
        <w:trPr>
          <w:cantSplit/>
        </w:trPr>
        <w:tc>
          <w:tcPr>
            <w:tcW w:w="1871" w:type="dxa"/>
            <w:tcMar>
              <w:top w:w="91" w:type="dxa"/>
              <w:left w:w="0" w:type="dxa"/>
              <w:bottom w:w="91" w:type="dxa"/>
              <w:right w:w="0" w:type="dxa"/>
            </w:tcMar>
          </w:tcPr>
          <w:p w14:paraId="5503A18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759C28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9890EF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0EC8C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387D7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32008A"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74BA4D2" w14:textId="77777777" w:rsidR="00BF4529" w:rsidRDefault="00BF4529" w:rsidP="00BF4529">
            <w:pPr>
              <w:pStyle w:val="TableBlock"/>
              <w:spacing w:before="0"/>
              <w:rPr>
                <w:sz w:val="26"/>
                <w:rtl/>
              </w:rPr>
            </w:pPr>
            <w:r>
              <w:rPr>
                <w:rFonts w:hint="cs"/>
                <w:sz w:val="26"/>
                <w:rtl/>
              </w:rPr>
              <w:t>(ה)</w:t>
            </w:r>
            <w:r>
              <w:rPr>
                <w:rFonts w:hint="cs"/>
                <w:sz w:val="26"/>
                <w:rtl/>
              </w:rPr>
              <w:tab/>
              <w:t>על אף האמור בסעיף קטן (ד), המבקר הפנימי, היועץ המשפטי והחשב של הרשות יקבלו הודעות על קיום ישיבות ועדת הביקורת ויהיו רשאים להשתתף בהן.</w:t>
            </w:r>
          </w:p>
        </w:tc>
      </w:tr>
      <w:tr w:rsidR="00BF4529" w14:paraId="67BD144A" w14:textId="77777777" w:rsidTr="00BF4529">
        <w:trPr>
          <w:cantSplit/>
        </w:trPr>
        <w:tc>
          <w:tcPr>
            <w:tcW w:w="1871" w:type="dxa"/>
            <w:tcMar>
              <w:top w:w="91" w:type="dxa"/>
              <w:left w:w="0" w:type="dxa"/>
              <w:bottom w:w="91" w:type="dxa"/>
              <w:right w:w="0" w:type="dxa"/>
            </w:tcMar>
          </w:tcPr>
          <w:p w14:paraId="1B31644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0E109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37650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C2C518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3F9B0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2B3B3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F8BF82F" w14:textId="77777777" w:rsidR="00BF4529" w:rsidRDefault="00BF4529" w:rsidP="00BF4529">
            <w:pPr>
              <w:pStyle w:val="TableBlock"/>
              <w:spacing w:before="0"/>
              <w:rPr>
                <w:sz w:val="26"/>
                <w:rtl/>
              </w:rPr>
            </w:pPr>
            <w:r>
              <w:rPr>
                <w:rFonts w:hint="cs"/>
                <w:sz w:val="26"/>
                <w:rtl/>
              </w:rPr>
              <w:t>(ו)</w:t>
            </w:r>
            <w:r>
              <w:rPr>
                <w:rFonts w:hint="cs"/>
                <w:sz w:val="26"/>
                <w:rtl/>
              </w:rPr>
              <w:tab/>
              <w:t>הודעה על קיום ישיבת ועדת הביקורת שבה עולה נושא הנוגע לביקורת הדוחות הכספיים, תומצא לרואה החשבון המבקר שיהיה רשאי להשתתף בה.</w:t>
            </w:r>
          </w:p>
        </w:tc>
      </w:tr>
      <w:tr w:rsidR="00BF4529" w14:paraId="678DD8F3" w14:textId="77777777" w:rsidTr="00BF4529">
        <w:trPr>
          <w:cantSplit/>
        </w:trPr>
        <w:tc>
          <w:tcPr>
            <w:tcW w:w="1871" w:type="dxa"/>
            <w:tcMar>
              <w:top w:w="91" w:type="dxa"/>
              <w:left w:w="0" w:type="dxa"/>
              <w:bottom w:w="91" w:type="dxa"/>
              <w:right w:w="0" w:type="dxa"/>
            </w:tcMar>
          </w:tcPr>
          <w:p w14:paraId="5BC0466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A59D05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29B255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F3BB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5F33B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4EB81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6F8F2F8" w14:textId="77777777" w:rsidR="00BF4529" w:rsidRDefault="00BF4529" w:rsidP="00BF4529">
            <w:pPr>
              <w:pStyle w:val="TableBlock"/>
              <w:spacing w:before="0"/>
              <w:rPr>
                <w:sz w:val="26"/>
                <w:rtl/>
              </w:rPr>
            </w:pPr>
            <w:r>
              <w:rPr>
                <w:rFonts w:hint="cs"/>
                <w:sz w:val="26"/>
                <w:rtl/>
              </w:rPr>
              <w:t>(ז)</w:t>
            </w:r>
            <w:r>
              <w:rPr>
                <w:rFonts w:hint="cs"/>
                <w:sz w:val="26"/>
                <w:rtl/>
              </w:rPr>
              <w:tab/>
              <w:t>ועדת הביקורת תגיש אחת לשנה, ולא יאוחר מיום 31 במרס של כל שנה, למועצה ולמנהל הכללי של הרשות דוח שנתי על פעילותה.</w:t>
            </w:r>
          </w:p>
        </w:tc>
      </w:tr>
      <w:tr w:rsidR="00BF4529" w14:paraId="23632881" w14:textId="77777777" w:rsidTr="00BF4529">
        <w:trPr>
          <w:cantSplit/>
        </w:trPr>
        <w:tc>
          <w:tcPr>
            <w:tcW w:w="1871" w:type="dxa"/>
            <w:tcMar>
              <w:top w:w="91" w:type="dxa"/>
              <w:left w:w="0" w:type="dxa"/>
              <w:bottom w:w="91" w:type="dxa"/>
              <w:right w:w="0" w:type="dxa"/>
            </w:tcMar>
          </w:tcPr>
          <w:p w14:paraId="47C8DFB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03AFF25"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725AE07E" w14:textId="77777777" w:rsidR="00BF4529" w:rsidRDefault="00BF4529" w:rsidP="00BF4529">
            <w:pPr>
              <w:pStyle w:val="TableHead"/>
              <w:spacing w:before="0"/>
              <w:rPr>
                <w:sz w:val="26"/>
                <w:rtl/>
              </w:rPr>
            </w:pPr>
            <w:r>
              <w:rPr>
                <w:rFonts w:hint="cs"/>
                <w:sz w:val="26"/>
                <w:rtl/>
              </w:rPr>
              <w:t>סימן ג': המנהל הכללי של הרשות</w:t>
            </w:r>
          </w:p>
        </w:tc>
      </w:tr>
      <w:tr w:rsidR="00BF4529" w14:paraId="628AD616" w14:textId="77777777" w:rsidTr="00BF4529">
        <w:trPr>
          <w:cantSplit/>
        </w:trPr>
        <w:tc>
          <w:tcPr>
            <w:tcW w:w="1871" w:type="dxa"/>
            <w:tcMar>
              <w:top w:w="91" w:type="dxa"/>
              <w:left w:w="0" w:type="dxa"/>
              <w:bottom w:w="91" w:type="dxa"/>
              <w:right w:w="0" w:type="dxa"/>
            </w:tcMar>
          </w:tcPr>
          <w:p w14:paraId="2E159FE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EA51062"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6D722570" w14:textId="77777777" w:rsidR="00BF4529" w:rsidRDefault="00BF4529" w:rsidP="00BF4529">
            <w:pPr>
              <w:pStyle w:val="TableInnerSideHeading"/>
              <w:spacing w:before="0"/>
              <w:jc w:val="left"/>
              <w:rPr>
                <w:sz w:val="26"/>
                <w:rtl/>
              </w:rPr>
            </w:pPr>
            <w:r>
              <w:rPr>
                <w:rFonts w:hint="cs"/>
                <w:sz w:val="26"/>
                <w:rtl/>
              </w:rPr>
              <w:t>המנהל הכללי</w:t>
            </w:r>
            <w:r>
              <w:rPr>
                <w:rFonts w:hint="cs"/>
                <w:sz w:val="26"/>
                <w:rtl/>
              </w:rPr>
              <w:br/>
              <w:t>של הרשות</w:t>
            </w:r>
          </w:p>
        </w:tc>
        <w:tc>
          <w:tcPr>
            <w:tcW w:w="624" w:type="dxa"/>
            <w:tcMar>
              <w:top w:w="91" w:type="dxa"/>
              <w:left w:w="0" w:type="dxa"/>
              <w:bottom w:w="91" w:type="dxa"/>
              <w:right w:w="0" w:type="dxa"/>
            </w:tcMar>
            <w:hideMark/>
          </w:tcPr>
          <w:p w14:paraId="4F132F79" w14:textId="77777777" w:rsidR="00BF4529" w:rsidRDefault="00BF4529" w:rsidP="00BF4529">
            <w:pPr>
              <w:pStyle w:val="TableText"/>
              <w:spacing w:before="0"/>
              <w:rPr>
                <w:sz w:val="26"/>
                <w:rtl/>
              </w:rPr>
            </w:pPr>
            <w:r>
              <w:rPr>
                <w:rFonts w:hint="cs"/>
                <w:sz w:val="26"/>
                <w:rtl/>
              </w:rPr>
              <w:t>8ח.</w:t>
            </w:r>
          </w:p>
        </w:tc>
        <w:tc>
          <w:tcPr>
            <w:tcW w:w="4650" w:type="dxa"/>
            <w:gridSpan w:val="3"/>
            <w:tcMar>
              <w:top w:w="91" w:type="dxa"/>
              <w:left w:w="0" w:type="dxa"/>
              <w:bottom w:w="91" w:type="dxa"/>
              <w:right w:w="0" w:type="dxa"/>
            </w:tcMar>
            <w:hideMark/>
          </w:tcPr>
          <w:p w14:paraId="2E11237A" w14:textId="77777777" w:rsidR="00BF4529" w:rsidRDefault="00BF4529" w:rsidP="00BF4529">
            <w:pPr>
              <w:pStyle w:val="TableBlock"/>
              <w:spacing w:before="0"/>
              <w:rPr>
                <w:sz w:val="26"/>
                <w:rtl/>
              </w:rPr>
            </w:pPr>
            <w:r>
              <w:rPr>
                <w:rFonts w:hint="cs"/>
                <w:sz w:val="26"/>
                <w:rtl/>
              </w:rPr>
              <w:t>(א)</w:t>
            </w:r>
            <w:r>
              <w:rPr>
                <w:rFonts w:hint="cs"/>
                <w:sz w:val="26"/>
                <w:rtl/>
              </w:rPr>
              <w:tab/>
              <w:t>המועצה תמנה מנהל כללי לרשות מתוך רשימת מועמדים שעליהם המליצה ועדה לאיתור מועמדים (בסעיף זה – ועדת האיתור); ועדת האיתור תמונה בידי המועצה מקרב חבריה ובראשה יעמוד ראש הרשות; על ועדת האיתור וחבריה יחולו הוראות סעיף 8ב(ו).</w:t>
            </w:r>
          </w:p>
        </w:tc>
      </w:tr>
      <w:tr w:rsidR="00BF4529" w14:paraId="10DD47A7" w14:textId="77777777" w:rsidTr="00BF4529">
        <w:trPr>
          <w:cantSplit/>
        </w:trPr>
        <w:tc>
          <w:tcPr>
            <w:tcW w:w="1871" w:type="dxa"/>
            <w:tcMar>
              <w:top w:w="91" w:type="dxa"/>
              <w:left w:w="0" w:type="dxa"/>
              <w:bottom w:w="91" w:type="dxa"/>
              <w:right w:w="0" w:type="dxa"/>
            </w:tcMar>
          </w:tcPr>
          <w:p w14:paraId="0343F0D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07C5D8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1DA91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ECB10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D50DD1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3EC35A"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CD9213F" w14:textId="77777777" w:rsidR="00BF4529" w:rsidRDefault="00BF4529" w:rsidP="00BF4529">
            <w:pPr>
              <w:pStyle w:val="TableBlock"/>
              <w:spacing w:before="0"/>
              <w:rPr>
                <w:sz w:val="26"/>
                <w:rtl/>
              </w:rPr>
            </w:pPr>
            <w:r>
              <w:rPr>
                <w:rFonts w:hint="cs"/>
                <w:sz w:val="26"/>
                <w:rtl/>
              </w:rPr>
              <w:t>(ב)</w:t>
            </w:r>
            <w:r>
              <w:rPr>
                <w:rFonts w:hint="cs"/>
                <w:sz w:val="26"/>
                <w:rtl/>
              </w:rPr>
              <w:tab/>
              <w:t>למנהל הכללי של הרשות יהיו נתונות כל סמכויות הניהול והביצוע של הרשות, ובכלל זה גיבוש תכניות עבודה ברשות שיובאו לאישור המועצה, והוא יהיה נתון לפיקוח המועצה.</w:t>
            </w:r>
          </w:p>
        </w:tc>
      </w:tr>
      <w:tr w:rsidR="00BF4529" w14:paraId="1B06EA9B" w14:textId="77777777" w:rsidTr="00BF4529">
        <w:trPr>
          <w:cantSplit/>
        </w:trPr>
        <w:tc>
          <w:tcPr>
            <w:tcW w:w="1871" w:type="dxa"/>
            <w:tcMar>
              <w:top w:w="91" w:type="dxa"/>
              <w:left w:w="0" w:type="dxa"/>
              <w:bottom w:w="91" w:type="dxa"/>
              <w:right w:w="0" w:type="dxa"/>
            </w:tcMar>
          </w:tcPr>
          <w:p w14:paraId="14129C6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905C60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D8AA2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76DC2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E9B14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43694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129C8BD" w14:textId="77777777" w:rsidR="00BF4529" w:rsidRDefault="00BF4529" w:rsidP="00BF4529">
            <w:pPr>
              <w:pStyle w:val="TableBlock"/>
              <w:spacing w:before="0"/>
              <w:rPr>
                <w:sz w:val="26"/>
                <w:rtl/>
              </w:rPr>
            </w:pPr>
            <w:r>
              <w:rPr>
                <w:rFonts w:hint="cs"/>
                <w:sz w:val="26"/>
                <w:rtl/>
              </w:rPr>
              <w:t>(ג)</w:t>
            </w:r>
            <w:r>
              <w:rPr>
                <w:rFonts w:hint="cs"/>
                <w:sz w:val="26"/>
                <w:rtl/>
              </w:rPr>
              <w:tab/>
              <w:t>על מינוי המנהל הכללי של הרשות יחולו הוראות סעיף 37(ב) ו-(ג) לחוק החברות הממשלתיות, בשינויים המחויבים, והוא ייעשה לאחר התייעצות עם הוועדה לבדיקת מינויים כהגדרתה בחוק האמור.</w:t>
            </w:r>
          </w:p>
        </w:tc>
      </w:tr>
      <w:tr w:rsidR="00BF4529" w14:paraId="242F3749" w14:textId="77777777" w:rsidTr="00BF4529">
        <w:trPr>
          <w:cantSplit/>
        </w:trPr>
        <w:tc>
          <w:tcPr>
            <w:tcW w:w="1871" w:type="dxa"/>
            <w:tcMar>
              <w:top w:w="91" w:type="dxa"/>
              <w:left w:w="0" w:type="dxa"/>
              <w:bottom w:w="91" w:type="dxa"/>
              <w:right w:w="0" w:type="dxa"/>
            </w:tcMar>
          </w:tcPr>
          <w:p w14:paraId="7362FE0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7B7EB1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5C3CD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BF79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393C8E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8F365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C236038" w14:textId="77777777" w:rsidR="00BF4529" w:rsidRDefault="00BF4529" w:rsidP="00BF4529">
            <w:pPr>
              <w:pStyle w:val="TableBlock"/>
              <w:spacing w:before="0"/>
              <w:rPr>
                <w:sz w:val="26"/>
                <w:rtl/>
              </w:rPr>
            </w:pPr>
            <w:r>
              <w:rPr>
                <w:rFonts w:hint="cs"/>
                <w:sz w:val="26"/>
                <w:rtl/>
              </w:rPr>
              <w:t>(ד)</w:t>
            </w:r>
            <w:r>
              <w:rPr>
                <w:rFonts w:hint="cs"/>
                <w:sz w:val="26"/>
                <w:rtl/>
              </w:rPr>
              <w:tab/>
              <w:t>ועדת האיתור תקבע את אמות המידה לאיתור מועמדים מתאימים לתפקיד המנהל הכללי של הרשות על ידיה בהתחשב במדיניות שרשאית המועצה לקבוע.</w:t>
            </w:r>
          </w:p>
        </w:tc>
      </w:tr>
      <w:tr w:rsidR="00BF4529" w14:paraId="18635117" w14:textId="77777777" w:rsidTr="00BF4529">
        <w:trPr>
          <w:cantSplit/>
        </w:trPr>
        <w:tc>
          <w:tcPr>
            <w:tcW w:w="1871" w:type="dxa"/>
            <w:tcMar>
              <w:top w:w="91" w:type="dxa"/>
              <w:left w:w="0" w:type="dxa"/>
              <w:bottom w:w="91" w:type="dxa"/>
              <w:right w:w="0" w:type="dxa"/>
            </w:tcMar>
          </w:tcPr>
          <w:p w14:paraId="4268B79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5743E4"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CD4523B" w14:textId="77777777" w:rsidR="00BF4529" w:rsidRDefault="00BF4529" w:rsidP="00BF4529">
            <w:pPr>
              <w:pStyle w:val="TableHead"/>
              <w:spacing w:before="0"/>
              <w:rPr>
                <w:sz w:val="26"/>
                <w:rtl/>
              </w:rPr>
            </w:pPr>
            <w:r>
              <w:rPr>
                <w:rFonts w:hint="cs"/>
                <w:sz w:val="26"/>
                <w:rtl/>
              </w:rPr>
              <w:t>סימן ד': ועדות מחקר".</w:t>
            </w:r>
          </w:p>
        </w:tc>
      </w:tr>
      <w:tr w:rsidR="00BF4529" w14:paraId="182B781B" w14:textId="77777777" w:rsidTr="00BF4529">
        <w:trPr>
          <w:cantSplit/>
        </w:trPr>
        <w:tc>
          <w:tcPr>
            <w:tcW w:w="1871" w:type="dxa"/>
            <w:tcMar>
              <w:top w:w="91" w:type="dxa"/>
              <w:left w:w="0" w:type="dxa"/>
              <w:bottom w:w="91" w:type="dxa"/>
              <w:right w:w="0" w:type="dxa"/>
            </w:tcMar>
            <w:hideMark/>
          </w:tcPr>
          <w:p w14:paraId="352AA6EA" w14:textId="77777777" w:rsidR="00BF4529" w:rsidRDefault="00BF4529" w:rsidP="00BF4529">
            <w:pPr>
              <w:pStyle w:val="TableSideHeading"/>
              <w:spacing w:before="0"/>
              <w:jc w:val="left"/>
              <w:rPr>
                <w:sz w:val="26"/>
                <w:rtl/>
              </w:rPr>
            </w:pPr>
            <w:r>
              <w:rPr>
                <w:rFonts w:hint="cs"/>
                <w:sz w:val="26"/>
                <w:rtl/>
              </w:rPr>
              <w:t>תיקון סעיף 9</w:t>
            </w:r>
          </w:p>
        </w:tc>
        <w:tc>
          <w:tcPr>
            <w:tcW w:w="624" w:type="dxa"/>
            <w:tcMar>
              <w:top w:w="91" w:type="dxa"/>
              <w:left w:w="0" w:type="dxa"/>
              <w:bottom w:w="91" w:type="dxa"/>
              <w:right w:w="0" w:type="dxa"/>
            </w:tcMar>
            <w:hideMark/>
          </w:tcPr>
          <w:p w14:paraId="40522464" w14:textId="77777777" w:rsidR="00BF4529" w:rsidRDefault="00BF4529" w:rsidP="00BF4529">
            <w:pPr>
              <w:pStyle w:val="TableText"/>
              <w:spacing w:before="0"/>
              <w:rPr>
                <w:sz w:val="26"/>
                <w:rtl/>
              </w:rPr>
            </w:pPr>
            <w:r>
              <w:rPr>
                <w:rFonts w:hint="cs"/>
                <w:sz w:val="26"/>
                <w:rtl/>
              </w:rPr>
              <w:t>9.</w:t>
            </w:r>
          </w:p>
        </w:tc>
        <w:tc>
          <w:tcPr>
            <w:tcW w:w="7146" w:type="dxa"/>
            <w:gridSpan w:val="7"/>
            <w:tcMar>
              <w:top w:w="91" w:type="dxa"/>
              <w:left w:w="0" w:type="dxa"/>
              <w:bottom w:w="91" w:type="dxa"/>
              <w:right w:w="0" w:type="dxa"/>
            </w:tcMar>
            <w:hideMark/>
          </w:tcPr>
          <w:p w14:paraId="2A4AF1D0" w14:textId="77777777" w:rsidR="00BF4529" w:rsidRDefault="00BF4529" w:rsidP="00BF4529">
            <w:pPr>
              <w:pStyle w:val="TableBlock"/>
              <w:spacing w:before="0"/>
              <w:rPr>
                <w:sz w:val="26"/>
                <w:rtl/>
              </w:rPr>
            </w:pPr>
            <w:r>
              <w:rPr>
                <w:rFonts w:hint="cs"/>
                <w:sz w:val="26"/>
                <w:rtl/>
              </w:rPr>
              <w:t>בסעיף 9 לחוק העיקרי –</w:t>
            </w:r>
          </w:p>
        </w:tc>
      </w:tr>
      <w:tr w:rsidR="00BF4529" w14:paraId="75A6FB44" w14:textId="77777777" w:rsidTr="00BF4529">
        <w:trPr>
          <w:cantSplit/>
        </w:trPr>
        <w:tc>
          <w:tcPr>
            <w:tcW w:w="1871" w:type="dxa"/>
            <w:tcMar>
              <w:top w:w="91" w:type="dxa"/>
              <w:left w:w="0" w:type="dxa"/>
              <w:bottom w:w="91" w:type="dxa"/>
              <w:right w:w="0" w:type="dxa"/>
            </w:tcMar>
          </w:tcPr>
          <w:p w14:paraId="56AB587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66E5B20"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2AA9871" w14:textId="77777777" w:rsidR="00BF4529" w:rsidRDefault="00BF4529" w:rsidP="00BF4529">
            <w:pPr>
              <w:pStyle w:val="TableBlock"/>
              <w:spacing w:before="0"/>
              <w:rPr>
                <w:sz w:val="26"/>
                <w:rtl/>
              </w:rPr>
            </w:pPr>
            <w:r>
              <w:rPr>
                <w:rFonts w:hint="cs"/>
                <w:sz w:val="26"/>
                <w:rtl/>
              </w:rPr>
              <w:t>(1)</w:t>
            </w:r>
            <w:r>
              <w:rPr>
                <w:rFonts w:hint="cs"/>
                <w:sz w:val="26"/>
                <w:rtl/>
              </w:rPr>
              <w:tab/>
              <w:t>במקום סעיף קטן (א) יבוא:</w:t>
            </w:r>
          </w:p>
        </w:tc>
      </w:tr>
      <w:tr w:rsidR="00BF4529" w14:paraId="39EDEE4E" w14:textId="77777777" w:rsidTr="00BF4529">
        <w:trPr>
          <w:cantSplit/>
        </w:trPr>
        <w:tc>
          <w:tcPr>
            <w:tcW w:w="1871" w:type="dxa"/>
            <w:tcMar>
              <w:top w:w="91" w:type="dxa"/>
              <w:left w:w="0" w:type="dxa"/>
              <w:bottom w:w="91" w:type="dxa"/>
              <w:right w:w="0" w:type="dxa"/>
            </w:tcMar>
          </w:tcPr>
          <w:p w14:paraId="2202663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1178E2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FB5C0B8"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AAF160E" w14:textId="77777777" w:rsidR="00BF4529" w:rsidRDefault="00BF4529" w:rsidP="00BF4529">
            <w:pPr>
              <w:pStyle w:val="TableBlock"/>
              <w:spacing w:before="0"/>
              <w:rPr>
                <w:sz w:val="26"/>
                <w:rtl/>
              </w:rPr>
            </w:pPr>
            <w:r>
              <w:rPr>
                <w:rFonts w:hint="cs"/>
                <w:sz w:val="26"/>
                <w:rtl/>
              </w:rPr>
              <w:t>"(א)</w:t>
            </w:r>
            <w:r>
              <w:rPr>
                <w:rFonts w:hint="cs"/>
                <w:sz w:val="26"/>
                <w:rtl/>
              </w:rPr>
              <w:t> </w:t>
            </w:r>
            <w:r>
              <w:rPr>
                <w:rFonts w:hint="cs"/>
                <w:sz w:val="26"/>
                <w:rtl/>
              </w:rPr>
              <w:t xml:space="preserve">לרשות יהיו ועדות מחקר שכל אחת מהן תוסמך לגבי מסלול הטבות אחד או יותר. </w:t>
            </w:r>
          </w:p>
        </w:tc>
      </w:tr>
      <w:tr w:rsidR="00BF4529" w14:paraId="2039BA79" w14:textId="77777777" w:rsidTr="00BF4529">
        <w:trPr>
          <w:cantSplit/>
        </w:trPr>
        <w:tc>
          <w:tcPr>
            <w:tcW w:w="1871" w:type="dxa"/>
            <w:tcMar>
              <w:top w:w="91" w:type="dxa"/>
              <w:left w:w="0" w:type="dxa"/>
              <w:bottom w:w="91" w:type="dxa"/>
              <w:right w:w="0" w:type="dxa"/>
            </w:tcMar>
          </w:tcPr>
          <w:p w14:paraId="77DBEA4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AB835C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F42149"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0BADA904" w14:textId="77777777" w:rsidR="00BF4529" w:rsidRDefault="00BF4529" w:rsidP="00BF4529">
            <w:pPr>
              <w:pStyle w:val="TableBlock"/>
              <w:spacing w:before="0"/>
              <w:rPr>
                <w:sz w:val="26"/>
                <w:rtl/>
              </w:rPr>
            </w:pPr>
            <w:r>
              <w:rPr>
                <w:rFonts w:hint="cs"/>
                <w:sz w:val="26"/>
                <w:rtl/>
              </w:rPr>
              <w:t>(א1)</w:t>
            </w:r>
            <w:r>
              <w:rPr>
                <w:rFonts w:hint="cs"/>
                <w:sz w:val="26"/>
                <w:rtl/>
              </w:rPr>
              <w:t> </w:t>
            </w:r>
            <w:r>
              <w:rPr>
                <w:rFonts w:hint="cs"/>
                <w:sz w:val="26"/>
                <w:rtl/>
              </w:rPr>
              <w:t>בוועדות המחקר יהיו תשעה חברים, והם:</w:t>
            </w:r>
          </w:p>
        </w:tc>
      </w:tr>
      <w:tr w:rsidR="00BF4529" w14:paraId="19EA5A19" w14:textId="77777777" w:rsidTr="00BF4529">
        <w:trPr>
          <w:cantSplit/>
        </w:trPr>
        <w:tc>
          <w:tcPr>
            <w:tcW w:w="1871" w:type="dxa"/>
            <w:tcMar>
              <w:top w:w="91" w:type="dxa"/>
              <w:left w:w="0" w:type="dxa"/>
              <w:bottom w:w="91" w:type="dxa"/>
              <w:right w:w="0" w:type="dxa"/>
            </w:tcMar>
          </w:tcPr>
          <w:p w14:paraId="61B37A6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D6B1E4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1755C5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653C12"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2CBE41AD" w14:textId="77777777" w:rsidR="00BF4529" w:rsidRDefault="00BF4529" w:rsidP="00BF4529">
            <w:pPr>
              <w:pStyle w:val="TableBlock"/>
              <w:spacing w:before="0"/>
              <w:rPr>
                <w:sz w:val="26"/>
                <w:rtl/>
              </w:rPr>
            </w:pPr>
            <w:r>
              <w:rPr>
                <w:rFonts w:hint="cs"/>
                <w:sz w:val="26"/>
                <w:rtl/>
              </w:rPr>
              <w:t>(1)</w:t>
            </w:r>
            <w:r>
              <w:rPr>
                <w:rFonts w:hint="cs"/>
                <w:sz w:val="26"/>
                <w:rtl/>
              </w:rPr>
              <w:tab/>
              <w:t>ראש הרשות, והוא יהיה היושב ראש כאמור בסעיף 7;</w:t>
            </w:r>
          </w:p>
        </w:tc>
      </w:tr>
      <w:tr w:rsidR="00BF4529" w14:paraId="24C5B0AA" w14:textId="77777777" w:rsidTr="00BF4529">
        <w:trPr>
          <w:cantSplit/>
        </w:trPr>
        <w:tc>
          <w:tcPr>
            <w:tcW w:w="1871" w:type="dxa"/>
            <w:tcMar>
              <w:top w:w="91" w:type="dxa"/>
              <w:left w:w="0" w:type="dxa"/>
              <w:bottom w:w="91" w:type="dxa"/>
              <w:right w:w="0" w:type="dxa"/>
            </w:tcMar>
          </w:tcPr>
          <w:p w14:paraId="4E8F392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790D00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8A941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5FD228"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3B0E0AEB" w14:textId="77777777" w:rsidR="00BF4529" w:rsidRDefault="00BF4529" w:rsidP="00BF4529">
            <w:pPr>
              <w:pStyle w:val="TableBlock"/>
              <w:spacing w:before="0"/>
              <w:rPr>
                <w:sz w:val="26"/>
                <w:rtl/>
              </w:rPr>
            </w:pPr>
            <w:r>
              <w:rPr>
                <w:rFonts w:hint="cs"/>
                <w:sz w:val="26"/>
                <w:rtl/>
              </w:rPr>
              <w:t>(2)</w:t>
            </w:r>
            <w:r>
              <w:rPr>
                <w:rFonts w:hint="cs"/>
                <w:sz w:val="26"/>
                <w:rtl/>
              </w:rPr>
              <w:tab/>
              <w:t>המנהל הכללי של הרשות;</w:t>
            </w:r>
          </w:p>
        </w:tc>
      </w:tr>
      <w:tr w:rsidR="00BF4529" w14:paraId="2F09E345" w14:textId="77777777" w:rsidTr="00BF4529">
        <w:trPr>
          <w:cantSplit/>
        </w:trPr>
        <w:tc>
          <w:tcPr>
            <w:tcW w:w="1871" w:type="dxa"/>
            <w:tcMar>
              <w:top w:w="91" w:type="dxa"/>
              <w:left w:w="0" w:type="dxa"/>
              <w:bottom w:w="91" w:type="dxa"/>
              <w:right w:w="0" w:type="dxa"/>
            </w:tcMar>
          </w:tcPr>
          <w:p w14:paraId="4F1734A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84D0FF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F6B44C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139BD3C"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7F1DA32D" w14:textId="77777777" w:rsidR="00BF4529" w:rsidRDefault="00BF4529" w:rsidP="00BF4529">
            <w:pPr>
              <w:pStyle w:val="TableBlock"/>
              <w:spacing w:before="0"/>
              <w:rPr>
                <w:sz w:val="26"/>
                <w:rtl/>
              </w:rPr>
            </w:pPr>
            <w:r>
              <w:rPr>
                <w:rFonts w:hint="cs"/>
                <w:sz w:val="26"/>
                <w:rtl/>
              </w:rPr>
              <w:t>(3)</w:t>
            </w:r>
            <w:r>
              <w:rPr>
                <w:rFonts w:hint="cs"/>
                <w:sz w:val="26"/>
                <w:rtl/>
              </w:rPr>
              <w:tab/>
              <w:t>עובד הרשות שימנה המנהל הכללי של הרשות;</w:t>
            </w:r>
          </w:p>
        </w:tc>
      </w:tr>
      <w:tr w:rsidR="00BF4529" w14:paraId="30751A20" w14:textId="77777777" w:rsidTr="00BF4529">
        <w:trPr>
          <w:cantSplit/>
        </w:trPr>
        <w:tc>
          <w:tcPr>
            <w:tcW w:w="1871" w:type="dxa"/>
            <w:tcMar>
              <w:top w:w="91" w:type="dxa"/>
              <w:left w:w="0" w:type="dxa"/>
              <w:bottom w:w="91" w:type="dxa"/>
              <w:right w:w="0" w:type="dxa"/>
            </w:tcMar>
          </w:tcPr>
          <w:p w14:paraId="2960938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908642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1F627C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608C0D"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71E9C69B" w14:textId="77777777" w:rsidR="00BF4529" w:rsidRDefault="00BF4529" w:rsidP="00BF4529">
            <w:pPr>
              <w:pStyle w:val="TableBlock"/>
              <w:spacing w:before="0"/>
              <w:rPr>
                <w:sz w:val="26"/>
                <w:rtl/>
              </w:rPr>
            </w:pPr>
            <w:r>
              <w:rPr>
                <w:rFonts w:hint="cs"/>
                <w:sz w:val="26"/>
                <w:rtl/>
              </w:rPr>
              <w:t>(4)</w:t>
            </w:r>
            <w:r>
              <w:rPr>
                <w:rFonts w:hint="cs"/>
                <w:sz w:val="26"/>
                <w:rtl/>
              </w:rPr>
              <w:tab/>
              <w:t>עובד משרד הכלכלה בעל תואר אקדמי בתחומים הנוגעים לעבודת הוועדות, שימנה המנהל הכללי של משרד הכלכלה;</w:t>
            </w:r>
          </w:p>
        </w:tc>
      </w:tr>
      <w:tr w:rsidR="00BF4529" w14:paraId="6F59FC2D" w14:textId="77777777" w:rsidTr="00BF4529">
        <w:trPr>
          <w:cantSplit/>
        </w:trPr>
        <w:tc>
          <w:tcPr>
            <w:tcW w:w="1871" w:type="dxa"/>
            <w:tcMar>
              <w:top w:w="91" w:type="dxa"/>
              <w:left w:w="0" w:type="dxa"/>
              <w:bottom w:w="91" w:type="dxa"/>
              <w:right w:w="0" w:type="dxa"/>
            </w:tcMar>
          </w:tcPr>
          <w:p w14:paraId="1778142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4AA879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20A11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D1E013"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498E337C" w14:textId="77777777" w:rsidR="00BF4529" w:rsidRDefault="00BF4529" w:rsidP="00BF4529">
            <w:pPr>
              <w:pStyle w:val="TableBlock"/>
              <w:spacing w:before="0"/>
              <w:rPr>
                <w:sz w:val="26"/>
                <w:rtl/>
              </w:rPr>
            </w:pPr>
            <w:r>
              <w:rPr>
                <w:rFonts w:hint="cs"/>
                <w:sz w:val="26"/>
                <w:rtl/>
              </w:rPr>
              <w:t>(5)</w:t>
            </w:r>
            <w:r>
              <w:rPr>
                <w:rFonts w:hint="cs"/>
                <w:sz w:val="26"/>
                <w:rtl/>
              </w:rPr>
              <w:tab/>
              <w:t>נציג הממונה על התקציבים במשרד האוצר שימנה שר האוצר;</w:t>
            </w:r>
          </w:p>
        </w:tc>
      </w:tr>
      <w:tr w:rsidR="00BF4529" w14:paraId="36643720" w14:textId="77777777" w:rsidTr="00BF4529">
        <w:trPr>
          <w:cantSplit/>
        </w:trPr>
        <w:tc>
          <w:tcPr>
            <w:tcW w:w="1871" w:type="dxa"/>
            <w:tcMar>
              <w:top w:w="91" w:type="dxa"/>
              <w:left w:w="0" w:type="dxa"/>
              <w:bottom w:w="91" w:type="dxa"/>
              <w:right w:w="0" w:type="dxa"/>
            </w:tcMar>
          </w:tcPr>
          <w:p w14:paraId="6A2C4C4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076F21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3171C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E7E0CD"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0FA7E0B5" w14:textId="77777777" w:rsidR="00BF4529" w:rsidRDefault="00BF4529" w:rsidP="00BF4529">
            <w:pPr>
              <w:pStyle w:val="TableBlock"/>
              <w:spacing w:before="0"/>
              <w:rPr>
                <w:sz w:val="26"/>
                <w:rtl/>
              </w:rPr>
            </w:pPr>
            <w:r>
              <w:rPr>
                <w:rFonts w:hint="cs"/>
                <w:sz w:val="26"/>
                <w:rtl/>
              </w:rPr>
              <w:t>(6)</w:t>
            </w:r>
            <w:r>
              <w:rPr>
                <w:rFonts w:hint="cs"/>
                <w:sz w:val="26"/>
                <w:rtl/>
              </w:rPr>
              <w:tab/>
              <w:t>נציג החשב הכללי במשרד האוצר שימנה שר האוצר;</w:t>
            </w:r>
          </w:p>
        </w:tc>
      </w:tr>
      <w:tr w:rsidR="00BF4529" w14:paraId="071A010B" w14:textId="77777777" w:rsidTr="00BF4529">
        <w:trPr>
          <w:cantSplit/>
        </w:trPr>
        <w:tc>
          <w:tcPr>
            <w:tcW w:w="1871" w:type="dxa"/>
            <w:tcMar>
              <w:top w:w="91" w:type="dxa"/>
              <w:left w:w="0" w:type="dxa"/>
              <w:bottom w:w="91" w:type="dxa"/>
              <w:right w:w="0" w:type="dxa"/>
            </w:tcMar>
          </w:tcPr>
          <w:p w14:paraId="3DA3A96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AA5D78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7499E4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E4A9E0E"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4F9E4DC3" w14:textId="77777777" w:rsidR="00BF4529" w:rsidRDefault="00BF4529" w:rsidP="00BF4529">
            <w:pPr>
              <w:pStyle w:val="TableBlock"/>
              <w:spacing w:before="0"/>
              <w:rPr>
                <w:sz w:val="26"/>
                <w:rtl/>
              </w:rPr>
            </w:pPr>
            <w:r>
              <w:rPr>
                <w:rFonts w:hint="cs"/>
                <w:sz w:val="26"/>
                <w:rtl/>
              </w:rPr>
              <w:t>(7)</w:t>
            </w:r>
            <w:r>
              <w:rPr>
                <w:rFonts w:hint="cs"/>
                <w:sz w:val="26"/>
                <w:rtl/>
              </w:rPr>
              <w:tab/>
              <w:t>שלושה חברים מקרב הציבור.</w:t>
            </w:r>
          </w:p>
        </w:tc>
      </w:tr>
      <w:tr w:rsidR="00BF4529" w14:paraId="06977061" w14:textId="77777777" w:rsidTr="00BF4529">
        <w:trPr>
          <w:cantSplit/>
        </w:trPr>
        <w:tc>
          <w:tcPr>
            <w:tcW w:w="1871" w:type="dxa"/>
            <w:tcMar>
              <w:top w:w="85" w:type="dxa"/>
              <w:left w:w="0" w:type="dxa"/>
              <w:bottom w:w="85" w:type="dxa"/>
              <w:right w:w="0" w:type="dxa"/>
            </w:tcMar>
          </w:tcPr>
          <w:p w14:paraId="0BA6B640"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15AA7205"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46E4E935" w14:textId="77777777" w:rsidR="00BF4529" w:rsidRDefault="00BF4529" w:rsidP="00BF4529">
            <w:pPr>
              <w:pStyle w:val="TableText"/>
              <w:spacing w:before="0"/>
              <w:rPr>
                <w:sz w:val="26"/>
                <w:rtl/>
              </w:rPr>
            </w:pPr>
          </w:p>
        </w:tc>
        <w:tc>
          <w:tcPr>
            <w:tcW w:w="6522" w:type="dxa"/>
            <w:gridSpan w:val="6"/>
            <w:tcMar>
              <w:top w:w="85" w:type="dxa"/>
              <w:left w:w="0" w:type="dxa"/>
              <w:bottom w:w="85" w:type="dxa"/>
              <w:right w:w="0" w:type="dxa"/>
            </w:tcMar>
            <w:hideMark/>
          </w:tcPr>
          <w:p w14:paraId="56D3635B" w14:textId="77777777" w:rsidR="00BF4529" w:rsidRDefault="00BF4529" w:rsidP="00BF4529">
            <w:pPr>
              <w:pStyle w:val="TableBlock"/>
              <w:spacing w:before="0"/>
              <w:rPr>
                <w:sz w:val="26"/>
                <w:rtl/>
              </w:rPr>
            </w:pPr>
            <w:r>
              <w:rPr>
                <w:rFonts w:hint="cs"/>
                <w:sz w:val="26"/>
                <w:rtl/>
              </w:rPr>
              <w:t xml:space="preserve">(א2) </w:t>
            </w:r>
            <w:r>
              <w:rPr>
                <w:rFonts w:hint="cs"/>
                <w:sz w:val="26"/>
                <w:rtl/>
              </w:rPr>
              <w:tab/>
              <w:t>כשיר להתמנות לחבר מקרב הציבור מי שהוא בעל ניסיון תעסוקתי או מחקרי משמעותי בתחום הנוגע למסלול ההטבות שבו עוסקת הוועדה, ולפחות אחד מהחברים מקרב הציבור יהיה בעל ניסיון משמעותי בתחום החדשנות הטכנולוגית בתעשייה מקרב התעשיינים.</w:t>
            </w:r>
          </w:p>
        </w:tc>
      </w:tr>
      <w:tr w:rsidR="00BF4529" w14:paraId="6EC9B443" w14:textId="77777777" w:rsidTr="00BF4529">
        <w:trPr>
          <w:cantSplit/>
        </w:trPr>
        <w:tc>
          <w:tcPr>
            <w:tcW w:w="1871" w:type="dxa"/>
            <w:tcMar>
              <w:top w:w="85" w:type="dxa"/>
              <w:left w:w="0" w:type="dxa"/>
              <w:bottom w:w="85" w:type="dxa"/>
              <w:right w:w="0" w:type="dxa"/>
            </w:tcMar>
          </w:tcPr>
          <w:p w14:paraId="7ABEF64D" w14:textId="77777777" w:rsidR="00BF4529" w:rsidRDefault="00BF4529" w:rsidP="00BF4529">
            <w:pPr>
              <w:pStyle w:val="TableSideHeading"/>
              <w:spacing w:before="0" w:line="276" w:lineRule="auto"/>
              <w:jc w:val="left"/>
              <w:rPr>
                <w:sz w:val="24"/>
                <w:szCs w:val="24"/>
                <w:rtl/>
              </w:rPr>
            </w:pPr>
          </w:p>
        </w:tc>
        <w:tc>
          <w:tcPr>
            <w:tcW w:w="624" w:type="dxa"/>
            <w:tcMar>
              <w:top w:w="85" w:type="dxa"/>
              <w:left w:w="0" w:type="dxa"/>
              <w:bottom w:w="85" w:type="dxa"/>
              <w:right w:w="0" w:type="dxa"/>
            </w:tcMar>
          </w:tcPr>
          <w:p w14:paraId="0AFBE99A"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7D3D75B5" w14:textId="77777777" w:rsidR="00BF4529" w:rsidRDefault="00BF4529" w:rsidP="00BF4529">
            <w:pPr>
              <w:pStyle w:val="TableText"/>
              <w:spacing w:before="0"/>
              <w:rPr>
                <w:sz w:val="26"/>
                <w:rtl/>
              </w:rPr>
            </w:pPr>
          </w:p>
        </w:tc>
        <w:tc>
          <w:tcPr>
            <w:tcW w:w="6522" w:type="dxa"/>
            <w:gridSpan w:val="6"/>
            <w:tcMar>
              <w:top w:w="85" w:type="dxa"/>
              <w:left w:w="0" w:type="dxa"/>
              <w:bottom w:w="85" w:type="dxa"/>
              <w:right w:w="0" w:type="dxa"/>
            </w:tcMar>
            <w:hideMark/>
          </w:tcPr>
          <w:p w14:paraId="39D9ACDF" w14:textId="77777777" w:rsidR="00BF4529" w:rsidRDefault="00BF4529" w:rsidP="00BF4529">
            <w:pPr>
              <w:pStyle w:val="TableBlock"/>
              <w:spacing w:before="0"/>
              <w:rPr>
                <w:sz w:val="26"/>
                <w:rtl/>
              </w:rPr>
            </w:pPr>
            <w:r>
              <w:rPr>
                <w:rFonts w:hint="cs"/>
                <w:sz w:val="26"/>
                <w:rtl/>
              </w:rPr>
              <w:t xml:space="preserve">(א3) </w:t>
            </w:r>
            <w:r>
              <w:rPr>
                <w:rFonts w:hint="cs"/>
                <w:sz w:val="26"/>
                <w:rtl/>
              </w:rPr>
              <w:tab/>
              <w:t>החברים מקרב הציבור ימונו בידי ועדת משנה שתקים המועצה; בוועדת המשנה יהיו חברים ראש הרשות, שיכהן כיושב ראש ועדת המשנה, המנהל הכללי של הרשות ואחד מעובדי משרד האוצר החברים במועצה לפי החלטת המועצה, וכן שניים מהחברים מקרב הציבור במועצה; מניין חוקי בישיבות ועדת המשנה יכלול לכל היותר נציג ציבור אחד.</w:t>
            </w:r>
          </w:p>
        </w:tc>
      </w:tr>
      <w:tr w:rsidR="00BF4529" w14:paraId="096C4EF4" w14:textId="77777777" w:rsidTr="00BF4529">
        <w:trPr>
          <w:cantSplit/>
        </w:trPr>
        <w:tc>
          <w:tcPr>
            <w:tcW w:w="1871" w:type="dxa"/>
            <w:tcMar>
              <w:top w:w="85" w:type="dxa"/>
              <w:left w:w="0" w:type="dxa"/>
              <w:bottom w:w="85" w:type="dxa"/>
              <w:right w:w="0" w:type="dxa"/>
            </w:tcMar>
          </w:tcPr>
          <w:p w14:paraId="4B155298"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0C0E6C8F"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20676D89" w14:textId="77777777" w:rsidR="00BF4529" w:rsidRDefault="00BF4529" w:rsidP="00BF4529">
            <w:pPr>
              <w:pStyle w:val="TableText"/>
              <w:spacing w:before="0"/>
              <w:rPr>
                <w:sz w:val="26"/>
                <w:rtl/>
              </w:rPr>
            </w:pPr>
          </w:p>
        </w:tc>
        <w:tc>
          <w:tcPr>
            <w:tcW w:w="6522" w:type="dxa"/>
            <w:gridSpan w:val="6"/>
            <w:tcMar>
              <w:top w:w="85" w:type="dxa"/>
              <w:left w:w="0" w:type="dxa"/>
              <w:bottom w:w="85" w:type="dxa"/>
              <w:right w:w="0" w:type="dxa"/>
            </w:tcMar>
            <w:hideMark/>
          </w:tcPr>
          <w:p w14:paraId="3AE1F477" w14:textId="77777777" w:rsidR="00BF4529" w:rsidRDefault="00BF4529" w:rsidP="00BF4529">
            <w:pPr>
              <w:pStyle w:val="TableBlock"/>
              <w:spacing w:before="0"/>
              <w:rPr>
                <w:rtl/>
              </w:rPr>
            </w:pPr>
            <w:r>
              <w:rPr>
                <w:rFonts w:hint="cs"/>
                <w:rtl/>
              </w:rPr>
              <w:t>(א4)</w:t>
            </w:r>
            <w:r>
              <w:rPr>
                <w:rFonts w:hint="cs"/>
                <w:rtl/>
              </w:rPr>
              <w:t> </w:t>
            </w:r>
            <w:r>
              <w:rPr>
                <w:rFonts w:hint="cs"/>
                <w:rtl/>
              </w:rPr>
              <w:t>על אף האמור בסעיף קטן (א1), המועצה רשאית, בהוראות המסדירות את מסלולי ההטבות –</w:t>
            </w:r>
          </w:p>
        </w:tc>
      </w:tr>
      <w:tr w:rsidR="00BF4529" w14:paraId="29CA7C83" w14:textId="77777777" w:rsidTr="00BF4529">
        <w:trPr>
          <w:cantSplit/>
        </w:trPr>
        <w:tc>
          <w:tcPr>
            <w:tcW w:w="1871" w:type="dxa"/>
            <w:tcMar>
              <w:top w:w="85" w:type="dxa"/>
              <w:left w:w="0" w:type="dxa"/>
              <w:bottom w:w="85" w:type="dxa"/>
              <w:right w:w="0" w:type="dxa"/>
            </w:tcMar>
          </w:tcPr>
          <w:p w14:paraId="1B1D9254" w14:textId="77777777" w:rsidR="00BF4529" w:rsidRDefault="00BF4529" w:rsidP="00BF4529">
            <w:pPr>
              <w:pStyle w:val="TableSideHeading"/>
              <w:spacing w:before="0" w:line="276" w:lineRule="auto"/>
              <w:jc w:val="left"/>
              <w:rPr>
                <w:sz w:val="24"/>
                <w:szCs w:val="24"/>
                <w:rtl/>
              </w:rPr>
            </w:pPr>
          </w:p>
        </w:tc>
        <w:tc>
          <w:tcPr>
            <w:tcW w:w="624" w:type="dxa"/>
            <w:tcMar>
              <w:top w:w="85" w:type="dxa"/>
              <w:left w:w="0" w:type="dxa"/>
              <w:bottom w:w="85" w:type="dxa"/>
              <w:right w:w="0" w:type="dxa"/>
            </w:tcMar>
          </w:tcPr>
          <w:p w14:paraId="58835005"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40A1AFCD"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15E2191A" w14:textId="77777777" w:rsidR="00BF4529" w:rsidRDefault="00BF4529" w:rsidP="00BF4529">
            <w:pPr>
              <w:pStyle w:val="TableText"/>
              <w:spacing w:before="0"/>
              <w:rPr>
                <w:sz w:val="26"/>
                <w:rtl/>
              </w:rPr>
            </w:pPr>
          </w:p>
        </w:tc>
        <w:tc>
          <w:tcPr>
            <w:tcW w:w="5898" w:type="dxa"/>
            <w:gridSpan w:val="5"/>
            <w:tcMar>
              <w:top w:w="85" w:type="dxa"/>
              <w:left w:w="0" w:type="dxa"/>
              <w:bottom w:w="85" w:type="dxa"/>
              <w:right w:w="0" w:type="dxa"/>
            </w:tcMar>
            <w:hideMark/>
          </w:tcPr>
          <w:p w14:paraId="1DE9B4D1" w14:textId="77777777" w:rsidR="00BF4529" w:rsidRDefault="00BF4529" w:rsidP="00BF4529">
            <w:pPr>
              <w:pStyle w:val="TableBlock"/>
              <w:spacing w:before="0"/>
              <w:rPr>
                <w:sz w:val="26"/>
                <w:rtl/>
              </w:rPr>
            </w:pPr>
            <w:r>
              <w:rPr>
                <w:rFonts w:hint="cs"/>
                <w:sz w:val="26"/>
                <w:rtl/>
              </w:rPr>
              <w:t>(1)</w:t>
            </w:r>
            <w:r>
              <w:rPr>
                <w:rFonts w:hint="cs"/>
                <w:sz w:val="26"/>
                <w:rtl/>
              </w:rPr>
              <w:tab/>
              <w:t>לשנות את הרכב ועדות המחקר, למעט לגבי השתתפות חברי ועדה שהם עובדי המדינה, ובלבד שלפחות שלושה חברים יהיו חברים מקרב הציבור;</w:t>
            </w:r>
          </w:p>
        </w:tc>
      </w:tr>
      <w:tr w:rsidR="00BF4529" w14:paraId="26696AB1" w14:textId="77777777" w:rsidTr="00BF4529">
        <w:trPr>
          <w:cantSplit/>
        </w:trPr>
        <w:tc>
          <w:tcPr>
            <w:tcW w:w="1871" w:type="dxa"/>
            <w:tcMar>
              <w:top w:w="85" w:type="dxa"/>
              <w:left w:w="0" w:type="dxa"/>
              <w:bottom w:w="85" w:type="dxa"/>
              <w:right w:w="0" w:type="dxa"/>
            </w:tcMar>
          </w:tcPr>
          <w:p w14:paraId="5817651C"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148ED3DE"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4662A651"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519353E1" w14:textId="77777777" w:rsidR="00BF4529" w:rsidRDefault="00BF4529" w:rsidP="00BF4529">
            <w:pPr>
              <w:pStyle w:val="TableText"/>
              <w:spacing w:before="0"/>
              <w:rPr>
                <w:sz w:val="26"/>
                <w:rtl/>
              </w:rPr>
            </w:pPr>
          </w:p>
        </w:tc>
        <w:tc>
          <w:tcPr>
            <w:tcW w:w="5898" w:type="dxa"/>
            <w:gridSpan w:val="5"/>
            <w:tcMar>
              <w:top w:w="85" w:type="dxa"/>
              <w:left w:w="0" w:type="dxa"/>
              <w:bottom w:w="85" w:type="dxa"/>
              <w:right w:w="0" w:type="dxa"/>
            </w:tcMar>
            <w:hideMark/>
          </w:tcPr>
          <w:p w14:paraId="1C05D281" w14:textId="77777777" w:rsidR="00BF4529" w:rsidRDefault="00BF4529" w:rsidP="00BF4529">
            <w:pPr>
              <w:pStyle w:val="TableBlock"/>
              <w:spacing w:before="0"/>
              <w:rPr>
                <w:sz w:val="26"/>
                <w:rtl/>
              </w:rPr>
            </w:pPr>
            <w:r>
              <w:rPr>
                <w:rFonts w:hint="cs"/>
                <w:sz w:val="26"/>
                <w:rtl/>
              </w:rPr>
              <w:t>(2)</w:t>
            </w:r>
            <w:r>
              <w:rPr>
                <w:rFonts w:hint="cs"/>
                <w:sz w:val="26"/>
                <w:rtl/>
              </w:rPr>
              <w:tab/>
              <w:t>להסמיך את ראש הרשות למנות ועדות משנה מקרב חברי ועדות המחקר, ולקבוע את פעולות העזר שוועדות המשנה יוכלו לבצע לשם פעילות ועדות המחקר.";</w:t>
            </w:r>
          </w:p>
        </w:tc>
      </w:tr>
      <w:tr w:rsidR="00BF4529" w14:paraId="6502F3A6" w14:textId="77777777" w:rsidTr="00BF4529">
        <w:trPr>
          <w:cantSplit/>
        </w:trPr>
        <w:tc>
          <w:tcPr>
            <w:tcW w:w="1871" w:type="dxa"/>
            <w:tcMar>
              <w:top w:w="85" w:type="dxa"/>
              <w:left w:w="0" w:type="dxa"/>
              <w:bottom w:w="85" w:type="dxa"/>
              <w:right w:w="0" w:type="dxa"/>
            </w:tcMar>
          </w:tcPr>
          <w:p w14:paraId="352EDB3F"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619DDCA5" w14:textId="77777777" w:rsidR="00BF4529" w:rsidRDefault="00BF4529" w:rsidP="00BF4529">
            <w:pPr>
              <w:pStyle w:val="TableText"/>
              <w:spacing w:before="0"/>
              <w:rPr>
                <w:sz w:val="26"/>
                <w:rtl/>
              </w:rPr>
            </w:pPr>
          </w:p>
        </w:tc>
        <w:tc>
          <w:tcPr>
            <w:tcW w:w="7146" w:type="dxa"/>
            <w:gridSpan w:val="7"/>
            <w:tcMar>
              <w:top w:w="85" w:type="dxa"/>
              <w:left w:w="0" w:type="dxa"/>
              <w:bottom w:w="85" w:type="dxa"/>
              <w:right w:w="0" w:type="dxa"/>
            </w:tcMar>
            <w:hideMark/>
          </w:tcPr>
          <w:p w14:paraId="0026A134" w14:textId="77777777" w:rsidR="00BF4529" w:rsidRDefault="00BF4529" w:rsidP="00BF4529">
            <w:pPr>
              <w:pStyle w:val="TableBlock"/>
              <w:spacing w:before="0"/>
              <w:rPr>
                <w:sz w:val="26"/>
                <w:rtl/>
              </w:rPr>
            </w:pPr>
            <w:r>
              <w:rPr>
                <w:rFonts w:hint="cs"/>
                <w:sz w:val="26"/>
                <w:rtl/>
              </w:rPr>
              <w:t>(2)</w:t>
            </w:r>
            <w:r>
              <w:rPr>
                <w:rFonts w:hint="cs"/>
                <w:sz w:val="26"/>
                <w:rtl/>
              </w:rPr>
              <w:tab/>
              <w:t>בסעיף קטן (ב), במקום "שהוא נציג ציבור" יבוא "מקרב הציבור";</w:t>
            </w:r>
          </w:p>
        </w:tc>
      </w:tr>
      <w:tr w:rsidR="00BF4529" w14:paraId="3FBF1C71" w14:textId="77777777" w:rsidTr="00BF4529">
        <w:trPr>
          <w:cantSplit/>
        </w:trPr>
        <w:tc>
          <w:tcPr>
            <w:tcW w:w="1871" w:type="dxa"/>
            <w:tcMar>
              <w:top w:w="85" w:type="dxa"/>
              <w:left w:w="0" w:type="dxa"/>
              <w:bottom w:w="85" w:type="dxa"/>
              <w:right w:w="0" w:type="dxa"/>
            </w:tcMar>
          </w:tcPr>
          <w:p w14:paraId="3D4A0425"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5B8DC353" w14:textId="77777777" w:rsidR="00BF4529" w:rsidRDefault="00BF4529" w:rsidP="00BF4529">
            <w:pPr>
              <w:pStyle w:val="TableText"/>
              <w:spacing w:before="0"/>
              <w:rPr>
                <w:sz w:val="26"/>
                <w:rtl/>
              </w:rPr>
            </w:pPr>
          </w:p>
        </w:tc>
        <w:tc>
          <w:tcPr>
            <w:tcW w:w="7146" w:type="dxa"/>
            <w:gridSpan w:val="7"/>
            <w:tcMar>
              <w:top w:w="85" w:type="dxa"/>
              <w:left w:w="0" w:type="dxa"/>
              <w:bottom w:w="85" w:type="dxa"/>
              <w:right w:w="0" w:type="dxa"/>
            </w:tcMar>
            <w:hideMark/>
          </w:tcPr>
          <w:p w14:paraId="688B36B8" w14:textId="77777777" w:rsidR="00BF4529" w:rsidRDefault="00BF4529" w:rsidP="00BF4529">
            <w:pPr>
              <w:pStyle w:val="TableBlock"/>
              <w:spacing w:before="0"/>
              <w:rPr>
                <w:sz w:val="26"/>
                <w:rtl/>
              </w:rPr>
            </w:pPr>
            <w:r>
              <w:rPr>
                <w:rFonts w:hint="cs"/>
                <w:sz w:val="26"/>
                <w:rtl/>
              </w:rPr>
              <w:t>(3)</w:t>
            </w:r>
            <w:r>
              <w:rPr>
                <w:rFonts w:hint="cs"/>
                <w:sz w:val="26"/>
                <w:rtl/>
              </w:rPr>
              <w:tab/>
              <w:t>בסעיף קטן (ג), במקום "שהוא נציג ציבור" יבוא "מקרב הציבור" ובמקום הסיפה החל במילים "בשיעורים שנקבעו" יבוא "במסלולי הטבות שבהם נקבע כי ישולם גמול לחברים מקרב הציבור בעד השתתפותם בדיונים, לפי נוהל שקבעה המועצה; על תשלום גמול כאמור יחולו הוראות סעיף 8ג, בשינויים המחויבים.".</w:t>
            </w:r>
          </w:p>
        </w:tc>
      </w:tr>
      <w:tr w:rsidR="00BF4529" w14:paraId="40DFD305" w14:textId="77777777" w:rsidTr="00BF4529">
        <w:trPr>
          <w:cantSplit/>
        </w:trPr>
        <w:tc>
          <w:tcPr>
            <w:tcW w:w="1871" w:type="dxa"/>
            <w:tcMar>
              <w:top w:w="85" w:type="dxa"/>
              <w:left w:w="0" w:type="dxa"/>
              <w:bottom w:w="85" w:type="dxa"/>
              <w:right w:w="0" w:type="dxa"/>
            </w:tcMar>
            <w:hideMark/>
          </w:tcPr>
          <w:p w14:paraId="21B2EE99" w14:textId="77777777" w:rsidR="00BF4529" w:rsidRDefault="00BF4529" w:rsidP="00BF4529">
            <w:pPr>
              <w:pStyle w:val="TableSideHeading"/>
              <w:spacing w:before="0"/>
              <w:jc w:val="left"/>
              <w:rPr>
                <w:sz w:val="26"/>
                <w:rtl/>
              </w:rPr>
            </w:pPr>
            <w:r>
              <w:rPr>
                <w:rFonts w:hint="cs"/>
                <w:sz w:val="26"/>
                <w:rtl/>
              </w:rPr>
              <w:t>תיקון סעיף 9א</w:t>
            </w:r>
          </w:p>
        </w:tc>
        <w:tc>
          <w:tcPr>
            <w:tcW w:w="624" w:type="dxa"/>
            <w:tcMar>
              <w:top w:w="85" w:type="dxa"/>
              <w:left w:w="0" w:type="dxa"/>
              <w:bottom w:w="85" w:type="dxa"/>
              <w:right w:w="0" w:type="dxa"/>
            </w:tcMar>
            <w:hideMark/>
          </w:tcPr>
          <w:p w14:paraId="68782B5C" w14:textId="77777777" w:rsidR="00BF4529" w:rsidRDefault="00BF4529" w:rsidP="00BF4529">
            <w:pPr>
              <w:pStyle w:val="TableText"/>
              <w:spacing w:before="0"/>
              <w:rPr>
                <w:sz w:val="26"/>
                <w:rtl/>
              </w:rPr>
            </w:pPr>
            <w:r>
              <w:rPr>
                <w:rFonts w:hint="cs"/>
                <w:sz w:val="26"/>
                <w:rtl/>
              </w:rPr>
              <w:t>10.</w:t>
            </w:r>
          </w:p>
        </w:tc>
        <w:tc>
          <w:tcPr>
            <w:tcW w:w="7146" w:type="dxa"/>
            <w:gridSpan w:val="7"/>
            <w:tcMar>
              <w:top w:w="85" w:type="dxa"/>
              <w:left w:w="0" w:type="dxa"/>
              <w:bottom w:w="85" w:type="dxa"/>
              <w:right w:w="0" w:type="dxa"/>
            </w:tcMar>
            <w:hideMark/>
          </w:tcPr>
          <w:p w14:paraId="65246912" w14:textId="77777777" w:rsidR="00BF4529" w:rsidRDefault="00BF4529" w:rsidP="00BF4529">
            <w:pPr>
              <w:pStyle w:val="TableBlock"/>
              <w:spacing w:before="0"/>
              <w:rPr>
                <w:sz w:val="26"/>
                <w:rtl/>
              </w:rPr>
            </w:pPr>
            <w:r>
              <w:rPr>
                <w:rFonts w:hint="cs"/>
                <w:sz w:val="26"/>
                <w:rtl/>
              </w:rPr>
              <w:t>בסעיף 9א לחוק העיקרי –</w:t>
            </w:r>
          </w:p>
        </w:tc>
      </w:tr>
      <w:tr w:rsidR="00BF4529" w14:paraId="2C0BE292" w14:textId="77777777" w:rsidTr="00BF4529">
        <w:trPr>
          <w:cantSplit/>
        </w:trPr>
        <w:tc>
          <w:tcPr>
            <w:tcW w:w="1871" w:type="dxa"/>
            <w:tcMar>
              <w:top w:w="85" w:type="dxa"/>
              <w:left w:w="0" w:type="dxa"/>
              <w:bottom w:w="85" w:type="dxa"/>
              <w:right w:w="0" w:type="dxa"/>
            </w:tcMar>
          </w:tcPr>
          <w:p w14:paraId="65AF4DD7"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114A27F2" w14:textId="77777777" w:rsidR="00BF4529" w:rsidRDefault="00BF4529" w:rsidP="00BF4529">
            <w:pPr>
              <w:pStyle w:val="TableText"/>
              <w:spacing w:before="0"/>
              <w:rPr>
                <w:sz w:val="26"/>
                <w:rtl/>
              </w:rPr>
            </w:pPr>
          </w:p>
        </w:tc>
        <w:tc>
          <w:tcPr>
            <w:tcW w:w="7146" w:type="dxa"/>
            <w:gridSpan w:val="7"/>
            <w:tcMar>
              <w:top w:w="85" w:type="dxa"/>
              <w:left w:w="0" w:type="dxa"/>
              <w:bottom w:w="85" w:type="dxa"/>
              <w:right w:w="0" w:type="dxa"/>
            </w:tcMar>
            <w:hideMark/>
          </w:tcPr>
          <w:p w14:paraId="64EB2589" w14:textId="77777777" w:rsidR="00BF4529" w:rsidRDefault="00BF4529" w:rsidP="00BF4529">
            <w:pPr>
              <w:pStyle w:val="TableBlock"/>
              <w:spacing w:before="0"/>
              <w:rPr>
                <w:sz w:val="26"/>
                <w:rtl/>
              </w:rPr>
            </w:pPr>
            <w:r>
              <w:rPr>
                <w:rFonts w:hint="cs"/>
                <w:sz w:val="26"/>
                <w:rtl/>
              </w:rPr>
              <w:t>(1)</w:t>
            </w:r>
            <w:r>
              <w:rPr>
                <w:rFonts w:hint="cs"/>
                <w:sz w:val="26"/>
                <w:rtl/>
              </w:rPr>
              <w:tab/>
              <w:t>בסעיף קטן (א), אחרי פסקה (4) יבוא:</w:t>
            </w:r>
          </w:p>
        </w:tc>
      </w:tr>
      <w:tr w:rsidR="00BF4529" w14:paraId="52162A7F" w14:textId="77777777" w:rsidTr="00BF4529">
        <w:trPr>
          <w:cantSplit/>
        </w:trPr>
        <w:tc>
          <w:tcPr>
            <w:tcW w:w="1871" w:type="dxa"/>
            <w:tcMar>
              <w:top w:w="85" w:type="dxa"/>
              <w:left w:w="0" w:type="dxa"/>
              <w:bottom w:w="85" w:type="dxa"/>
              <w:right w:w="0" w:type="dxa"/>
            </w:tcMar>
          </w:tcPr>
          <w:p w14:paraId="5EFFC0CC"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14943013"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1404F3D7" w14:textId="77777777" w:rsidR="00BF4529" w:rsidRDefault="00BF4529" w:rsidP="00BF4529">
            <w:pPr>
              <w:pStyle w:val="TableText"/>
              <w:spacing w:before="0"/>
              <w:rPr>
                <w:sz w:val="26"/>
                <w:rtl/>
              </w:rPr>
            </w:pPr>
          </w:p>
        </w:tc>
        <w:tc>
          <w:tcPr>
            <w:tcW w:w="6522" w:type="dxa"/>
            <w:gridSpan w:val="6"/>
            <w:tcMar>
              <w:top w:w="85" w:type="dxa"/>
              <w:left w:w="0" w:type="dxa"/>
              <w:bottom w:w="85" w:type="dxa"/>
              <w:right w:w="0" w:type="dxa"/>
            </w:tcMar>
            <w:hideMark/>
          </w:tcPr>
          <w:p w14:paraId="1D0B35A8" w14:textId="77777777" w:rsidR="00BF4529" w:rsidRDefault="00BF4529" w:rsidP="00BF4529">
            <w:pPr>
              <w:pStyle w:val="TableBlock"/>
              <w:spacing w:before="0"/>
              <w:rPr>
                <w:sz w:val="26"/>
                <w:rtl/>
              </w:rPr>
            </w:pPr>
            <w:r>
              <w:rPr>
                <w:rFonts w:hint="cs"/>
                <w:sz w:val="26"/>
                <w:rtl/>
              </w:rPr>
              <w:t>"(5)</w:t>
            </w:r>
            <w:r>
              <w:rPr>
                <w:rFonts w:hint="cs"/>
                <w:sz w:val="26"/>
                <w:rtl/>
              </w:rPr>
              <w:t> </w:t>
            </w:r>
            <w:r>
              <w:rPr>
                <w:rFonts w:hint="cs"/>
                <w:sz w:val="26"/>
                <w:rtl/>
              </w:rPr>
              <w:t>נעדר מארבע ישיבות רצופות של ועדת המחקר או משש ישיבות בתוך שנה, זולת אם השרים קבעו, בהודעה לרשות, שהיתה סיבה מוצדקת להיעדרות;</w:t>
            </w:r>
          </w:p>
        </w:tc>
      </w:tr>
      <w:tr w:rsidR="00BF4529" w14:paraId="54BFCF34" w14:textId="77777777" w:rsidTr="00BF4529">
        <w:trPr>
          <w:cantSplit/>
        </w:trPr>
        <w:tc>
          <w:tcPr>
            <w:tcW w:w="1871" w:type="dxa"/>
            <w:tcMar>
              <w:top w:w="85" w:type="dxa"/>
              <w:left w:w="0" w:type="dxa"/>
              <w:bottom w:w="85" w:type="dxa"/>
              <w:right w:w="0" w:type="dxa"/>
            </w:tcMar>
          </w:tcPr>
          <w:p w14:paraId="37693A61"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5AF178D3" w14:textId="77777777" w:rsidR="00BF4529" w:rsidRDefault="00BF4529" w:rsidP="00BF4529">
            <w:pPr>
              <w:pStyle w:val="TableText"/>
              <w:spacing w:before="0"/>
              <w:rPr>
                <w:sz w:val="26"/>
                <w:rtl/>
              </w:rPr>
            </w:pPr>
          </w:p>
        </w:tc>
        <w:tc>
          <w:tcPr>
            <w:tcW w:w="624" w:type="dxa"/>
            <w:tcMar>
              <w:top w:w="85" w:type="dxa"/>
              <w:left w:w="0" w:type="dxa"/>
              <w:bottom w:w="85" w:type="dxa"/>
              <w:right w:w="0" w:type="dxa"/>
            </w:tcMar>
          </w:tcPr>
          <w:p w14:paraId="7CB50B78" w14:textId="77777777" w:rsidR="00BF4529" w:rsidRDefault="00BF4529" w:rsidP="00BF4529">
            <w:pPr>
              <w:pStyle w:val="TableText"/>
              <w:spacing w:before="0"/>
              <w:rPr>
                <w:sz w:val="26"/>
                <w:rtl/>
              </w:rPr>
            </w:pPr>
          </w:p>
        </w:tc>
        <w:tc>
          <w:tcPr>
            <w:tcW w:w="6522" w:type="dxa"/>
            <w:gridSpan w:val="6"/>
            <w:tcMar>
              <w:top w:w="85" w:type="dxa"/>
              <w:left w:w="0" w:type="dxa"/>
              <w:bottom w:w="85" w:type="dxa"/>
              <w:right w:w="0" w:type="dxa"/>
            </w:tcMar>
            <w:hideMark/>
          </w:tcPr>
          <w:p w14:paraId="4885EC1C" w14:textId="77777777" w:rsidR="00BF4529" w:rsidRDefault="00BF4529" w:rsidP="00BF4529">
            <w:pPr>
              <w:pStyle w:val="TableBlock"/>
              <w:spacing w:before="0"/>
              <w:rPr>
                <w:sz w:val="26"/>
                <w:rtl/>
              </w:rPr>
            </w:pPr>
            <w:r>
              <w:rPr>
                <w:rFonts w:hint="cs"/>
                <w:sz w:val="26"/>
                <w:rtl/>
              </w:rPr>
              <w:t>(6)</w:t>
            </w:r>
            <w:r>
              <w:rPr>
                <w:rFonts w:hint="cs"/>
                <w:sz w:val="26"/>
                <w:rtl/>
              </w:rPr>
              <w:t> </w:t>
            </w:r>
            <w:r>
              <w:rPr>
                <w:rFonts w:hint="cs"/>
                <w:sz w:val="26"/>
                <w:rtl/>
              </w:rPr>
              <w:t>התקיימה בו אחת הנסיבות הפוסלות אדם מהיות חבר המועצה.";</w:t>
            </w:r>
          </w:p>
        </w:tc>
      </w:tr>
      <w:tr w:rsidR="00BF4529" w14:paraId="40909192" w14:textId="77777777" w:rsidTr="00BF4529">
        <w:trPr>
          <w:cantSplit/>
        </w:trPr>
        <w:tc>
          <w:tcPr>
            <w:tcW w:w="1871" w:type="dxa"/>
            <w:tcMar>
              <w:top w:w="85" w:type="dxa"/>
              <w:left w:w="0" w:type="dxa"/>
              <w:bottom w:w="85" w:type="dxa"/>
              <w:right w:w="0" w:type="dxa"/>
            </w:tcMar>
          </w:tcPr>
          <w:p w14:paraId="5D7CE058"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1AB783BC" w14:textId="77777777" w:rsidR="00BF4529" w:rsidRDefault="00BF4529" w:rsidP="00BF4529">
            <w:pPr>
              <w:pStyle w:val="TableText"/>
              <w:spacing w:before="0"/>
              <w:rPr>
                <w:sz w:val="26"/>
                <w:rtl/>
              </w:rPr>
            </w:pPr>
          </w:p>
        </w:tc>
        <w:tc>
          <w:tcPr>
            <w:tcW w:w="7146" w:type="dxa"/>
            <w:gridSpan w:val="7"/>
            <w:tcMar>
              <w:top w:w="85" w:type="dxa"/>
              <w:left w:w="0" w:type="dxa"/>
              <w:bottom w:w="85" w:type="dxa"/>
              <w:right w:w="0" w:type="dxa"/>
            </w:tcMar>
            <w:hideMark/>
          </w:tcPr>
          <w:p w14:paraId="0D458F21" w14:textId="77777777" w:rsidR="00BF4529" w:rsidRDefault="00BF4529" w:rsidP="00BF4529">
            <w:pPr>
              <w:pStyle w:val="TableBlock"/>
              <w:spacing w:before="0"/>
              <w:rPr>
                <w:sz w:val="26"/>
                <w:rtl/>
              </w:rPr>
            </w:pPr>
            <w:r>
              <w:rPr>
                <w:rFonts w:hint="cs"/>
                <w:sz w:val="26"/>
                <w:rtl/>
              </w:rPr>
              <w:t>(2)</w:t>
            </w:r>
            <w:r>
              <w:rPr>
                <w:rFonts w:hint="cs"/>
                <w:sz w:val="26"/>
                <w:rtl/>
              </w:rPr>
              <w:tab/>
              <w:t>בסעיף קטן (ג), אחרי "בסעיף קטן (א)(2)" יבוא "או נחשד בעבירה כאמור".</w:t>
            </w:r>
          </w:p>
        </w:tc>
      </w:tr>
      <w:tr w:rsidR="00BF4529" w14:paraId="144B42E8" w14:textId="77777777" w:rsidTr="00BF4529">
        <w:trPr>
          <w:cantSplit/>
        </w:trPr>
        <w:tc>
          <w:tcPr>
            <w:tcW w:w="1871" w:type="dxa"/>
            <w:tcMar>
              <w:top w:w="85" w:type="dxa"/>
              <w:left w:w="0" w:type="dxa"/>
              <w:bottom w:w="85" w:type="dxa"/>
              <w:right w:w="0" w:type="dxa"/>
            </w:tcMar>
            <w:hideMark/>
          </w:tcPr>
          <w:p w14:paraId="052D6ACE" w14:textId="77777777" w:rsidR="00BF4529" w:rsidRDefault="00BF4529" w:rsidP="00BF4529">
            <w:pPr>
              <w:pStyle w:val="TableSideHeading"/>
              <w:spacing w:before="0"/>
              <w:jc w:val="left"/>
              <w:rPr>
                <w:sz w:val="26"/>
                <w:rtl/>
              </w:rPr>
            </w:pPr>
            <w:r>
              <w:rPr>
                <w:rFonts w:hint="cs"/>
                <w:sz w:val="26"/>
                <w:rtl/>
              </w:rPr>
              <w:t>החלפת סעיף 10</w:t>
            </w:r>
          </w:p>
        </w:tc>
        <w:tc>
          <w:tcPr>
            <w:tcW w:w="624" w:type="dxa"/>
            <w:tcMar>
              <w:top w:w="85" w:type="dxa"/>
              <w:left w:w="0" w:type="dxa"/>
              <w:bottom w:w="85" w:type="dxa"/>
              <w:right w:w="0" w:type="dxa"/>
            </w:tcMar>
            <w:hideMark/>
          </w:tcPr>
          <w:p w14:paraId="3A670F5E" w14:textId="77777777" w:rsidR="00BF4529" w:rsidRDefault="00BF4529" w:rsidP="00BF4529">
            <w:pPr>
              <w:pStyle w:val="TableText"/>
              <w:spacing w:before="0"/>
              <w:rPr>
                <w:sz w:val="26"/>
                <w:rtl/>
              </w:rPr>
            </w:pPr>
            <w:r>
              <w:rPr>
                <w:rFonts w:hint="cs"/>
                <w:sz w:val="26"/>
                <w:rtl/>
              </w:rPr>
              <w:t>11.</w:t>
            </w:r>
          </w:p>
        </w:tc>
        <w:tc>
          <w:tcPr>
            <w:tcW w:w="7146" w:type="dxa"/>
            <w:gridSpan w:val="7"/>
            <w:tcMar>
              <w:top w:w="85" w:type="dxa"/>
              <w:left w:w="0" w:type="dxa"/>
              <w:bottom w:w="85" w:type="dxa"/>
              <w:right w:w="0" w:type="dxa"/>
            </w:tcMar>
            <w:hideMark/>
          </w:tcPr>
          <w:p w14:paraId="1EC55B46" w14:textId="77777777" w:rsidR="00BF4529" w:rsidRDefault="00BF4529" w:rsidP="00BF4529">
            <w:pPr>
              <w:pStyle w:val="TableBlock"/>
              <w:spacing w:before="0"/>
              <w:rPr>
                <w:sz w:val="26"/>
                <w:rtl/>
              </w:rPr>
            </w:pPr>
            <w:r>
              <w:rPr>
                <w:rFonts w:hint="cs"/>
                <w:sz w:val="26"/>
                <w:rtl/>
              </w:rPr>
              <w:t>במקום סעיף 10 לחוק העיקרי יבוא:</w:t>
            </w:r>
          </w:p>
        </w:tc>
      </w:tr>
      <w:tr w:rsidR="00BF4529" w14:paraId="19DECC15" w14:textId="77777777" w:rsidTr="00BF4529">
        <w:trPr>
          <w:cantSplit/>
        </w:trPr>
        <w:tc>
          <w:tcPr>
            <w:tcW w:w="1871" w:type="dxa"/>
            <w:tcMar>
              <w:top w:w="85" w:type="dxa"/>
              <w:left w:w="0" w:type="dxa"/>
              <w:bottom w:w="85" w:type="dxa"/>
              <w:right w:w="0" w:type="dxa"/>
            </w:tcMar>
          </w:tcPr>
          <w:p w14:paraId="265273C8" w14:textId="77777777" w:rsidR="00BF4529" w:rsidRDefault="00BF4529" w:rsidP="00BF4529">
            <w:pPr>
              <w:pStyle w:val="TableSideHeading"/>
              <w:spacing w:before="0"/>
              <w:jc w:val="left"/>
              <w:rPr>
                <w:sz w:val="26"/>
                <w:rtl/>
              </w:rPr>
            </w:pPr>
          </w:p>
        </w:tc>
        <w:tc>
          <w:tcPr>
            <w:tcW w:w="624" w:type="dxa"/>
            <w:tcMar>
              <w:top w:w="85" w:type="dxa"/>
              <w:left w:w="0" w:type="dxa"/>
              <w:bottom w:w="85" w:type="dxa"/>
              <w:right w:w="0" w:type="dxa"/>
            </w:tcMar>
          </w:tcPr>
          <w:p w14:paraId="44308DA8" w14:textId="77777777" w:rsidR="00BF4529" w:rsidRDefault="00BF4529" w:rsidP="00BF4529">
            <w:pPr>
              <w:pStyle w:val="TableText"/>
              <w:spacing w:before="0"/>
              <w:rPr>
                <w:sz w:val="26"/>
                <w:rtl/>
              </w:rPr>
            </w:pPr>
          </w:p>
        </w:tc>
        <w:tc>
          <w:tcPr>
            <w:tcW w:w="1872" w:type="dxa"/>
            <w:gridSpan w:val="3"/>
            <w:tcMar>
              <w:top w:w="85" w:type="dxa"/>
              <w:left w:w="0" w:type="dxa"/>
              <w:bottom w:w="85" w:type="dxa"/>
              <w:right w:w="0" w:type="dxa"/>
            </w:tcMar>
            <w:hideMark/>
          </w:tcPr>
          <w:p w14:paraId="15B7433F" w14:textId="77777777" w:rsidR="00BF4529" w:rsidRDefault="00BF4529" w:rsidP="00BF4529">
            <w:pPr>
              <w:pStyle w:val="TableInnerSideHeading"/>
              <w:spacing w:before="0"/>
              <w:jc w:val="left"/>
              <w:rPr>
                <w:sz w:val="26"/>
                <w:rtl/>
              </w:rPr>
            </w:pPr>
            <w:r>
              <w:rPr>
                <w:rFonts w:hint="cs"/>
                <w:sz w:val="26"/>
                <w:rtl/>
              </w:rPr>
              <w:t>"תפקידי ועדות המחקר</w:t>
            </w:r>
          </w:p>
        </w:tc>
        <w:tc>
          <w:tcPr>
            <w:tcW w:w="624" w:type="dxa"/>
            <w:tcMar>
              <w:top w:w="85" w:type="dxa"/>
              <w:left w:w="0" w:type="dxa"/>
              <w:bottom w:w="85" w:type="dxa"/>
              <w:right w:w="0" w:type="dxa"/>
            </w:tcMar>
            <w:hideMark/>
          </w:tcPr>
          <w:p w14:paraId="329B79DD" w14:textId="77777777" w:rsidR="00BF4529" w:rsidRDefault="00BF4529" w:rsidP="00BF4529">
            <w:pPr>
              <w:pStyle w:val="TableText"/>
              <w:spacing w:before="0"/>
              <w:rPr>
                <w:sz w:val="26"/>
                <w:rtl/>
              </w:rPr>
            </w:pPr>
            <w:r>
              <w:rPr>
                <w:rFonts w:hint="cs"/>
                <w:sz w:val="26"/>
                <w:rtl/>
              </w:rPr>
              <w:t>10.</w:t>
            </w:r>
          </w:p>
        </w:tc>
        <w:tc>
          <w:tcPr>
            <w:tcW w:w="4650" w:type="dxa"/>
            <w:gridSpan w:val="3"/>
            <w:tcMar>
              <w:top w:w="85" w:type="dxa"/>
              <w:left w:w="0" w:type="dxa"/>
              <w:bottom w:w="85" w:type="dxa"/>
              <w:right w:w="0" w:type="dxa"/>
            </w:tcMar>
            <w:hideMark/>
          </w:tcPr>
          <w:p w14:paraId="119EF30C" w14:textId="77777777" w:rsidR="00BF4529" w:rsidRDefault="00BF4529" w:rsidP="00BF4529">
            <w:pPr>
              <w:pStyle w:val="TableBlock"/>
              <w:spacing w:before="0"/>
              <w:rPr>
                <w:sz w:val="26"/>
                <w:rtl/>
              </w:rPr>
            </w:pPr>
            <w:r>
              <w:rPr>
                <w:rFonts w:hint="cs"/>
                <w:sz w:val="26"/>
                <w:rtl/>
              </w:rPr>
              <w:t>(א)</w:t>
            </w:r>
            <w:r>
              <w:rPr>
                <w:rFonts w:hint="cs"/>
                <w:sz w:val="26"/>
                <w:rtl/>
              </w:rPr>
              <w:tab/>
              <w:t>ועדות המחקר יחליטו בדבר הענקת הטבות בהתאם להוראות מסלולי ההטבות שקבעה המועצה ולתקציב שהוקצה להפעלתם; ועדות המחקר יהיו רשאיות לקבוע תנאים למתן ההטבות לשם יישום הוראות מסלולי ההטבות, ובכלל זה לקבוע תנאים מוקדמים ותנאים לביצוע, והכול בכפוף להוראות מסלולי ההטבות שקבעה המועצה.</w:t>
            </w:r>
          </w:p>
        </w:tc>
      </w:tr>
      <w:tr w:rsidR="00BF4529" w14:paraId="5EB736DB" w14:textId="77777777" w:rsidTr="00BF4529">
        <w:trPr>
          <w:cantSplit/>
        </w:trPr>
        <w:tc>
          <w:tcPr>
            <w:tcW w:w="1871" w:type="dxa"/>
            <w:tcMar>
              <w:top w:w="91" w:type="dxa"/>
              <w:left w:w="0" w:type="dxa"/>
              <w:bottom w:w="91" w:type="dxa"/>
              <w:right w:w="0" w:type="dxa"/>
            </w:tcMar>
          </w:tcPr>
          <w:p w14:paraId="1348085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D759D3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1E3BF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EFA13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097C9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FCDDF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FDBCF93" w14:textId="77777777" w:rsidR="00BF4529" w:rsidRDefault="00BF4529" w:rsidP="00BF4529">
            <w:pPr>
              <w:pStyle w:val="TableBlock"/>
              <w:spacing w:before="0"/>
              <w:rPr>
                <w:sz w:val="26"/>
                <w:rtl/>
              </w:rPr>
            </w:pPr>
            <w:r>
              <w:rPr>
                <w:rFonts w:hint="cs"/>
                <w:sz w:val="26"/>
                <w:rtl/>
              </w:rPr>
              <w:t>(ב)</w:t>
            </w:r>
            <w:r>
              <w:rPr>
                <w:rFonts w:hint="cs"/>
                <w:sz w:val="26"/>
                <w:rtl/>
              </w:rPr>
              <w:tab/>
              <w:t>כל שינוי בפעילות שבשלה ניתנה הטבה שאישרה ועדת מחקר במסגרת מסלול הטבות, טעון את אישורה מראש."</w:t>
            </w:r>
          </w:p>
        </w:tc>
      </w:tr>
      <w:tr w:rsidR="00BF4529" w14:paraId="0D41C3FF" w14:textId="77777777" w:rsidTr="00BF4529">
        <w:trPr>
          <w:cantSplit/>
        </w:trPr>
        <w:tc>
          <w:tcPr>
            <w:tcW w:w="1871" w:type="dxa"/>
            <w:tcMar>
              <w:top w:w="91" w:type="dxa"/>
              <w:left w:w="0" w:type="dxa"/>
              <w:bottom w:w="91" w:type="dxa"/>
              <w:right w:w="0" w:type="dxa"/>
            </w:tcMar>
            <w:hideMark/>
          </w:tcPr>
          <w:p w14:paraId="35C06486" w14:textId="77777777" w:rsidR="00BF4529" w:rsidRDefault="00BF4529" w:rsidP="00BF4529">
            <w:pPr>
              <w:pStyle w:val="TableSideHeading"/>
              <w:spacing w:before="0"/>
              <w:jc w:val="left"/>
              <w:rPr>
                <w:sz w:val="26"/>
                <w:rtl/>
              </w:rPr>
            </w:pPr>
            <w:r>
              <w:rPr>
                <w:rFonts w:hint="cs"/>
                <w:sz w:val="26"/>
                <w:rtl/>
              </w:rPr>
              <w:t>תיקון סעיף 10א</w:t>
            </w:r>
          </w:p>
        </w:tc>
        <w:tc>
          <w:tcPr>
            <w:tcW w:w="624" w:type="dxa"/>
            <w:tcMar>
              <w:top w:w="91" w:type="dxa"/>
              <w:left w:w="0" w:type="dxa"/>
              <w:bottom w:w="91" w:type="dxa"/>
              <w:right w:w="0" w:type="dxa"/>
            </w:tcMar>
            <w:hideMark/>
          </w:tcPr>
          <w:p w14:paraId="30DD30E9" w14:textId="77777777" w:rsidR="00BF4529" w:rsidRDefault="00BF4529" w:rsidP="00BF4529">
            <w:pPr>
              <w:pStyle w:val="TableText"/>
              <w:spacing w:before="0"/>
              <w:rPr>
                <w:sz w:val="26"/>
                <w:rtl/>
              </w:rPr>
            </w:pPr>
            <w:r>
              <w:rPr>
                <w:rFonts w:hint="cs"/>
                <w:sz w:val="26"/>
                <w:rtl/>
              </w:rPr>
              <w:t>12.</w:t>
            </w:r>
          </w:p>
        </w:tc>
        <w:tc>
          <w:tcPr>
            <w:tcW w:w="7146" w:type="dxa"/>
            <w:gridSpan w:val="7"/>
            <w:tcMar>
              <w:top w:w="91" w:type="dxa"/>
              <w:left w:w="0" w:type="dxa"/>
              <w:bottom w:w="91" w:type="dxa"/>
              <w:right w:w="0" w:type="dxa"/>
            </w:tcMar>
            <w:hideMark/>
          </w:tcPr>
          <w:p w14:paraId="30AA3862" w14:textId="77777777" w:rsidR="00BF4529" w:rsidRDefault="00BF4529" w:rsidP="00BF4529">
            <w:pPr>
              <w:pStyle w:val="TableBlock"/>
              <w:spacing w:before="0"/>
              <w:rPr>
                <w:sz w:val="26"/>
                <w:rtl/>
              </w:rPr>
            </w:pPr>
            <w:r>
              <w:rPr>
                <w:rFonts w:hint="cs"/>
                <w:sz w:val="26"/>
                <w:rtl/>
              </w:rPr>
              <w:t>בסעיף 10א לחוק העיקרי –</w:t>
            </w:r>
          </w:p>
        </w:tc>
      </w:tr>
      <w:tr w:rsidR="00BF4529" w14:paraId="468732F0" w14:textId="77777777" w:rsidTr="00BF4529">
        <w:trPr>
          <w:cantSplit/>
        </w:trPr>
        <w:tc>
          <w:tcPr>
            <w:tcW w:w="1871" w:type="dxa"/>
            <w:tcMar>
              <w:top w:w="91" w:type="dxa"/>
              <w:left w:w="0" w:type="dxa"/>
              <w:bottom w:w="91" w:type="dxa"/>
              <w:right w:w="0" w:type="dxa"/>
            </w:tcMar>
          </w:tcPr>
          <w:p w14:paraId="2F08D08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0356C92"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C92CB1F" w14:textId="77777777" w:rsidR="00BF4529" w:rsidRDefault="00BF4529" w:rsidP="00BF4529">
            <w:pPr>
              <w:pStyle w:val="TableBlock"/>
              <w:spacing w:before="0"/>
              <w:rPr>
                <w:sz w:val="26"/>
                <w:rtl/>
              </w:rPr>
            </w:pPr>
            <w:r>
              <w:rPr>
                <w:rFonts w:hint="cs"/>
                <w:sz w:val="26"/>
                <w:rtl/>
              </w:rPr>
              <w:t>(1)</w:t>
            </w:r>
            <w:r>
              <w:rPr>
                <w:rFonts w:hint="cs"/>
                <w:sz w:val="26"/>
                <w:rtl/>
              </w:rPr>
              <w:tab/>
              <w:t>בסעיף קטן (א), במקום הסיפה החל במילים "שמתוכם שלושה" יבוא "ובהם יושב ראש הוועדה ולפחות חבר אחד שהוא עובד המדינה וחבר אחד מקרב הציבור";</w:t>
            </w:r>
          </w:p>
        </w:tc>
      </w:tr>
      <w:tr w:rsidR="00BF4529" w14:paraId="7C9944DF" w14:textId="77777777" w:rsidTr="00BF4529">
        <w:trPr>
          <w:cantSplit/>
        </w:trPr>
        <w:tc>
          <w:tcPr>
            <w:tcW w:w="1871" w:type="dxa"/>
            <w:tcMar>
              <w:top w:w="91" w:type="dxa"/>
              <w:left w:w="0" w:type="dxa"/>
              <w:bottom w:w="91" w:type="dxa"/>
              <w:right w:w="0" w:type="dxa"/>
            </w:tcMar>
          </w:tcPr>
          <w:p w14:paraId="4BB9FEC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96FC6C0"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0287EE8" w14:textId="77777777" w:rsidR="00BF4529" w:rsidRDefault="00BF4529" w:rsidP="00BF4529">
            <w:pPr>
              <w:pStyle w:val="TableBlock"/>
              <w:spacing w:before="0"/>
              <w:rPr>
                <w:sz w:val="26"/>
                <w:rtl/>
              </w:rPr>
            </w:pPr>
            <w:r>
              <w:rPr>
                <w:rFonts w:hint="cs"/>
                <w:sz w:val="26"/>
                <w:rtl/>
              </w:rPr>
              <w:t>(2)</w:t>
            </w:r>
            <w:r>
              <w:rPr>
                <w:rFonts w:hint="cs"/>
                <w:sz w:val="26"/>
                <w:rtl/>
              </w:rPr>
              <w:tab/>
              <w:t>סעיף קטן (ב) – בטל;</w:t>
            </w:r>
          </w:p>
        </w:tc>
      </w:tr>
      <w:tr w:rsidR="00BF4529" w14:paraId="2E7F1E07" w14:textId="77777777" w:rsidTr="00BF4529">
        <w:trPr>
          <w:cantSplit/>
        </w:trPr>
        <w:tc>
          <w:tcPr>
            <w:tcW w:w="1871" w:type="dxa"/>
            <w:tcMar>
              <w:top w:w="91" w:type="dxa"/>
              <w:left w:w="0" w:type="dxa"/>
              <w:bottom w:w="91" w:type="dxa"/>
              <w:right w:w="0" w:type="dxa"/>
            </w:tcMar>
          </w:tcPr>
          <w:p w14:paraId="1EF420D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69D8FE3"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5A5A386" w14:textId="77777777" w:rsidR="00BF4529" w:rsidRDefault="00BF4529" w:rsidP="00BF4529">
            <w:pPr>
              <w:pStyle w:val="TableBlock"/>
              <w:spacing w:before="0"/>
              <w:rPr>
                <w:sz w:val="26"/>
                <w:rtl/>
              </w:rPr>
            </w:pPr>
            <w:r>
              <w:rPr>
                <w:rFonts w:hint="cs"/>
                <w:sz w:val="26"/>
                <w:rtl/>
              </w:rPr>
              <w:t>(3)</w:t>
            </w:r>
            <w:r>
              <w:rPr>
                <w:rFonts w:hint="cs"/>
                <w:sz w:val="26"/>
                <w:rtl/>
              </w:rPr>
              <w:tab/>
              <w:t>אחרי סעיף קטן (ה) יבוא:</w:t>
            </w:r>
          </w:p>
        </w:tc>
      </w:tr>
      <w:tr w:rsidR="00BF4529" w14:paraId="46133A90" w14:textId="77777777" w:rsidTr="00BF4529">
        <w:trPr>
          <w:cantSplit/>
        </w:trPr>
        <w:tc>
          <w:tcPr>
            <w:tcW w:w="1871" w:type="dxa"/>
            <w:tcMar>
              <w:top w:w="91" w:type="dxa"/>
              <w:left w:w="0" w:type="dxa"/>
              <w:bottom w:w="91" w:type="dxa"/>
              <w:right w:w="0" w:type="dxa"/>
            </w:tcMar>
          </w:tcPr>
          <w:p w14:paraId="5DAFBDE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A15D6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C88AEB"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12865262" w14:textId="77777777" w:rsidR="00BF4529" w:rsidRDefault="00BF4529" w:rsidP="00BF4529">
            <w:pPr>
              <w:pStyle w:val="TableBlock"/>
              <w:spacing w:before="0"/>
              <w:rPr>
                <w:sz w:val="26"/>
                <w:rtl/>
              </w:rPr>
            </w:pPr>
            <w:r>
              <w:rPr>
                <w:rFonts w:hint="cs"/>
                <w:sz w:val="26"/>
                <w:rtl/>
              </w:rPr>
              <w:t>"(ו)</w:t>
            </w:r>
            <w:r>
              <w:rPr>
                <w:rFonts w:hint="cs"/>
                <w:sz w:val="26"/>
                <w:rtl/>
              </w:rPr>
              <w:t> </w:t>
            </w:r>
            <w:r>
              <w:rPr>
                <w:rFonts w:hint="cs"/>
                <w:sz w:val="26"/>
                <w:rtl/>
              </w:rPr>
              <w:tab/>
              <w:t>המנהל הכללי של הרשות ישמש ממלא מקום יושב ראש ועדות המחקר, אלא אם כן קבעה המועצה אחרת בהוראות מסלול ההטבות, לבקשת ראש הרשות.</w:t>
            </w:r>
          </w:p>
        </w:tc>
      </w:tr>
      <w:tr w:rsidR="00BF4529" w14:paraId="71B66BAD" w14:textId="77777777" w:rsidTr="00BF4529">
        <w:trPr>
          <w:cantSplit/>
        </w:trPr>
        <w:tc>
          <w:tcPr>
            <w:tcW w:w="1871" w:type="dxa"/>
            <w:tcMar>
              <w:top w:w="91" w:type="dxa"/>
              <w:left w:w="0" w:type="dxa"/>
              <w:bottom w:w="91" w:type="dxa"/>
              <w:right w:w="0" w:type="dxa"/>
            </w:tcMar>
          </w:tcPr>
          <w:p w14:paraId="6ABA92A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29929E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8E9217E"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2B69672" w14:textId="77777777" w:rsidR="00BF4529" w:rsidRDefault="00BF4529" w:rsidP="00BF4529">
            <w:pPr>
              <w:pStyle w:val="TableBlock"/>
              <w:spacing w:before="0"/>
              <w:rPr>
                <w:sz w:val="26"/>
                <w:rtl/>
              </w:rPr>
            </w:pPr>
            <w:r>
              <w:rPr>
                <w:rFonts w:hint="cs"/>
                <w:sz w:val="26"/>
                <w:rtl/>
              </w:rPr>
              <w:t>ׁׁ(ז)</w:t>
            </w:r>
            <w:r>
              <w:rPr>
                <w:rFonts w:hint="cs"/>
                <w:sz w:val="26"/>
                <w:rtl/>
              </w:rPr>
              <w:t> </w:t>
            </w:r>
            <w:r>
              <w:rPr>
                <w:rFonts w:hint="cs"/>
                <w:sz w:val="26"/>
                <w:rtl/>
              </w:rPr>
              <w:tab/>
              <w:t xml:space="preserve">ראש הרשות רשאי לוותר על חברותו בוועדת מחקר באופן זמני או קבוע ולמנות במקומו עובד משרד הכלכלה הכפוף לו בתפקידו כמדען ראשי, כממלא מקום זמני או קבוע לעניין חברותו בוועדה; ויתר ראש הרשות על חברותו בוועדת מחקר כאמור – </w:t>
            </w:r>
          </w:p>
        </w:tc>
      </w:tr>
      <w:tr w:rsidR="00BF4529" w14:paraId="7F66E7EB" w14:textId="77777777" w:rsidTr="00BF4529">
        <w:trPr>
          <w:cantSplit/>
        </w:trPr>
        <w:tc>
          <w:tcPr>
            <w:tcW w:w="1871" w:type="dxa"/>
            <w:tcMar>
              <w:top w:w="91" w:type="dxa"/>
              <w:left w:w="0" w:type="dxa"/>
              <w:bottom w:w="91" w:type="dxa"/>
              <w:right w:w="0" w:type="dxa"/>
            </w:tcMar>
          </w:tcPr>
          <w:p w14:paraId="7E4DCAF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971A24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6B718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FF046C7"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5FD8133D" w14:textId="77777777" w:rsidR="00BF4529" w:rsidRDefault="00BF4529" w:rsidP="00BF4529">
            <w:pPr>
              <w:pStyle w:val="TableBlock"/>
              <w:spacing w:before="0"/>
              <w:rPr>
                <w:sz w:val="26"/>
                <w:rtl/>
              </w:rPr>
            </w:pPr>
            <w:r>
              <w:rPr>
                <w:rFonts w:hint="cs"/>
                <w:sz w:val="26"/>
                <w:rtl/>
              </w:rPr>
              <w:t>(1)</w:t>
            </w:r>
            <w:r>
              <w:rPr>
                <w:rFonts w:hint="cs"/>
                <w:sz w:val="26"/>
                <w:rtl/>
              </w:rPr>
              <w:tab/>
              <w:t>יהיה המנהל הכללי של הרשות יושב ראש הוועדה;</w:t>
            </w:r>
          </w:p>
        </w:tc>
      </w:tr>
      <w:tr w:rsidR="00BF4529" w14:paraId="76BC6282" w14:textId="77777777" w:rsidTr="00BF4529">
        <w:trPr>
          <w:cantSplit/>
        </w:trPr>
        <w:tc>
          <w:tcPr>
            <w:tcW w:w="1871" w:type="dxa"/>
            <w:tcMar>
              <w:top w:w="91" w:type="dxa"/>
              <w:left w:w="0" w:type="dxa"/>
              <w:bottom w:w="91" w:type="dxa"/>
              <w:right w:w="0" w:type="dxa"/>
            </w:tcMar>
          </w:tcPr>
          <w:p w14:paraId="29DC1DA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C697BA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BACC6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3F7CFB"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10AA77A3" w14:textId="77777777" w:rsidR="00BF4529" w:rsidRDefault="00BF4529" w:rsidP="00BF4529">
            <w:pPr>
              <w:pStyle w:val="TableBlock"/>
              <w:spacing w:before="0"/>
              <w:rPr>
                <w:sz w:val="26"/>
                <w:rtl/>
              </w:rPr>
            </w:pPr>
            <w:r>
              <w:rPr>
                <w:rFonts w:hint="cs"/>
                <w:sz w:val="26"/>
                <w:rtl/>
              </w:rPr>
              <w:t>(2)</w:t>
            </w:r>
            <w:r>
              <w:rPr>
                <w:rFonts w:hint="cs"/>
                <w:sz w:val="26"/>
                <w:rtl/>
              </w:rPr>
              <w:tab/>
              <w:t>יהיה רשאי ראש הרשות, בכל עת, לחזור ולכהן כחבר ועדת המחקר ויושב הראש שלה."</w:t>
            </w:r>
          </w:p>
        </w:tc>
      </w:tr>
      <w:tr w:rsidR="00BF4529" w14:paraId="091259AD" w14:textId="77777777" w:rsidTr="00BF4529">
        <w:trPr>
          <w:cantSplit/>
        </w:trPr>
        <w:tc>
          <w:tcPr>
            <w:tcW w:w="1871" w:type="dxa"/>
            <w:tcMar>
              <w:top w:w="91" w:type="dxa"/>
              <w:left w:w="0" w:type="dxa"/>
              <w:bottom w:w="91" w:type="dxa"/>
              <w:right w:w="0" w:type="dxa"/>
            </w:tcMar>
            <w:hideMark/>
          </w:tcPr>
          <w:p w14:paraId="341BFB34" w14:textId="77777777" w:rsidR="00BF4529" w:rsidRDefault="00BF4529" w:rsidP="00BF4529">
            <w:pPr>
              <w:pStyle w:val="TableSideHeading"/>
              <w:spacing w:before="0"/>
              <w:jc w:val="left"/>
              <w:rPr>
                <w:sz w:val="26"/>
                <w:rtl/>
              </w:rPr>
            </w:pPr>
            <w:r>
              <w:rPr>
                <w:rFonts w:hint="cs"/>
                <w:sz w:val="26"/>
                <w:rtl/>
              </w:rPr>
              <w:t>תיקון סעיף 14</w:t>
            </w:r>
          </w:p>
        </w:tc>
        <w:tc>
          <w:tcPr>
            <w:tcW w:w="624" w:type="dxa"/>
            <w:tcMar>
              <w:top w:w="91" w:type="dxa"/>
              <w:left w:w="0" w:type="dxa"/>
              <w:bottom w:w="91" w:type="dxa"/>
              <w:right w:w="0" w:type="dxa"/>
            </w:tcMar>
            <w:hideMark/>
          </w:tcPr>
          <w:p w14:paraId="3080DBF9" w14:textId="77777777" w:rsidR="00BF4529" w:rsidRDefault="00BF4529" w:rsidP="00BF4529">
            <w:pPr>
              <w:pStyle w:val="TableText"/>
              <w:spacing w:before="0"/>
              <w:rPr>
                <w:sz w:val="26"/>
                <w:rtl/>
              </w:rPr>
            </w:pPr>
            <w:r>
              <w:rPr>
                <w:rFonts w:hint="cs"/>
                <w:sz w:val="26"/>
                <w:rtl/>
              </w:rPr>
              <w:t>13.</w:t>
            </w:r>
          </w:p>
        </w:tc>
        <w:tc>
          <w:tcPr>
            <w:tcW w:w="7146" w:type="dxa"/>
            <w:gridSpan w:val="7"/>
            <w:tcMar>
              <w:top w:w="91" w:type="dxa"/>
              <w:left w:w="0" w:type="dxa"/>
              <w:bottom w:w="91" w:type="dxa"/>
              <w:right w:w="0" w:type="dxa"/>
            </w:tcMar>
            <w:hideMark/>
          </w:tcPr>
          <w:p w14:paraId="5A83B061" w14:textId="77777777" w:rsidR="00BF4529" w:rsidRDefault="00BF4529" w:rsidP="00BF4529">
            <w:pPr>
              <w:pStyle w:val="TableBlock"/>
              <w:spacing w:before="0"/>
              <w:rPr>
                <w:sz w:val="26"/>
                <w:rtl/>
              </w:rPr>
            </w:pPr>
            <w:r>
              <w:rPr>
                <w:rFonts w:hint="cs"/>
                <w:sz w:val="26"/>
                <w:rtl/>
              </w:rPr>
              <w:t>בסעיף 14 לחוק העיקרי –</w:t>
            </w:r>
          </w:p>
        </w:tc>
      </w:tr>
      <w:tr w:rsidR="00BF4529" w14:paraId="7B81367F" w14:textId="77777777" w:rsidTr="00BF4529">
        <w:trPr>
          <w:cantSplit/>
        </w:trPr>
        <w:tc>
          <w:tcPr>
            <w:tcW w:w="1871" w:type="dxa"/>
            <w:tcMar>
              <w:top w:w="91" w:type="dxa"/>
              <w:left w:w="0" w:type="dxa"/>
              <w:bottom w:w="91" w:type="dxa"/>
              <w:right w:w="0" w:type="dxa"/>
            </w:tcMar>
          </w:tcPr>
          <w:p w14:paraId="2006EC8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4ADF1F5"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60280CD5" w14:textId="77777777" w:rsidR="00BF4529" w:rsidRDefault="00BF4529" w:rsidP="00BF4529">
            <w:pPr>
              <w:pStyle w:val="TableBlock"/>
              <w:spacing w:before="0"/>
              <w:rPr>
                <w:sz w:val="26"/>
                <w:rtl/>
              </w:rPr>
            </w:pPr>
            <w:r>
              <w:rPr>
                <w:rFonts w:hint="cs"/>
                <w:sz w:val="26"/>
                <w:rtl/>
              </w:rPr>
              <w:t>(1)</w:t>
            </w:r>
            <w:r>
              <w:rPr>
                <w:rFonts w:hint="cs"/>
                <w:sz w:val="26"/>
                <w:rtl/>
              </w:rPr>
              <w:tab/>
              <w:t>בסעיף קטן (א), במקום "ראש המינהל או השרים" יבוא "ראש הרשות או המועצה";</w:t>
            </w:r>
          </w:p>
        </w:tc>
      </w:tr>
      <w:tr w:rsidR="00BF4529" w14:paraId="2319B5FF" w14:textId="77777777" w:rsidTr="00BF4529">
        <w:trPr>
          <w:cantSplit/>
        </w:trPr>
        <w:tc>
          <w:tcPr>
            <w:tcW w:w="1871" w:type="dxa"/>
            <w:tcMar>
              <w:top w:w="91" w:type="dxa"/>
              <w:left w:w="0" w:type="dxa"/>
              <w:bottom w:w="91" w:type="dxa"/>
              <w:right w:w="0" w:type="dxa"/>
            </w:tcMar>
          </w:tcPr>
          <w:p w14:paraId="27148E4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AA372F1"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B7D5B05" w14:textId="77777777" w:rsidR="00BF4529" w:rsidRDefault="00BF4529" w:rsidP="00BF4529">
            <w:pPr>
              <w:pStyle w:val="TableBlock"/>
              <w:spacing w:before="0"/>
              <w:rPr>
                <w:sz w:val="26"/>
                <w:rtl/>
              </w:rPr>
            </w:pPr>
            <w:r>
              <w:rPr>
                <w:rFonts w:hint="cs"/>
                <w:sz w:val="26"/>
                <w:rtl/>
              </w:rPr>
              <w:t>(2)</w:t>
            </w:r>
            <w:r>
              <w:rPr>
                <w:rFonts w:hint="cs"/>
                <w:sz w:val="26"/>
                <w:rtl/>
              </w:rPr>
              <w:tab/>
              <w:t>בסעיף קטן (ב), במקום "ראש המינהל" יבוא "ראש הרשות או המועצה";</w:t>
            </w:r>
          </w:p>
        </w:tc>
      </w:tr>
      <w:tr w:rsidR="00BF4529" w14:paraId="5FF85789" w14:textId="77777777" w:rsidTr="00BF4529">
        <w:trPr>
          <w:cantSplit/>
        </w:trPr>
        <w:tc>
          <w:tcPr>
            <w:tcW w:w="1871" w:type="dxa"/>
            <w:tcMar>
              <w:top w:w="91" w:type="dxa"/>
              <w:left w:w="0" w:type="dxa"/>
              <w:bottom w:w="91" w:type="dxa"/>
              <w:right w:w="0" w:type="dxa"/>
            </w:tcMar>
          </w:tcPr>
          <w:p w14:paraId="2C67AFA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0CBA152"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EF88AF9" w14:textId="77777777" w:rsidR="00BF4529" w:rsidRDefault="00BF4529" w:rsidP="00BF4529">
            <w:pPr>
              <w:pStyle w:val="TableBlock"/>
              <w:spacing w:before="0"/>
              <w:rPr>
                <w:sz w:val="26"/>
                <w:rtl/>
              </w:rPr>
            </w:pPr>
            <w:r>
              <w:rPr>
                <w:rFonts w:hint="cs"/>
                <w:sz w:val="26"/>
                <w:rtl/>
              </w:rPr>
              <w:t>(3)</w:t>
            </w:r>
            <w:r>
              <w:rPr>
                <w:rFonts w:hint="cs"/>
                <w:sz w:val="26"/>
                <w:rtl/>
              </w:rPr>
              <w:tab/>
              <w:t>במקום סעיף קטן (ג) יבוא:</w:t>
            </w:r>
          </w:p>
        </w:tc>
      </w:tr>
      <w:tr w:rsidR="00BF4529" w14:paraId="21D59B55" w14:textId="77777777" w:rsidTr="00BF4529">
        <w:trPr>
          <w:cantSplit/>
        </w:trPr>
        <w:tc>
          <w:tcPr>
            <w:tcW w:w="1871" w:type="dxa"/>
            <w:tcMar>
              <w:top w:w="79" w:type="dxa"/>
              <w:left w:w="0" w:type="dxa"/>
              <w:bottom w:w="79" w:type="dxa"/>
              <w:right w:w="0" w:type="dxa"/>
            </w:tcMar>
          </w:tcPr>
          <w:p w14:paraId="5542FDE2"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06129C26"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12FD1781" w14:textId="77777777" w:rsidR="00BF4529" w:rsidRDefault="00BF4529" w:rsidP="00BF4529">
            <w:pPr>
              <w:pStyle w:val="TableText"/>
              <w:spacing w:before="0"/>
              <w:rPr>
                <w:sz w:val="26"/>
                <w:rtl/>
              </w:rPr>
            </w:pPr>
          </w:p>
        </w:tc>
        <w:tc>
          <w:tcPr>
            <w:tcW w:w="6522" w:type="dxa"/>
            <w:gridSpan w:val="6"/>
            <w:tcMar>
              <w:top w:w="79" w:type="dxa"/>
              <w:left w:w="0" w:type="dxa"/>
              <w:bottom w:w="79" w:type="dxa"/>
              <w:right w:w="0" w:type="dxa"/>
            </w:tcMar>
            <w:hideMark/>
          </w:tcPr>
          <w:p w14:paraId="127B5E19" w14:textId="77777777" w:rsidR="00BF4529" w:rsidRDefault="00BF4529" w:rsidP="00BF4529">
            <w:pPr>
              <w:pStyle w:val="TableBlock"/>
              <w:spacing w:before="0"/>
              <w:rPr>
                <w:sz w:val="26"/>
                <w:rtl/>
              </w:rPr>
            </w:pPr>
            <w:r>
              <w:rPr>
                <w:rFonts w:hint="cs"/>
                <w:sz w:val="26"/>
                <w:rtl/>
              </w:rPr>
              <w:t>"(ג)</w:t>
            </w:r>
            <w:r>
              <w:rPr>
                <w:rFonts w:hint="cs"/>
                <w:sz w:val="26"/>
                <w:rtl/>
              </w:rPr>
              <w:tab/>
              <w:t>המועצה תגבש נהלים לעניין שמירת הסודיות בפעילות הרשות והאורגנים שלה וגורמים הפועלים מטעמם ובעבורם, ובכלל זה לגבי בקשות למתן הטבות ואישורים הניתנים לפי חוק זה, ובשים לב לדיני הקניין הרוחני הנוהגים בישראל."</w:t>
            </w:r>
          </w:p>
        </w:tc>
      </w:tr>
      <w:tr w:rsidR="00BF4529" w14:paraId="66B68518" w14:textId="77777777" w:rsidTr="00BF4529">
        <w:trPr>
          <w:cantSplit/>
        </w:trPr>
        <w:tc>
          <w:tcPr>
            <w:tcW w:w="1871" w:type="dxa"/>
            <w:tcMar>
              <w:top w:w="79" w:type="dxa"/>
              <w:left w:w="0" w:type="dxa"/>
              <w:bottom w:w="79" w:type="dxa"/>
              <w:right w:w="0" w:type="dxa"/>
            </w:tcMar>
            <w:hideMark/>
          </w:tcPr>
          <w:p w14:paraId="1AB4D2D7" w14:textId="77777777" w:rsidR="00BF4529" w:rsidRDefault="00BF4529" w:rsidP="00BF4529">
            <w:pPr>
              <w:pStyle w:val="TableSideHeading"/>
              <w:spacing w:before="0"/>
              <w:jc w:val="left"/>
              <w:rPr>
                <w:sz w:val="26"/>
                <w:rtl/>
              </w:rPr>
            </w:pPr>
            <w:r>
              <w:rPr>
                <w:rFonts w:hint="cs"/>
                <w:sz w:val="26"/>
                <w:rtl/>
              </w:rPr>
              <w:t xml:space="preserve">הוספת פרקים </w:t>
            </w:r>
            <w:r>
              <w:rPr>
                <w:rFonts w:hint="cs"/>
                <w:sz w:val="26"/>
                <w:rtl/>
              </w:rPr>
              <w:br/>
              <w:t>ג'1 עד ג'5</w:t>
            </w:r>
          </w:p>
        </w:tc>
        <w:tc>
          <w:tcPr>
            <w:tcW w:w="624" w:type="dxa"/>
            <w:tcMar>
              <w:top w:w="79" w:type="dxa"/>
              <w:left w:w="0" w:type="dxa"/>
              <w:bottom w:w="79" w:type="dxa"/>
              <w:right w:w="0" w:type="dxa"/>
            </w:tcMar>
            <w:hideMark/>
          </w:tcPr>
          <w:p w14:paraId="2609361C" w14:textId="77777777" w:rsidR="00BF4529" w:rsidRDefault="00BF4529" w:rsidP="00BF4529">
            <w:pPr>
              <w:pStyle w:val="TableText"/>
              <w:spacing w:before="0"/>
              <w:rPr>
                <w:sz w:val="26"/>
                <w:rtl/>
              </w:rPr>
            </w:pPr>
            <w:r>
              <w:rPr>
                <w:rFonts w:hint="cs"/>
                <w:sz w:val="26"/>
                <w:rtl/>
              </w:rPr>
              <w:t>14.</w:t>
            </w:r>
          </w:p>
        </w:tc>
        <w:tc>
          <w:tcPr>
            <w:tcW w:w="7146" w:type="dxa"/>
            <w:gridSpan w:val="7"/>
            <w:tcMar>
              <w:top w:w="79" w:type="dxa"/>
              <w:left w:w="0" w:type="dxa"/>
              <w:bottom w:w="79" w:type="dxa"/>
              <w:right w:w="0" w:type="dxa"/>
            </w:tcMar>
            <w:hideMark/>
          </w:tcPr>
          <w:p w14:paraId="4A6D85E5" w14:textId="77777777" w:rsidR="00BF4529" w:rsidRDefault="00BF4529" w:rsidP="00BF4529">
            <w:pPr>
              <w:pStyle w:val="TableBlock"/>
              <w:spacing w:before="0"/>
              <w:rPr>
                <w:sz w:val="26"/>
                <w:rtl/>
              </w:rPr>
            </w:pPr>
            <w:r>
              <w:rPr>
                <w:rFonts w:hint="cs"/>
                <w:sz w:val="26"/>
                <w:rtl/>
              </w:rPr>
              <w:t>אחרי סעיף 15א לחוק העיקרי יבוא:</w:t>
            </w:r>
          </w:p>
        </w:tc>
      </w:tr>
      <w:tr w:rsidR="00BF4529" w14:paraId="4E3CABDF" w14:textId="77777777" w:rsidTr="00BF4529">
        <w:trPr>
          <w:cantSplit/>
        </w:trPr>
        <w:tc>
          <w:tcPr>
            <w:tcW w:w="1871" w:type="dxa"/>
            <w:tcMar>
              <w:top w:w="79" w:type="dxa"/>
              <w:left w:w="0" w:type="dxa"/>
              <w:bottom w:w="79" w:type="dxa"/>
              <w:right w:w="0" w:type="dxa"/>
            </w:tcMar>
          </w:tcPr>
          <w:p w14:paraId="031CE0EF"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05EDE3EE" w14:textId="77777777" w:rsidR="00BF4529" w:rsidRDefault="00BF4529" w:rsidP="00BF4529">
            <w:pPr>
              <w:pStyle w:val="TableText"/>
              <w:spacing w:before="0"/>
              <w:rPr>
                <w:sz w:val="26"/>
                <w:rtl/>
              </w:rPr>
            </w:pPr>
          </w:p>
        </w:tc>
        <w:tc>
          <w:tcPr>
            <w:tcW w:w="7146" w:type="dxa"/>
            <w:gridSpan w:val="7"/>
            <w:tcMar>
              <w:top w:w="79" w:type="dxa"/>
              <w:left w:w="0" w:type="dxa"/>
              <w:bottom w:w="79" w:type="dxa"/>
              <w:right w:w="0" w:type="dxa"/>
            </w:tcMar>
            <w:hideMark/>
          </w:tcPr>
          <w:p w14:paraId="124DD04C" w14:textId="77777777" w:rsidR="00BF4529" w:rsidRDefault="00BF4529" w:rsidP="00BF4529">
            <w:pPr>
              <w:pStyle w:val="TableHead"/>
              <w:spacing w:before="0"/>
              <w:rPr>
                <w:sz w:val="26"/>
                <w:rtl/>
              </w:rPr>
            </w:pPr>
            <w:r>
              <w:rPr>
                <w:rFonts w:hint="cs"/>
                <w:sz w:val="26"/>
                <w:rtl/>
              </w:rPr>
              <w:t>"פרק ג'1: חובת זהירות וחובת אמונים של נושא משרה ברשות</w:t>
            </w:r>
          </w:p>
        </w:tc>
      </w:tr>
      <w:tr w:rsidR="00BF4529" w14:paraId="33C10D53" w14:textId="77777777" w:rsidTr="00BF4529">
        <w:trPr>
          <w:cantSplit/>
        </w:trPr>
        <w:tc>
          <w:tcPr>
            <w:tcW w:w="1871" w:type="dxa"/>
            <w:tcMar>
              <w:top w:w="79" w:type="dxa"/>
              <w:left w:w="0" w:type="dxa"/>
              <w:bottom w:w="79" w:type="dxa"/>
              <w:right w:w="0" w:type="dxa"/>
            </w:tcMar>
          </w:tcPr>
          <w:p w14:paraId="089A646B"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260B02F0" w14:textId="77777777" w:rsidR="00BF4529" w:rsidRDefault="00BF4529" w:rsidP="00BF4529">
            <w:pPr>
              <w:pStyle w:val="TableText"/>
              <w:spacing w:before="0"/>
              <w:rPr>
                <w:sz w:val="26"/>
                <w:rtl/>
              </w:rPr>
            </w:pPr>
          </w:p>
        </w:tc>
        <w:tc>
          <w:tcPr>
            <w:tcW w:w="7146" w:type="dxa"/>
            <w:gridSpan w:val="7"/>
            <w:tcMar>
              <w:top w:w="79" w:type="dxa"/>
              <w:left w:w="0" w:type="dxa"/>
              <w:bottom w:w="79" w:type="dxa"/>
              <w:right w:w="0" w:type="dxa"/>
            </w:tcMar>
            <w:hideMark/>
          </w:tcPr>
          <w:p w14:paraId="0F7C6F28" w14:textId="77777777" w:rsidR="00BF4529" w:rsidRDefault="00BF4529" w:rsidP="00BF4529">
            <w:pPr>
              <w:pStyle w:val="TableHead"/>
              <w:spacing w:before="0"/>
              <w:rPr>
                <w:sz w:val="26"/>
                <w:rtl/>
              </w:rPr>
            </w:pPr>
            <w:r>
              <w:rPr>
                <w:rFonts w:hint="cs"/>
                <w:sz w:val="26"/>
                <w:rtl/>
              </w:rPr>
              <w:t>סימן א': הגדרות</w:t>
            </w:r>
          </w:p>
        </w:tc>
      </w:tr>
      <w:tr w:rsidR="00BF4529" w14:paraId="1DC77697" w14:textId="77777777" w:rsidTr="00BF4529">
        <w:trPr>
          <w:cantSplit/>
        </w:trPr>
        <w:tc>
          <w:tcPr>
            <w:tcW w:w="1871" w:type="dxa"/>
            <w:tcMar>
              <w:top w:w="79" w:type="dxa"/>
              <w:left w:w="0" w:type="dxa"/>
              <w:bottom w:w="79" w:type="dxa"/>
              <w:right w:w="0" w:type="dxa"/>
            </w:tcMar>
          </w:tcPr>
          <w:p w14:paraId="1029010C"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1019DF50"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4B98AB25" w14:textId="77777777" w:rsidR="00BF4529" w:rsidRDefault="00BF4529" w:rsidP="00BF4529">
            <w:pPr>
              <w:pStyle w:val="TableInnerSideHeading"/>
              <w:spacing w:before="0"/>
              <w:rPr>
                <w:sz w:val="26"/>
                <w:rtl/>
              </w:rPr>
            </w:pPr>
            <w:r>
              <w:rPr>
                <w:rFonts w:hint="cs"/>
                <w:sz w:val="26"/>
                <w:rtl/>
              </w:rPr>
              <w:t>הגדרות</w:t>
            </w:r>
          </w:p>
        </w:tc>
        <w:tc>
          <w:tcPr>
            <w:tcW w:w="624" w:type="dxa"/>
            <w:tcMar>
              <w:top w:w="79" w:type="dxa"/>
              <w:left w:w="0" w:type="dxa"/>
              <w:bottom w:w="79" w:type="dxa"/>
              <w:right w:w="0" w:type="dxa"/>
            </w:tcMar>
            <w:hideMark/>
          </w:tcPr>
          <w:p w14:paraId="3AEA954A" w14:textId="77777777" w:rsidR="00BF4529" w:rsidRDefault="00BF4529" w:rsidP="00BF4529">
            <w:pPr>
              <w:pStyle w:val="TableText"/>
              <w:spacing w:before="0"/>
              <w:rPr>
                <w:sz w:val="26"/>
                <w:rtl/>
              </w:rPr>
            </w:pPr>
            <w:r>
              <w:rPr>
                <w:rFonts w:hint="cs"/>
                <w:sz w:val="26"/>
                <w:rtl/>
              </w:rPr>
              <w:t>15ב.</w:t>
            </w:r>
          </w:p>
        </w:tc>
        <w:tc>
          <w:tcPr>
            <w:tcW w:w="4650" w:type="dxa"/>
            <w:gridSpan w:val="3"/>
            <w:tcMar>
              <w:top w:w="79" w:type="dxa"/>
              <w:left w:w="0" w:type="dxa"/>
              <w:bottom w:w="79" w:type="dxa"/>
              <w:right w:w="0" w:type="dxa"/>
            </w:tcMar>
            <w:hideMark/>
          </w:tcPr>
          <w:p w14:paraId="546E1278" w14:textId="77777777" w:rsidR="00BF4529" w:rsidRDefault="00BF4529" w:rsidP="00BF4529">
            <w:pPr>
              <w:pStyle w:val="TableBlock"/>
              <w:spacing w:before="0"/>
              <w:rPr>
                <w:sz w:val="26"/>
                <w:rtl/>
              </w:rPr>
            </w:pPr>
            <w:r>
              <w:rPr>
                <w:rFonts w:hint="cs"/>
                <w:sz w:val="26"/>
                <w:rtl/>
              </w:rPr>
              <w:t xml:space="preserve">בפרק זה – </w:t>
            </w:r>
          </w:p>
        </w:tc>
      </w:tr>
      <w:tr w:rsidR="00BF4529" w14:paraId="67ABD0C3" w14:textId="77777777" w:rsidTr="00BF4529">
        <w:trPr>
          <w:cantSplit/>
        </w:trPr>
        <w:tc>
          <w:tcPr>
            <w:tcW w:w="1871" w:type="dxa"/>
            <w:tcMar>
              <w:top w:w="79" w:type="dxa"/>
              <w:left w:w="0" w:type="dxa"/>
              <w:bottom w:w="79" w:type="dxa"/>
              <w:right w:w="0" w:type="dxa"/>
            </w:tcMar>
          </w:tcPr>
          <w:p w14:paraId="081D2F0A"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62A23E3D"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053A9F6D"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3502D657"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48E594DB"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2A8C79D0"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6A29FBBF" w14:textId="77777777" w:rsidR="00BF4529" w:rsidRDefault="00BF4529" w:rsidP="00BF4529">
            <w:pPr>
              <w:pStyle w:val="TableBlockOutdent"/>
              <w:spacing w:before="0"/>
              <w:rPr>
                <w:sz w:val="26"/>
                <w:rtl/>
              </w:rPr>
            </w:pPr>
            <w:r>
              <w:rPr>
                <w:rFonts w:hint="cs"/>
                <w:sz w:val="26"/>
                <w:rtl/>
              </w:rPr>
              <w:t>"נושא משרה" – חבר המועצה, חבר ועדת מחקר, המנהל הכללי של הרשות, משנה או סגן למנהל הכללי של הרשות, וכל ממלא תפקיד כאמור ברשות, אף אם תוארו שונה, וכן מנהל הכפוף במישרין למנהל הכללי של הרשות;</w:t>
            </w:r>
          </w:p>
        </w:tc>
      </w:tr>
      <w:tr w:rsidR="00BF4529" w14:paraId="7571E157" w14:textId="77777777" w:rsidTr="00BF4529">
        <w:trPr>
          <w:cantSplit/>
        </w:trPr>
        <w:tc>
          <w:tcPr>
            <w:tcW w:w="1871" w:type="dxa"/>
            <w:tcMar>
              <w:top w:w="79" w:type="dxa"/>
              <w:left w:w="0" w:type="dxa"/>
              <w:bottom w:w="79" w:type="dxa"/>
              <w:right w:w="0" w:type="dxa"/>
            </w:tcMar>
          </w:tcPr>
          <w:p w14:paraId="4574A4C7"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26E23B43"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5008526E"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6A4F1EAC"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7858AF15"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7D41A978"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5B0F4FB6" w14:textId="77777777" w:rsidR="00BF4529" w:rsidRDefault="00BF4529" w:rsidP="00BF4529">
            <w:pPr>
              <w:pStyle w:val="TableBlockOutdent"/>
              <w:spacing w:before="0"/>
              <w:rPr>
                <w:sz w:val="26"/>
                <w:rtl/>
              </w:rPr>
            </w:pPr>
            <w:r>
              <w:rPr>
                <w:rFonts w:hint="cs"/>
                <w:sz w:val="26"/>
                <w:rtl/>
              </w:rPr>
              <w:t>"עניין אישי" – לרבות עניין אישי של קרובו או של תאגיד אחר שהוא או קרובו נושאי משרה בו או שיש להם בו חלק בהון המניות, בזכות לקבל רווחים, בזכות למנות מנהל או בזכות ההצבעה;</w:t>
            </w:r>
          </w:p>
        </w:tc>
      </w:tr>
      <w:tr w:rsidR="00BF4529" w14:paraId="7C708484" w14:textId="77777777" w:rsidTr="00BF4529">
        <w:trPr>
          <w:cantSplit/>
        </w:trPr>
        <w:tc>
          <w:tcPr>
            <w:tcW w:w="1871" w:type="dxa"/>
            <w:tcMar>
              <w:top w:w="79" w:type="dxa"/>
              <w:left w:w="0" w:type="dxa"/>
              <w:bottom w:w="79" w:type="dxa"/>
              <w:right w:w="0" w:type="dxa"/>
            </w:tcMar>
          </w:tcPr>
          <w:p w14:paraId="2CDEB9D9"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778C7B64"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6366A90E"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7470767E"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197EBC02"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2DFF527F"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370CADB3" w14:textId="77777777" w:rsidR="00BF4529" w:rsidRDefault="00BF4529" w:rsidP="00BF4529">
            <w:pPr>
              <w:pStyle w:val="TableBlockOutdent"/>
              <w:spacing w:before="0"/>
              <w:rPr>
                <w:sz w:val="26"/>
                <w:rtl/>
              </w:rPr>
            </w:pPr>
            <w:r>
              <w:rPr>
                <w:rFonts w:hint="cs"/>
                <w:sz w:val="26"/>
                <w:rtl/>
              </w:rPr>
              <w:t>"קרוב" – כהגדרתו בסעיף 15.</w:t>
            </w:r>
          </w:p>
        </w:tc>
      </w:tr>
      <w:tr w:rsidR="00BF4529" w14:paraId="017EC64D" w14:textId="77777777" w:rsidTr="00BF4529">
        <w:trPr>
          <w:cantSplit/>
        </w:trPr>
        <w:tc>
          <w:tcPr>
            <w:tcW w:w="1871" w:type="dxa"/>
            <w:tcMar>
              <w:top w:w="79" w:type="dxa"/>
              <w:left w:w="0" w:type="dxa"/>
              <w:bottom w:w="79" w:type="dxa"/>
              <w:right w:w="0" w:type="dxa"/>
            </w:tcMar>
          </w:tcPr>
          <w:p w14:paraId="0398A9A7"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12B11C26" w14:textId="77777777" w:rsidR="00BF4529" w:rsidRDefault="00BF4529" w:rsidP="00BF4529">
            <w:pPr>
              <w:pStyle w:val="TableText"/>
              <w:spacing w:before="0"/>
              <w:rPr>
                <w:sz w:val="26"/>
                <w:rtl/>
              </w:rPr>
            </w:pPr>
          </w:p>
        </w:tc>
        <w:tc>
          <w:tcPr>
            <w:tcW w:w="7146" w:type="dxa"/>
            <w:gridSpan w:val="7"/>
            <w:tcMar>
              <w:top w:w="79" w:type="dxa"/>
              <w:left w:w="0" w:type="dxa"/>
              <w:bottom w:w="79" w:type="dxa"/>
              <w:right w:w="0" w:type="dxa"/>
            </w:tcMar>
            <w:hideMark/>
          </w:tcPr>
          <w:p w14:paraId="2F91A54A" w14:textId="77777777" w:rsidR="00BF4529" w:rsidRDefault="00BF4529" w:rsidP="00BF4529">
            <w:pPr>
              <w:pStyle w:val="TableHead"/>
              <w:spacing w:before="0"/>
              <w:rPr>
                <w:sz w:val="26"/>
                <w:rtl/>
              </w:rPr>
            </w:pPr>
            <w:r>
              <w:rPr>
                <w:rFonts w:hint="cs"/>
                <w:sz w:val="26"/>
                <w:rtl/>
              </w:rPr>
              <w:t>סימן ב': חובת זהירות</w:t>
            </w:r>
          </w:p>
        </w:tc>
      </w:tr>
      <w:tr w:rsidR="00BF4529" w14:paraId="21443A36" w14:textId="77777777" w:rsidTr="00BF4529">
        <w:trPr>
          <w:cantSplit/>
        </w:trPr>
        <w:tc>
          <w:tcPr>
            <w:tcW w:w="1871" w:type="dxa"/>
            <w:tcMar>
              <w:top w:w="79" w:type="dxa"/>
              <w:left w:w="0" w:type="dxa"/>
              <w:bottom w:w="79" w:type="dxa"/>
              <w:right w:w="0" w:type="dxa"/>
            </w:tcMar>
          </w:tcPr>
          <w:p w14:paraId="778A3736"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0C74F826"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7E608D9C" w14:textId="77777777" w:rsidR="00BF4529" w:rsidRDefault="00BF4529" w:rsidP="00BF4529">
            <w:pPr>
              <w:pStyle w:val="TableInnerSideHeading"/>
              <w:spacing w:before="0"/>
              <w:rPr>
                <w:sz w:val="26"/>
                <w:rtl/>
              </w:rPr>
            </w:pPr>
            <w:r>
              <w:rPr>
                <w:rFonts w:hint="cs"/>
                <w:sz w:val="26"/>
                <w:rtl/>
              </w:rPr>
              <w:t>חובות נושא משרה</w:t>
            </w:r>
          </w:p>
        </w:tc>
        <w:tc>
          <w:tcPr>
            <w:tcW w:w="624" w:type="dxa"/>
            <w:tcMar>
              <w:top w:w="79" w:type="dxa"/>
              <w:left w:w="0" w:type="dxa"/>
              <w:bottom w:w="79" w:type="dxa"/>
              <w:right w:w="0" w:type="dxa"/>
            </w:tcMar>
            <w:hideMark/>
          </w:tcPr>
          <w:p w14:paraId="5925A8A2" w14:textId="77777777" w:rsidR="00BF4529" w:rsidRDefault="00BF4529" w:rsidP="00BF4529">
            <w:pPr>
              <w:pStyle w:val="TableText"/>
              <w:spacing w:before="0"/>
              <w:rPr>
                <w:sz w:val="26"/>
                <w:rtl/>
              </w:rPr>
            </w:pPr>
            <w:r>
              <w:rPr>
                <w:rFonts w:hint="cs"/>
                <w:sz w:val="26"/>
                <w:rtl/>
              </w:rPr>
              <w:t>15ג.</w:t>
            </w:r>
          </w:p>
        </w:tc>
        <w:tc>
          <w:tcPr>
            <w:tcW w:w="4650" w:type="dxa"/>
            <w:gridSpan w:val="3"/>
            <w:tcMar>
              <w:top w:w="79" w:type="dxa"/>
              <w:left w:w="0" w:type="dxa"/>
              <w:bottom w:w="79" w:type="dxa"/>
              <w:right w:w="0" w:type="dxa"/>
            </w:tcMar>
            <w:hideMark/>
          </w:tcPr>
          <w:p w14:paraId="14C33E93" w14:textId="77777777" w:rsidR="00BF4529" w:rsidRDefault="00BF4529" w:rsidP="00BF4529">
            <w:pPr>
              <w:pStyle w:val="TableBlock"/>
              <w:spacing w:before="0"/>
              <w:rPr>
                <w:sz w:val="26"/>
                <w:rtl/>
              </w:rPr>
            </w:pPr>
            <w:r>
              <w:rPr>
                <w:rFonts w:hint="cs"/>
                <w:sz w:val="26"/>
                <w:rtl/>
              </w:rPr>
              <w:t>(א)</w:t>
            </w:r>
            <w:r>
              <w:rPr>
                <w:rFonts w:hint="cs"/>
                <w:sz w:val="26"/>
                <w:rtl/>
              </w:rPr>
              <w:tab/>
              <w:t>נושא משרה חב כלפי הרשות חובת זהירות כאמור בסעיפים 35 ו-36 לפקודת הנזיקין [נוסח חדש]‏</w:t>
            </w:r>
            <w:r>
              <w:rPr>
                <w:rStyle w:val="ab"/>
                <w:rFonts w:hAnsi="HadasaMFO"/>
                <w:sz w:val="26"/>
                <w:rtl/>
              </w:rPr>
              <w:footnoteReference w:id="12"/>
            </w:r>
            <w:r>
              <w:rPr>
                <w:rFonts w:hint="cs"/>
                <w:sz w:val="26"/>
                <w:rtl/>
              </w:rPr>
              <w:t>.</w:t>
            </w:r>
          </w:p>
        </w:tc>
      </w:tr>
      <w:tr w:rsidR="00BF4529" w14:paraId="45A285EC" w14:textId="77777777" w:rsidTr="00BF4529">
        <w:trPr>
          <w:cantSplit/>
        </w:trPr>
        <w:tc>
          <w:tcPr>
            <w:tcW w:w="1871" w:type="dxa"/>
            <w:tcMar>
              <w:top w:w="79" w:type="dxa"/>
              <w:left w:w="0" w:type="dxa"/>
              <w:bottom w:w="79" w:type="dxa"/>
              <w:right w:w="0" w:type="dxa"/>
            </w:tcMar>
          </w:tcPr>
          <w:p w14:paraId="5179F4EB"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4EB5CA44"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2F1D65F3"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15DCED8D"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5791FEA2" w14:textId="77777777" w:rsidR="00BF4529" w:rsidRDefault="00BF4529" w:rsidP="00BF4529">
            <w:pPr>
              <w:pStyle w:val="TableText"/>
              <w:spacing w:before="0"/>
              <w:rPr>
                <w:sz w:val="26"/>
                <w:rtl/>
              </w:rPr>
            </w:pPr>
          </w:p>
        </w:tc>
        <w:tc>
          <w:tcPr>
            <w:tcW w:w="624" w:type="dxa"/>
            <w:tcMar>
              <w:top w:w="79" w:type="dxa"/>
              <w:left w:w="0" w:type="dxa"/>
              <w:bottom w:w="79" w:type="dxa"/>
              <w:right w:w="0" w:type="dxa"/>
            </w:tcMar>
          </w:tcPr>
          <w:p w14:paraId="16E26079" w14:textId="77777777" w:rsidR="00BF4529" w:rsidRDefault="00BF4529" w:rsidP="00BF4529">
            <w:pPr>
              <w:pStyle w:val="TableText"/>
              <w:spacing w:before="0"/>
              <w:rPr>
                <w:sz w:val="26"/>
                <w:rtl/>
              </w:rPr>
            </w:pPr>
          </w:p>
        </w:tc>
        <w:tc>
          <w:tcPr>
            <w:tcW w:w="4650" w:type="dxa"/>
            <w:gridSpan w:val="3"/>
            <w:tcMar>
              <w:top w:w="79" w:type="dxa"/>
              <w:left w:w="0" w:type="dxa"/>
              <w:bottom w:w="79" w:type="dxa"/>
              <w:right w:w="0" w:type="dxa"/>
            </w:tcMar>
            <w:hideMark/>
          </w:tcPr>
          <w:p w14:paraId="059BD0B6" w14:textId="77777777" w:rsidR="00BF4529" w:rsidRDefault="00BF4529" w:rsidP="00BF4529">
            <w:pPr>
              <w:pStyle w:val="TableBlock"/>
              <w:spacing w:before="0"/>
              <w:rPr>
                <w:sz w:val="26"/>
                <w:rtl/>
              </w:rPr>
            </w:pPr>
            <w:r>
              <w:rPr>
                <w:rFonts w:hint="cs"/>
                <w:sz w:val="26"/>
                <w:rtl/>
              </w:rPr>
              <w:t>(ב)</w:t>
            </w:r>
            <w:r>
              <w:rPr>
                <w:rFonts w:hint="cs"/>
                <w:sz w:val="26"/>
                <w:rtl/>
              </w:rPr>
              <w:tab/>
              <w:t>אין בהוראת סעיף קטן (א) כדי למנוע קיומה של חובת זהירות של נושא משרה כלפי אדם אחר.</w:t>
            </w:r>
          </w:p>
        </w:tc>
      </w:tr>
      <w:tr w:rsidR="00BF4529" w14:paraId="157D3086" w14:textId="77777777" w:rsidTr="00BF4529">
        <w:trPr>
          <w:cantSplit/>
        </w:trPr>
        <w:tc>
          <w:tcPr>
            <w:tcW w:w="1871" w:type="dxa"/>
            <w:tcMar>
              <w:top w:w="79" w:type="dxa"/>
              <w:left w:w="0" w:type="dxa"/>
              <w:bottom w:w="79" w:type="dxa"/>
              <w:right w:w="0" w:type="dxa"/>
            </w:tcMar>
          </w:tcPr>
          <w:p w14:paraId="06F8843B" w14:textId="77777777" w:rsidR="00BF4529" w:rsidRDefault="00BF4529" w:rsidP="00BF4529">
            <w:pPr>
              <w:pStyle w:val="TableSideHeading"/>
              <w:spacing w:before="0"/>
              <w:jc w:val="left"/>
              <w:rPr>
                <w:sz w:val="26"/>
                <w:rtl/>
              </w:rPr>
            </w:pPr>
          </w:p>
        </w:tc>
        <w:tc>
          <w:tcPr>
            <w:tcW w:w="624" w:type="dxa"/>
            <w:tcMar>
              <w:top w:w="79" w:type="dxa"/>
              <w:left w:w="0" w:type="dxa"/>
              <w:bottom w:w="79" w:type="dxa"/>
              <w:right w:w="0" w:type="dxa"/>
            </w:tcMar>
          </w:tcPr>
          <w:p w14:paraId="06F58894" w14:textId="77777777" w:rsidR="00BF4529" w:rsidRDefault="00BF4529" w:rsidP="00BF4529">
            <w:pPr>
              <w:pStyle w:val="TableText"/>
              <w:spacing w:before="0"/>
              <w:rPr>
                <w:sz w:val="26"/>
                <w:rtl/>
              </w:rPr>
            </w:pPr>
          </w:p>
        </w:tc>
        <w:tc>
          <w:tcPr>
            <w:tcW w:w="1872" w:type="dxa"/>
            <w:gridSpan w:val="3"/>
            <w:tcMar>
              <w:top w:w="79" w:type="dxa"/>
              <w:left w:w="0" w:type="dxa"/>
              <w:bottom w:w="79" w:type="dxa"/>
              <w:right w:w="0" w:type="dxa"/>
            </w:tcMar>
            <w:hideMark/>
          </w:tcPr>
          <w:p w14:paraId="148551A3" w14:textId="77777777" w:rsidR="00BF4529" w:rsidRDefault="00BF4529" w:rsidP="00BF4529">
            <w:pPr>
              <w:pStyle w:val="TableInnerSideHeading"/>
              <w:spacing w:before="0"/>
              <w:jc w:val="left"/>
              <w:rPr>
                <w:sz w:val="26"/>
                <w:rtl/>
              </w:rPr>
            </w:pPr>
            <w:r>
              <w:rPr>
                <w:rFonts w:hint="cs"/>
                <w:sz w:val="26"/>
                <w:rtl/>
              </w:rPr>
              <w:t>אמצעי זהירות ורמת מיומנות</w:t>
            </w:r>
          </w:p>
        </w:tc>
        <w:tc>
          <w:tcPr>
            <w:tcW w:w="624" w:type="dxa"/>
            <w:tcMar>
              <w:top w:w="79" w:type="dxa"/>
              <w:left w:w="0" w:type="dxa"/>
              <w:bottom w:w="79" w:type="dxa"/>
              <w:right w:w="0" w:type="dxa"/>
            </w:tcMar>
            <w:hideMark/>
          </w:tcPr>
          <w:p w14:paraId="599992B6" w14:textId="77777777" w:rsidR="00BF4529" w:rsidRDefault="00BF4529" w:rsidP="00BF4529">
            <w:pPr>
              <w:pStyle w:val="TableText"/>
              <w:spacing w:before="0"/>
              <w:rPr>
                <w:sz w:val="26"/>
                <w:rtl/>
              </w:rPr>
            </w:pPr>
            <w:r>
              <w:rPr>
                <w:rFonts w:hint="cs"/>
                <w:sz w:val="26"/>
                <w:rtl/>
              </w:rPr>
              <w:t>15ד.</w:t>
            </w:r>
          </w:p>
        </w:tc>
        <w:tc>
          <w:tcPr>
            <w:tcW w:w="4650" w:type="dxa"/>
            <w:gridSpan w:val="3"/>
            <w:tcMar>
              <w:top w:w="79" w:type="dxa"/>
              <w:left w:w="0" w:type="dxa"/>
              <w:bottom w:w="79" w:type="dxa"/>
              <w:right w:w="0" w:type="dxa"/>
            </w:tcMar>
            <w:hideMark/>
          </w:tcPr>
          <w:p w14:paraId="739E284E" w14:textId="77777777" w:rsidR="00BF4529" w:rsidRDefault="00BF4529" w:rsidP="00BF4529">
            <w:pPr>
              <w:pStyle w:val="TableBlock"/>
              <w:spacing w:before="0"/>
              <w:rPr>
                <w:sz w:val="26"/>
                <w:rtl/>
              </w:rPr>
            </w:pPr>
            <w:r>
              <w:rPr>
                <w:rFonts w:hint="cs"/>
                <w:sz w:val="26"/>
                <w:rtl/>
              </w:rPr>
              <w:t xml:space="preserve">נושא משרה יפעל ברמת מיומנות שבה היה פועל נושא משרה סביר, באותה עמדה ובאותן נסיבות, ובכלל זה ינקוט, בשים לב לנסיבות העניין, אמצעים סבירים כדי להבטיח כי פעולות הנעשות על ידיו בתוקף תפקידו עולות בקנה אחד עם תפקידי הרשות ומטרות חוק זה, וכדי לקבל מידע שיש לו חשיבות לצורך קבלת החלטה או ביצוע פעולה הנעשים על ידיו בתוקף תפקידו. </w:t>
            </w:r>
          </w:p>
        </w:tc>
      </w:tr>
      <w:tr w:rsidR="00BF4529" w14:paraId="0E5AB8B3" w14:textId="77777777" w:rsidTr="00BF4529">
        <w:trPr>
          <w:cantSplit/>
        </w:trPr>
        <w:tc>
          <w:tcPr>
            <w:tcW w:w="1871" w:type="dxa"/>
            <w:tcMar>
              <w:top w:w="91" w:type="dxa"/>
              <w:left w:w="0" w:type="dxa"/>
              <w:bottom w:w="91" w:type="dxa"/>
              <w:right w:w="0" w:type="dxa"/>
            </w:tcMar>
          </w:tcPr>
          <w:p w14:paraId="7EBB45A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16B90E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6A3A0C0" w14:textId="77777777" w:rsidR="00BF4529" w:rsidRDefault="00BF4529" w:rsidP="00BF4529">
            <w:pPr>
              <w:pStyle w:val="TableHead"/>
              <w:spacing w:before="0"/>
              <w:rPr>
                <w:sz w:val="26"/>
                <w:rtl/>
              </w:rPr>
            </w:pPr>
            <w:r>
              <w:rPr>
                <w:rFonts w:hint="cs"/>
                <w:sz w:val="26"/>
                <w:rtl/>
              </w:rPr>
              <w:t>סימן ג': חובת אמונים</w:t>
            </w:r>
          </w:p>
        </w:tc>
      </w:tr>
      <w:tr w:rsidR="00BF4529" w14:paraId="70585FC7" w14:textId="77777777" w:rsidTr="00BF4529">
        <w:trPr>
          <w:cantSplit/>
        </w:trPr>
        <w:tc>
          <w:tcPr>
            <w:tcW w:w="1871" w:type="dxa"/>
            <w:tcMar>
              <w:top w:w="91" w:type="dxa"/>
              <w:left w:w="0" w:type="dxa"/>
              <w:bottom w:w="91" w:type="dxa"/>
              <w:right w:w="0" w:type="dxa"/>
            </w:tcMar>
          </w:tcPr>
          <w:p w14:paraId="496C616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DE2677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1A91EE5" w14:textId="77777777" w:rsidR="00BF4529" w:rsidRDefault="00BF4529" w:rsidP="00BF4529">
            <w:pPr>
              <w:pStyle w:val="TableInnerSideHeading"/>
              <w:spacing w:before="0"/>
              <w:jc w:val="left"/>
              <w:rPr>
                <w:sz w:val="26"/>
                <w:rtl/>
              </w:rPr>
            </w:pPr>
            <w:r>
              <w:rPr>
                <w:rFonts w:hint="cs"/>
                <w:sz w:val="26"/>
                <w:rtl/>
              </w:rPr>
              <w:t>חובת אמונים ואיסור ניגוד עניינים</w:t>
            </w:r>
          </w:p>
        </w:tc>
        <w:tc>
          <w:tcPr>
            <w:tcW w:w="624" w:type="dxa"/>
            <w:tcMar>
              <w:top w:w="91" w:type="dxa"/>
              <w:left w:w="0" w:type="dxa"/>
              <w:bottom w:w="91" w:type="dxa"/>
              <w:right w:w="0" w:type="dxa"/>
            </w:tcMar>
            <w:hideMark/>
          </w:tcPr>
          <w:p w14:paraId="60131407" w14:textId="77777777" w:rsidR="00BF4529" w:rsidRDefault="00BF4529" w:rsidP="00BF4529">
            <w:pPr>
              <w:pStyle w:val="TableText"/>
              <w:spacing w:before="0"/>
              <w:rPr>
                <w:sz w:val="26"/>
                <w:rtl/>
              </w:rPr>
            </w:pPr>
            <w:r>
              <w:rPr>
                <w:rFonts w:hint="cs"/>
                <w:sz w:val="26"/>
                <w:rtl/>
              </w:rPr>
              <w:t>15ה.</w:t>
            </w:r>
          </w:p>
        </w:tc>
        <w:tc>
          <w:tcPr>
            <w:tcW w:w="4650" w:type="dxa"/>
            <w:gridSpan w:val="3"/>
            <w:tcMar>
              <w:top w:w="91" w:type="dxa"/>
              <w:left w:w="0" w:type="dxa"/>
              <w:bottom w:w="91" w:type="dxa"/>
              <w:right w:w="0" w:type="dxa"/>
            </w:tcMar>
            <w:hideMark/>
          </w:tcPr>
          <w:p w14:paraId="56F42C67" w14:textId="77777777" w:rsidR="00BF4529" w:rsidRDefault="00BF4529" w:rsidP="00BF4529">
            <w:pPr>
              <w:pStyle w:val="TableBlock"/>
              <w:spacing w:before="0"/>
              <w:rPr>
                <w:sz w:val="26"/>
                <w:rtl/>
              </w:rPr>
            </w:pPr>
            <w:r>
              <w:rPr>
                <w:rFonts w:hint="cs"/>
                <w:sz w:val="26"/>
                <w:rtl/>
              </w:rPr>
              <w:t>(א)</w:t>
            </w:r>
            <w:r>
              <w:rPr>
                <w:rFonts w:hint="cs"/>
                <w:sz w:val="26"/>
                <w:rtl/>
              </w:rPr>
              <w:tab/>
              <w:t>נושא משרה חב חובת אמונים לרשות, ינהג בתום לב ויפעל להגשמת תכליתה של הרשות, ובכלל זה –</w:t>
            </w:r>
          </w:p>
        </w:tc>
      </w:tr>
      <w:tr w:rsidR="00BF4529" w14:paraId="259E1633" w14:textId="77777777" w:rsidTr="00BF4529">
        <w:trPr>
          <w:cantSplit/>
        </w:trPr>
        <w:tc>
          <w:tcPr>
            <w:tcW w:w="1871" w:type="dxa"/>
            <w:tcMar>
              <w:top w:w="91" w:type="dxa"/>
              <w:left w:w="0" w:type="dxa"/>
              <w:bottom w:w="91" w:type="dxa"/>
              <w:right w:w="0" w:type="dxa"/>
            </w:tcMar>
          </w:tcPr>
          <w:p w14:paraId="095F58D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9E114F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EF0DA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FEC38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4350FF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B3225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3A5899"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265C75D" w14:textId="77777777" w:rsidR="00BF4529" w:rsidRDefault="00BF4529" w:rsidP="00BF4529">
            <w:pPr>
              <w:pStyle w:val="TableBlock"/>
              <w:spacing w:before="0"/>
              <w:rPr>
                <w:sz w:val="26"/>
                <w:rtl/>
              </w:rPr>
            </w:pPr>
            <w:r>
              <w:rPr>
                <w:rFonts w:hint="cs"/>
                <w:sz w:val="26"/>
                <w:rtl/>
              </w:rPr>
              <w:t>(1)</w:t>
            </w:r>
            <w:r>
              <w:rPr>
                <w:rFonts w:hint="cs"/>
                <w:sz w:val="26"/>
                <w:rtl/>
              </w:rPr>
              <w:tab/>
              <w:t>יימנע מכל פעולה שיש בה כדי להעמידו, במישרין או בעקיפין, במצב של חשש לניגוד עניינים בין מילוי תפקידו ברשות לבין עניין אישי או תפקיד אחר שלו, ובכלל זה לא יטפל ולא ישתתף בדיון ובהצבעה בישיבות, בנושא העלול להעמידו, במישרין או בעקיפין, במצב של ניגוד עניינים כאמור; לעניין פסקה זו, אחת היא אם מילוי התפקיד האחר הוא בתמורה או שלא בתמורה;</w:t>
            </w:r>
          </w:p>
        </w:tc>
      </w:tr>
      <w:tr w:rsidR="00BF4529" w14:paraId="54752CC9" w14:textId="77777777" w:rsidTr="00BF4529">
        <w:trPr>
          <w:cantSplit/>
        </w:trPr>
        <w:tc>
          <w:tcPr>
            <w:tcW w:w="1871" w:type="dxa"/>
            <w:tcMar>
              <w:top w:w="91" w:type="dxa"/>
              <w:left w:w="0" w:type="dxa"/>
              <w:bottom w:w="91" w:type="dxa"/>
              <w:right w:w="0" w:type="dxa"/>
            </w:tcMar>
          </w:tcPr>
          <w:p w14:paraId="3CC66D1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3538E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78336F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E1301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FE0A2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8D8CF1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8E6DEA"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031B96CF" w14:textId="77777777" w:rsidR="00BF4529" w:rsidRDefault="00BF4529" w:rsidP="00BF4529">
            <w:pPr>
              <w:pStyle w:val="TableBlock"/>
              <w:spacing w:before="0"/>
              <w:rPr>
                <w:sz w:val="26"/>
                <w:rtl/>
              </w:rPr>
            </w:pPr>
            <w:r>
              <w:rPr>
                <w:rFonts w:hint="cs"/>
                <w:sz w:val="26"/>
                <w:rtl/>
              </w:rPr>
              <w:t>(2)</w:t>
            </w:r>
            <w:r>
              <w:rPr>
                <w:rFonts w:hint="cs"/>
                <w:sz w:val="26"/>
                <w:rtl/>
              </w:rPr>
              <w:tab/>
              <w:t>יימנע מכל פעולה שיש בה תחרות עם פעולות הרשות;</w:t>
            </w:r>
          </w:p>
        </w:tc>
      </w:tr>
      <w:tr w:rsidR="00BF4529" w14:paraId="3975931A" w14:textId="77777777" w:rsidTr="00BF4529">
        <w:trPr>
          <w:cantSplit/>
        </w:trPr>
        <w:tc>
          <w:tcPr>
            <w:tcW w:w="1871" w:type="dxa"/>
            <w:tcMar>
              <w:top w:w="91" w:type="dxa"/>
              <w:left w:w="0" w:type="dxa"/>
              <w:bottom w:w="91" w:type="dxa"/>
              <w:right w:w="0" w:type="dxa"/>
            </w:tcMar>
          </w:tcPr>
          <w:p w14:paraId="2E43ED9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EFEB1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DE92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A77CB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692DA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088B1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CC2EF9"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432BC7B" w14:textId="77777777" w:rsidR="00BF4529" w:rsidRDefault="00BF4529" w:rsidP="00BF4529">
            <w:pPr>
              <w:pStyle w:val="TableBlock"/>
              <w:spacing w:before="0"/>
              <w:rPr>
                <w:sz w:val="26"/>
                <w:rtl/>
              </w:rPr>
            </w:pPr>
            <w:r>
              <w:rPr>
                <w:rFonts w:hint="cs"/>
                <w:sz w:val="26"/>
                <w:rtl/>
              </w:rPr>
              <w:t>(3)</w:t>
            </w:r>
            <w:r>
              <w:rPr>
                <w:rFonts w:hint="cs"/>
                <w:sz w:val="26"/>
                <w:rtl/>
              </w:rPr>
              <w:tab/>
              <w:t>יימנע מניצול הזדמנות עסקית של הרשות במטרה להשיג טובת הנאה לעצמו או לאחר;</w:t>
            </w:r>
          </w:p>
        </w:tc>
      </w:tr>
      <w:tr w:rsidR="00BF4529" w14:paraId="6BF374E9" w14:textId="77777777" w:rsidTr="00BF4529">
        <w:trPr>
          <w:cantSplit/>
        </w:trPr>
        <w:tc>
          <w:tcPr>
            <w:tcW w:w="1871" w:type="dxa"/>
            <w:tcMar>
              <w:top w:w="91" w:type="dxa"/>
              <w:left w:w="0" w:type="dxa"/>
              <w:bottom w:w="91" w:type="dxa"/>
              <w:right w:w="0" w:type="dxa"/>
            </w:tcMar>
          </w:tcPr>
          <w:p w14:paraId="6E990CC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08D3C2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49DE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EA3DD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52C5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85F930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97D8D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D67A360" w14:textId="77777777" w:rsidR="00BF4529" w:rsidRDefault="00BF4529" w:rsidP="00BF4529">
            <w:pPr>
              <w:pStyle w:val="TableBlock"/>
              <w:spacing w:before="0"/>
              <w:rPr>
                <w:sz w:val="26"/>
                <w:rtl/>
              </w:rPr>
            </w:pPr>
            <w:r>
              <w:rPr>
                <w:rFonts w:hint="cs"/>
                <w:sz w:val="26"/>
                <w:rtl/>
              </w:rPr>
              <w:t>(4)</w:t>
            </w:r>
            <w:r>
              <w:rPr>
                <w:rFonts w:hint="cs"/>
                <w:sz w:val="26"/>
                <w:rtl/>
              </w:rPr>
              <w:tab/>
              <w:t>יגלה לרשות כל ידיעה וימסור לה כל מסמך הנוגעים לענייניה, שבאו לידיו בתוקף מעמדו ברשות.</w:t>
            </w:r>
          </w:p>
        </w:tc>
      </w:tr>
      <w:tr w:rsidR="00BF4529" w14:paraId="520C7C62" w14:textId="77777777" w:rsidTr="00BF4529">
        <w:trPr>
          <w:cantSplit/>
        </w:trPr>
        <w:tc>
          <w:tcPr>
            <w:tcW w:w="1871" w:type="dxa"/>
            <w:tcMar>
              <w:top w:w="91" w:type="dxa"/>
              <w:left w:w="0" w:type="dxa"/>
              <w:bottom w:w="91" w:type="dxa"/>
              <w:right w:w="0" w:type="dxa"/>
            </w:tcMar>
          </w:tcPr>
          <w:p w14:paraId="75D9031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15820F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F539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A191A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5DB23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88B069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889303D" w14:textId="77777777" w:rsidR="00BF4529" w:rsidRDefault="00BF4529" w:rsidP="00BF4529">
            <w:pPr>
              <w:pStyle w:val="TableBlock"/>
              <w:spacing w:before="0"/>
              <w:rPr>
                <w:sz w:val="26"/>
                <w:rtl/>
              </w:rPr>
            </w:pPr>
            <w:r>
              <w:rPr>
                <w:rFonts w:hint="cs"/>
                <w:sz w:val="26"/>
                <w:rtl/>
              </w:rPr>
              <w:t>(ב)</w:t>
            </w:r>
            <w:r>
              <w:rPr>
                <w:rFonts w:hint="cs"/>
                <w:sz w:val="26"/>
                <w:rtl/>
              </w:rPr>
              <w:tab/>
              <w:t xml:space="preserve">על אף האמור בסעיף (א), חבר המועצה שהוא עובד המדינה רשאי להביא בחשבון בגדר שיקוליו והחלטותיו, גם את מדיניות הממשלה ואת מדיניות המשרד הממשלתי שבו הוא עובד, ולא יראו אותו כמצוי בניגוד עניינים בשל כך בלבד. </w:t>
            </w:r>
          </w:p>
        </w:tc>
      </w:tr>
      <w:tr w:rsidR="00BF4529" w14:paraId="08584B9C" w14:textId="77777777" w:rsidTr="00BF4529">
        <w:trPr>
          <w:cantSplit/>
        </w:trPr>
        <w:tc>
          <w:tcPr>
            <w:tcW w:w="1871" w:type="dxa"/>
            <w:tcMar>
              <w:top w:w="91" w:type="dxa"/>
              <w:left w:w="0" w:type="dxa"/>
              <w:bottom w:w="91" w:type="dxa"/>
              <w:right w:w="0" w:type="dxa"/>
            </w:tcMar>
          </w:tcPr>
          <w:p w14:paraId="440CAED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59C55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97888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55DA38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57F90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F9E3E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6A8E4A4" w14:textId="77777777" w:rsidR="00BF4529" w:rsidRDefault="00BF4529" w:rsidP="00BF4529">
            <w:pPr>
              <w:pStyle w:val="TableBlock"/>
              <w:spacing w:before="0"/>
              <w:rPr>
                <w:sz w:val="26"/>
                <w:rtl/>
              </w:rPr>
            </w:pPr>
            <w:r>
              <w:rPr>
                <w:rFonts w:hint="cs"/>
                <w:sz w:val="26"/>
                <w:rtl/>
              </w:rPr>
              <w:t>(ג)</w:t>
            </w:r>
            <w:r>
              <w:rPr>
                <w:rFonts w:hint="cs"/>
                <w:sz w:val="26"/>
                <w:rtl/>
              </w:rPr>
              <w:tab/>
              <w:t>אין בהוראות סעיף זה כדי למנוע קיומה של חובת אמונים של נושא משרה כלפי אדם אחר.</w:t>
            </w:r>
          </w:p>
        </w:tc>
      </w:tr>
      <w:tr w:rsidR="00BF4529" w14:paraId="553570B3" w14:textId="77777777" w:rsidTr="00BF4529">
        <w:trPr>
          <w:cantSplit/>
        </w:trPr>
        <w:tc>
          <w:tcPr>
            <w:tcW w:w="1871" w:type="dxa"/>
            <w:tcMar>
              <w:top w:w="91" w:type="dxa"/>
              <w:left w:w="0" w:type="dxa"/>
              <w:bottom w:w="91" w:type="dxa"/>
              <w:right w:w="0" w:type="dxa"/>
            </w:tcMar>
          </w:tcPr>
          <w:p w14:paraId="3E5965F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6A92A05"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2BDB645" w14:textId="77777777" w:rsidR="00BF4529" w:rsidRDefault="00BF4529" w:rsidP="00BF4529">
            <w:pPr>
              <w:pStyle w:val="TableInnerSideHeading"/>
              <w:spacing w:before="0"/>
              <w:jc w:val="left"/>
              <w:rPr>
                <w:sz w:val="26"/>
                <w:rtl/>
              </w:rPr>
            </w:pPr>
            <w:r>
              <w:rPr>
                <w:rFonts w:hint="cs"/>
                <w:sz w:val="26"/>
                <w:rtl/>
              </w:rPr>
              <w:t>הודעה על חשש לניגוד עניינים</w:t>
            </w:r>
          </w:p>
        </w:tc>
        <w:tc>
          <w:tcPr>
            <w:tcW w:w="624" w:type="dxa"/>
            <w:tcMar>
              <w:top w:w="91" w:type="dxa"/>
              <w:left w:w="0" w:type="dxa"/>
              <w:bottom w:w="91" w:type="dxa"/>
              <w:right w:w="0" w:type="dxa"/>
            </w:tcMar>
            <w:hideMark/>
          </w:tcPr>
          <w:p w14:paraId="63062E3C" w14:textId="77777777" w:rsidR="00BF4529" w:rsidRDefault="00BF4529" w:rsidP="00BF4529">
            <w:pPr>
              <w:pStyle w:val="TableText"/>
              <w:spacing w:before="0"/>
              <w:rPr>
                <w:sz w:val="26"/>
                <w:rtl/>
              </w:rPr>
            </w:pPr>
            <w:r>
              <w:rPr>
                <w:rFonts w:hint="cs"/>
                <w:sz w:val="26"/>
                <w:rtl/>
              </w:rPr>
              <w:t>15ו.</w:t>
            </w:r>
          </w:p>
        </w:tc>
        <w:tc>
          <w:tcPr>
            <w:tcW w:w="4650" w:type="dxa"/>
            <w:gridSpan w:val="3"/>
            <w:tcMar>
              <w:top w:w="91" w:type="dxa"/>
              <w:left w:w="0" w:type="dxa"/>
              <w:bottom w:w="91" w:type="dxa"/>
              <w:right w:w="0" w:type="dxa"/>
            </w:tcMar>
            <w:hideMark/>
          </w:tcPr>
          <w:p w14:paraId="7F28A456" w14:textId="77777777" w:rsidR="00BF4529" w:rsidRDefault="00BF4529" w:rsidP="00BF4529">
            <w:pPr>
              <w:pStyle w:val="TableBlock"/>
              <w:spacing w:before="0"/>
              <w:rPr>
                <w:sz w:val="26"/>
                <w:rtl/>
              </w:rPr>
            </w:pPr>
            <w:r>
              <w:rPr>
                <w:rFonts w:hint="cs"/>
                <w:sz w:val="26"/>
                <w:rtl/>
              </w:rPr>
              <w:t>התברר לנושא משרה כי נושא הנדון או המטופל על ידו עלול לגרום לו להימצא במצב של ניגוד עניינים כאמור בסעיף 15ה(א), יודיע על כך ליושב ראש המועצה או למנהל הכללי של הרשות, לפי העניין, וינהג לפי הנחיותיהם.</w:t>
            </w:r>
          </w:p>
        </w:tc>
      </w:tr>
      <w:tr w:rsidR="00BF4529" w14:paraId="586D0762" w14:textId="77777777" w:rsidTr="00BF4529">
        <w:trPr>
          <w:cantSplit/>
        </w:trPr>
        <w:tc>
          <w:tcPr>
            <w:tcW w:w="1871" w:type="dxa"/>
            <w:tcMar>
              <w:top w:w="91" w:type="dxa"/>
              <w:left w:w="0" w:type="dxa"/>
              <w:bottom w:w="91" w:type="dxa"/>
              <w:right w:w="0" w:type="dxa"/>
            </w:tcMar>
          </w:tcPr>
          <w:p w14:paraId="7E316DC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94E2518"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5F1D878" w14:textId="77777777" w:rsidR="00BF4529" w:rsidRDefault="00BF4529" w:rsidP="00BF4529">
            <w:pPr>
              <w:pStyle w:val="TableInnerSideHeading"/>
              <w:spacing w:before="0"/>
              <w:jc w:val="left"/>
              <w:rPr>
                <w:sz w:val="26"/>
                <w:rtl/>
              </w:rPr>
            </w:pPr>
            <w:r>
              <w:rPr>
                <w:rFonts w:hint="cs"/>
                <w:sz w:val="26"/>
                <w:rtl/>
              </w:rPr>
              <w:t>תרופות בשל הפרת חובת אמונים</w:t>
            </w:r>
          </w:p>
        </w:tc>
        <w:tc>
          <w:tcPr>
            <w:tcW w:w="624" w:type="dxa"/>
            <w:tcMar>
              <w:top w:w="91" w:type="dxa"/>
              <w:left w:w="0" w:type="dxa"/>
              <w:bottom w:w="91" w:type="dxa"/>
              <w:right w:w="0" w:type="dxa"/>
            </w:tcMar>
            <w:hideMark/>
          </w:tcPr>
          <w:p w14:paraId="3A0A49C3" w14:textId="77777777" w:rsidR="00BF4529" w:rsidRDefault="00BF4529" w:rsidP="00BF4529">
            <w:pPr>
              <w:pStyle w:val="TableText"/>
              <w:spacing w:before="0"/>
              <w:rPr>
                <w:sz w:val="26"/>
                <w:rtl/>
              </w:rPr>
            </w:pPr>
            <w:r>
              <w:rPr>
                <w:rFonts w:hint="cs"/>
                <w:sz w:val="26"/>
                <w:rtl/>
              </w:rPr>
              <w:t>15ז.</w:t>
            </w:r>
          </w:p>
        </w:tc>
        <w:tc>
          <w:tcPr>
            <w:tcW w:w="4650" w:type="dxa"/>
            <w:gridSpan w:val="3"/>
            <w:tcMar>
              <w:top w:w="91" w:type="dxa"/>
              <w:left w:w="0" w:type="dxa"/>
              <w:bottom w:w="91" w:type="dxa"/>
              <w:right w:w="0" w:type="dxa"/>
            </w:tcMar>
            <w:hideMark/>
          </w:tcPr>
          <w:p w14:paraId="37BC9355" w14:textId="77777777" w:rsidR="00BF4529" w:rsidRDefault="00BF4529" w:rsidP="00BF4529">
            <w:pPr>
              <w:pStyle w:val="TableBlock"/>
              <w:spacing w:before="0"/>
              <w:rPr>
                <w:sz w:val="26"/>
                <w:rtl/>
              </w:rPr>
            </w:pPr>
            <w:r>
              <w:rPr>
                <w:rFonts w:hint="cs"/>
                <w:sz w:val="26"/>
                <w:rtl/>
              </w:rPr>
              <w:t>(א)</w:t>
            </w:r>
            <w:r>
              <w:rPr>
                <w:rFonts w:hint="cs"/>
                <w:sz w:val="26"/>
                <w:rtl/>
              </w:rPr>
              <w:tab/>
              <w:t>על הפרת חובת אמונים של נושא משרה כלפי הרשות יחולו הדינים החלים על הפרת חוזה, בשינויים המחויבים.</w:t>
            </w:r>
          </w:p>
        </w:tc>
      </w:tr>
      <w:tr w:rsidR="00BF4529" w14:paraId="447720CE" w14:textId="77777777" w:rsidTr="00BF4529">
        <w:trPr>
          <w:cantSplit/>
        </w:trPr>
        <w:tc>
          <w:tcPr>
            <w:tcW w:w="1871" w:type="dxa"/>
            <w:tcMar>
              <w:top w:w="91" w:type="dxa"/>
              <w:left w:w="0" w:type="dxa"/>
              <w:bottom w:w="91" w:type="dxa"/>
              <w:right w:w="0" w:type="dxa"/>
            </w:tcMar>
          </w:tcPr>
          <w:p w14:paraId="69C11CD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07BF63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A25A5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57100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2DAF4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AA2323"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412E8BA" w14:textId="77777777" w:rsidR="00BF4529" w:rsidRDefault="00BF4529" w:rsidP="00BF4529">
            <w:pPr>
              <w:pStyle w:val="TableBlock"/>
              <w:spacing w:before="0"/>
              <w:rPr>
                <w:sz w:val="26"/>
                <w:rtl/>
              </w:rPr>
            </w:pPr>
            <w:r>
              <w:rPr>
                <w:rFonts w:hint="cs"/>
                <w:sz w:val="26"/>
                <w:rtl/>
              </w:rPr>
              <w:t>(ב)</w:t>
            </w:r>
            <w:r>
              <w:rPr>
                <w:rFonts w:hint="cs"/>
                <w:sz w:val="26"/>
                <w:rtl/>
              </w:rPr>
              <w:tab/>
              <w:t>בלי לגרוע מכלליות האמור בסעיף קטן (א), רואים נושא משרה שהפר חובת אמונים כלפי הרשות כמי שהפר התקשרות עם הרשות.</w:t>
            </w:r>
          </w:p>
        </w:tc>
      </w:tr>
      <w:tr w:rsidR="00BF4529" w14:paraId="68E6C6A3" w14:textId="77777777" w:rsidTr="00BF4529">
        <w:trPr>
          <w:cantSplit/>
        </w:trPr>
        <w:tc>
          <w:tcPr>
            <w:tcW w:w="1871" w:type="dxa"/>
            <w:tcMar>
              <w:top w:w="91" w:type="dxa"/>
              <w:left w:w="0" w:type="dxa"/>
              <w:bottom w:w="91" w:type="dxa"/>
              <w:right w:w="0" w:type="dxa"/>
            </w:tcMar>
          </w:tcPr>
          <w:p w14:paraId="293254A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AE57D8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0C8F9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9EE34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24EE10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1AFC4A"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14D98AC" w14:textId="77777777" w:rsidR="00BF4529" w:rsidRDefault="00BF4529" w:rsidP="00BF4529">
            <w:pPr>
              <w:pStyle w:val="TableBlock"/>
              <w:spacing w:before="0"/>
              <w:rPr>
                <w:sz w:val="26"/>
                <w:rtl/>
              </w:rPr>
            </w:pPr>
            <w:r>
              <w:rPr>
                <w:rFonts w:hint="cs"/>
                <w:sz w:val="26"/>
                <w:rtl/>
              </w:rPr>
              <w:t>(ג)</w:t>
            </w:r>
            <w:r>
              <w:rPr>
                <w:rFonts w:hint="cs"/>
                <w:sz w:val="26"/>
                <w:rtl/>
              </w:rPr>
              <w:tab/>
              <w:t xml:space="preserve">הרשות רשאית לבטל פעולה שעשה נושא משרה בשם הרשות כלפי אדם אחר או לתבוע מאותו אדם את הפיצויים המגיעים לה מנושא המשרה, אף בלא ביטול הפעולה, אם אותו אדם ידע על הפרת חובת האמונים של נושא המשרה. </w:t>
            </w:r>
          </w:p>
        </w:tc>
      </w:tr>
      <w:tr w:rsidR="00BF4529" w14:paraId="0570A453" w14:textId="77777777" w:rsidTr="00BF4529">
        <w:trPr>
          <w:cantSplit/>
        </w:trPr>
        <w:tc>
          <w:tcPr>
            <w:tcW w:w="1871" w:type="dxa"/>
            <w:tcMar>
              <w:top w:w="91" w:type="dxa"/>
              <w:left w:w="0" w:type="dxa"/>
              <w:bottom w:w="91" w:type="dxa"/>
              <w:right w:w="0" w:type="dxa"/>
            </w:tcMar>
          </w:tcPr>
          <w:p w14:paraId="785F585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CCD0ED8"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61BF5D71" w14:textId="77777777" w:rsidR="00BF4529" w:rsidRDefault="00BF4529" w:rsidP="00BF4529">
            <w:pPr>
              <w:pStyle w:val="TableHead"/>
              <w:spacing w:before="0"/>
              <w:rPr>
                <w:sz w:val="26"/>
                <w:rtl/>
              </w:rPr>
            </w:pPr>
            <w:r>
              <w:rPr>
                <w:rFonts w:hint="cs"/>
                <w:sz w:val="26"/>
                <w:rtl/>
              </w:rPr>
              <w:t>סימן ד': שיפוי וביטוח ותביעה בשם הרשות</w:t>
            </w:r>
          </w:p>
        </w:tc>
      </w:tr>
      <w:tr w:rsidR="00BF4529" w14:paraId="484EE129" w14:textId="77777777" w:rsidTr="00BF4529">
        <w:trPr>
          <w:cantSplit/>
        </w:trPr>
        <w:tc>
          <w:tcPr>
            <w:tcW w:w="1871" w:type="dxa"/>
            <w:tcMar>
              <w:top w:w="91" w:type="dxa"/>
              <w:left w:w="0" w:type="dxa"/>
              <w:bottom w:w="91" w:type="dxa"/>
              <w:right w:w="0" w:type="dxa"/>
            </w:tcMar>
          </w:tcPr>
          <w:p w14:paraId="4D5CC9A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BB22DF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D9B46EE" w14:textId="77777777" w:rsidR="00BF4529" w:rsidRDefault="00BF4529" w:rsidP="00BF4529">
            <w:pPr>
              <w:pStyle w:val="TableInnerSideHeading"/>
              <w:spacing w:before="0"/>
              <w:jc w:val="left"/>
              <w:rPr>
                <w:sz w:val="26"/>
                <w:rtl/>
              </w:rPr>
            </w:pPr>
            <w:r>
              <w:rPr>
                <w:rFonts w:hint="cs"/>
                <w:sz w:val="26"/>
                <w:rtl/>
              </w:rPr>
              <w:t xml:space="preserve">איסור מתן פטור מאחריות </w:t>
            </w:r>
          </w:p>
        </w:tc>
        <w:tc>
          <w:tcPr>
            <w:tcW w:w="624" w:type="dxa"/>
            <w:tcMar>
              <w:top w:w="91" w:type="dxa"/>
              <w:left w:w="0" w:type="dxa"/>
              <w:bottom w:w="91" w:type="dxa"/>
              <w:right w:w="0" w:type="dxa"/>
            </w:tcMar>
            <w:hideMark/>
          </w:tcPr>
          <w:p w14:paraId="48FD1AC3" w14:textId="77777777" w:rsidR="00BF4529" w:rsidRDefault="00BF4529" w:rsidP="00BF4529">
            <w:pPr>
              <w:pStyle w:val="TableText"/>
              <w:spacing w:before="0"/>
              <w:rPr>
                <w:sz w:val="26"/>
                <w:rtl/>
              </w:rPr>
            </w:pPr>
            <w:r>
              <w:rPr>
                <w:rFonts w:hint="cs"/>
                <w:sz w:val="26"/>
                <w:rtl/>
              </w:rPr>
              <w:t>15ח.</w:t>
            </w:r>
          </w:p>
        </w:tc>
        <w:tc>
          <w:tcPr>
            <w:tcW w:w="4650" w:type="dxa"/>
            <w:gridSpan w:val="3"/>
            <w:tcMar>
              <w:top w:w="91" w:type="dxa"/>
              <w:left w:w="0" w:type="dxa"/>
              <w:bottom w:w="91" w:type="dxa"/>
              <w:right w:w="0" w:type="dxa"/>
            </w:tcMar>
            <w:hideMark/>
          </w:tcPr>
          <w:p w14:paraId="30F87FE2" w14:textId="77777777" w:rsidR="00BF4529" w:rsidRDefault="00BF4529" w:rsidP="00BF4529">
            <w:pPr>
              <w:pStyle w:val="TableBlock"/>
              <w:spacing w:before="0"/>
              <w:rPr>
                <w:sz w:val="26"/>
                <w:rtl/>
              </w:rPr>
            </w:pPr>
            <w:r>
              <w:rPr>
                <w:rFonts w:hint="cs"/>
                <w:sz w:val="26"/>
                <w:rtl/>
              </w:rPr>
              <w:t>הרשות אינה רשאית לפטור נושא משרה מאחריותו בשל הפרת חובת הזהירות או הפרת חובת האמונים כלפיה.</w:t>
            </w:r>
          </w:p>
        </w:tc>
      </w:tr>
      <w:tr w:rsidR="00BF4529" w14:paraId="005986AE" w14:textId="77777777" w:rsidTr="00BF4529">
        <w:trPr>
          <w:cantSplit/>
        </w:trPr>
        <w:tc>
          <w:tcPr>
            <w:tcW w:w="1871" w:type="dxa"/>
            <w:tcMar>
              <w:top w:w="91" w:type="dxa"/>
              <w:left w:w="0" w:type="dxa"/>
              <w:bottom w:w="91" w:type="dxa"/>
              <w:right w:w="0" w:type="dxa"/>
            </w:tcMar>
          </w:tcPr>
          <w:p w14:paraId="1520B67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305B606"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D24CB23" w14:textId="77777777" w:rsidR="00BF4529" w:rsidRDefault="00BF4529" w:rsidP="00BF4529">
            <w:pPr>
              <w:pStyle w:val="TableInnerSideHeading"/>
              <w:spacing w:before="0"/>
              <w:rPr>
                <w:sz w:val="26"/>
                <w:rtl/>
              </w:rPr>
            </w:pPr>
            <w:r>
              <w:rPr>
                <w:rFonts w:hint="cs"/>
                <w:sz w:val="26"/>
                <w:rtl/>
              </w:rPr>
              <w:t>שיפוי</w:t>
            </w:r>
          </w:p>
        </w:tc>
        <w:tc>
          <w:tcPr>
            <w:tcW w:w="624" w:type="dxa"/>
            <w:tcMar>
              <w:top w:w="91" w:type="dxa"/>
              <w:left w:w="0" w:type="dxa"/>
              <w:bottom w:w="91" w:type="dxa"/>
              <w:right w:w="0" w:type="dxa"/>
            </w:tcMar>
            <w:hideMark/>
          </w:tcPr>
          <w:p w14:paraId="7791D813" w14:textId="77777777" w:rsidR="00BF4529" w:rsidRDefault="00BF4529" w:rsidP="00BF4529">
            <w:pPr>
              <w:pStyle w:val="TableText"/>
              <w:spacing w:before="0"/>
              <w:rPr>
                <w:sz w:val="26"/>
                <w:rtl/>
              </w:rPr>
            </w:pPr>
            <w:r>
              <w:rPr>
                <w:rFonts w:hint="cs"/>
                <w:sz w:val="26"/>
                <w:rtl/>
              </w:rPr>
              <w:t>15ט.</w:t>
            </w:r>
          </w:p>
        </w:tc>
        <w:tc>
          <w:tcPr>
            <w:tcW w:w="4650" w:type="dxa"/>
            <w:gridSpan w:val="3"/>
            <w:tcMar>
              <w:top w:w="91" w:type="dxa"/>
              <w:left w:w="0" w:type="dxa"/>
              <w:bottom w:w="91" w:type="dxa"/>
              <w:right w:w="0" w:type="dxa"/>
            </w:tcMar>
            <w:hideMark/>
          </w:tcPr>
          <w:p w14:paraId="311B535B" w14:textId="77777777" w:rsidR="00BF4529" w:rsidRDefault="00BF4529" w:rsidP="00BF4529">
            <w:pPr>
              <w:pStyle w:val="TableBlock"/>
              <w:spacing w:before="0"/>
              <w:rPr>
                <w:sz w:val="26"/>
                <w:rtl/>
              </w:rPr>
            </w:pPr>
            <w:r>
              <w:rPr>
                <w:rFonts w:hint="cs"/>
                <w:sz w:val="26"/>
                <w:rtl/>
              </w:rPr>
              <w:t>(א)</w:t>
            </w:r>
            <w:r>
              <w:rPr>
                <w:rFonts w:hint="cs"/>
                <w:sz w:val="26"/>
                <w:rtl/>
              </w:rPr>
              <w:tab/>
              <w:t>הרשות רשאית לשפות בדיעבד נושא משרה בה בשל חבות או הוצאה כמפורט בסעיף 260(א) לחוק החברות שהוטלה עליו או שהוציא, עקב פעולה שעשה בתוקף היותו נושא משרה בה.</w:t>
            </w:r>
          </w:p>
        </w:tc>
      </w:tr>
      <w:tr w:rsidR="00BF4529" w14:paraId="5D339ED9" w14:textId="77777777" w:rsidTr="00BF4529">
        <w:trPr>
          <w:cantSplit/>
        </w:trPr>
        <w:tc>
          <w:tcPr>
            <w:tcW w:w="1871" w:type="dxa"/>
            <w:tcMar>
              <w:top w:w="91" w:type="dxa"/>
              <w:left w:w="0" w:type="dxa"/>
              <w:bottom w:w="91" w:type="dxa"/>
              <w:right w:w="0" w:type="dxa"/>
            </w:tcMar>
          </w:tcPr>
          <w:p w14:paraId="059072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18BB91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848FE6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53EAC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561B48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582EC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2088DC5" w14:textId="77777777" w:rsidR="00BF4529" w:rsidRDefault="00BF4529" w:rsidP="00BF4529">
            <w:pPr>
              <w:pStyle w:val="TableBlock"/>
              <w:spacing w:before="0"/>
              <w:rPr>
                <w:sz w:val="26"/>
                <w:rtl/>
              </w:rPr>
            </w:pPr>
            <w:r>
              <w:rPr>
                <w:rFonts w:hint="cs"/>
                <w:sz w:val="26"/>
                <w:rtl/>
              </w:rPr>
              <w:t>(ב)</w:t>
            </w:r>
            <w:r>
              <w:rPr>
                <w:rFonts w:hint="cs"/>
                <w:sz w:val="26"/>
                <w:rtl/>
              </w:rPr>
              <w:tab/>
              <w:t xml:space="preserve">הרשות אינה רשאית לתת התחייבות מראש לשפות נושא משרה בשל חבות או הוצאה כאמור בסעיף קטן (א) אלא בנסיבות מיוחדות המצדיקות זאת ומטעמים שיירשמו, ובלבד שלא תינתן התחייבות מראש לשיפוי כאמור אלא בהתאם להוראות פסקה (1) של סעיף 260(ב) לחוק החברות. </w:t>
            </w:r>
          </w:p>
        </w:tc>
      </w:tr>
      <w:tr w:rsidR="00BF4529" w14:paraId="57729071" w14:textId="77777777" w:rsidTr="00BF4529">
        <w:trPr>
          <w:cantSplit/>
        </w:trPr>
        <w:tc>
          <w:tcPr>
            <w:tcW w:w="1871" w:type="dxa"/>
            <w:tcMar>
              <w:top w:w="91" w:type="dxa"/>
              <w:left w:w="0" w:type="dxa"/>
              <w:bottom w:w="91" w:type="dxa"/>
              <w:right w:w="0" w:type="dxa"/>
            </w:tcMar>
          </w:tcPr>
          <w:p w14:paraId="2061D45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41B912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09B671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CDED5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16E73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8B1F7B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E77DD52" w14:textId="77777777" w:rsidR="00BF4529" w:rsidRDefault="00BF4529" w:rsidP="00BF4529">
            <w:pPr>
              <w:pStyle w:val="TableBlock"/>
              <w:spacing w:before="0"/>
              <w:rPr>
                <w:sz w:val="26"/>
                <w:rtl/>
              </w:rPr>
            </w:pPr>
            <w:r>
              <w:rPr>
                <w:rFonts w:hint="cs"/>
                <w:sz w:val="26"/>
                <w:rtl/>
              </w:rPr>
              <w:t>(ג)</w:t>
            </w:r>
            <w:r>
              <w:rPr>
                <w:rFonts w:hint="cs"/>
                <w:sz w:val="26"/>
                <w:rtl/>
              </w:rPr>
              <w:tab/>
              <w:t>החלטה על מתן שיפוי לפי סעיף קטן (א) או מתן התחייבות לשיפוי לפי סעיף קטן (ב) תתקבל במועצה, והיא טעונה אישור של שר האוצר.</w:t>
            </w:r>
          </w:p>
        </w:tc>
      </w:tr>
      <w:tr w:rsidR="00BF4529" w14:paraId="030C80C9" w14:textId="77777777" w:rsidTr="00BF4529">
        <w:trPr>
          <w:cantSplit/>
        </w:trPr>
        <w:tc>
          <w:tcPr>
            <w:tcW w:w="1871" w:type="dxa"/>
            <w:tcMar>
              <w:top w:w="91" w:type="dxa"/>
              <w:left w:w="0" w:type="dxa"/>
              <w:bottom w:w="91" w:type="dxa"/>
              <w:right w:w="0" w:type="dxa"/>
            </w:tcMar>
          </w:tcPr>
          <w:p w14:paraId="611C306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17A4BE5"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1BBE4D8F" w14:textId="77777777" w:rsidR="00BF4529" w:rsidRDefault="00BF4529" w:rsidP="00BF4529">
            <w:pPr>
              <w:pStyle w:val="TableInnerSideHeading"/>
              <w:spacing w:before="0"/>
              <w:rPr>
                <w:sz w:val="26"/>
                <w:rtl/>
              </w:rPr>
            </w:pPr>
            <w:r>
              <w:rPr>
                <w:rFonts w:hint="cs"/>
                <w:sz w:val="26"/>
                <w:rtl/>
              </w:rPr>
              <w:t xml:space="preserve">ביטוח אחריות </w:t>
            </w:r>
          </w:p>
        </w:tc>
        <w:tc>
          <w:tcPr>
            <w:tcW w:w="624" w:type="dxa"/>
            <w:tcMar>
              <w:top w:w="91" w:type="dxa"/>
              <w:left w:w="0" w:type="dxa"/>
              <w:bottom w:w="91" w:type="dxa"/>
              <w:right w:w="0" w:type="dxa"/>
            </w:tcMar>
            <w:hideMark/>
          </w:tcPr>
          <w:p w14:paraId="6EB237B8" w14:textId="77777777" w:rsidR="00BF4529" w:rsidRDefault="00BF4529" w:rsidP="00BF4529">
            <w:pPr>
              <w:pStyle w:val="TableText"/>
              <w:spacing w:before="0"/>
              <w:rPr>
                <w:sz w:val="26"/>
                <w:rtl/>
              </w:rPr>
            </w:pPr>
            <w:r>
              <w:rPr>
                <w:rFonts w:hint="cs"/>
                <w:sz w:val="26"/>
                <w:rtl/>
              </w:rPr>
              <w:t>15י.</w:t>
            </w:r>
          </w:p>
        </w:tc>
        <w:tc>
          <w:tcPr>
            <w:tcW w:w="4650" w:type="dxa"/>
            <w:gridSpan w:val="3"/>
            <w:tcMar>
              <w:top w:w="91" w:type="dxa"/>
              <w:left w:w="0" w:type="dxa"/>
              <w:bottom w:w="91" w:type="dxa"/>
              <w:right w:w="0" w:type="dxa"/>
            </w:tcMar>
            <w:hideMark/>
          </w:tcPr>
          <w:p w14:paraId="461086B4" w14:textId="77777777" w:rsidR="00BF4529" w:rsidRDefault="00BF4529" w:rsidP="00BF4529">
            <w:pPr>
              <w:pStyle w:val="TableBlock"/>
              <w:spacing w:before="0"/>
              <w:rPr>
                <w:sz w:val="26"/>
                <w:rtl/>
              </w:rPr>
            </w:pPr>
            <w:r>
              <w:rPr>
                <w:rFonts w:hint="cs"/>
                <w:sz w:val="26"/>
                <w:rtl/>
              </w:rPr>
              <w:t>(א)</w:t>
            </w:r>
            <w:r>
              <w:rPr>
                <w:rFonts w:hint="cs"/>
                <w:sz w:val="26"/>
                <w:rtl/>
              </w:rPr>
              <w:tab/>
              <w:t xml:space="preserve">הרשות רשאית להתקשר בחוזה לביטוח אחריותו של נושא משרה בה בשל חבות שתוטל עליו עקב פעולה שעשה בתוקף היותו נושא משרה בה, במקרים המפורטים בסעיף 261 לחוק החברות. </w:t>
            </w:r>
          </w:p>
        </w:tc>
      </w:tr>
      <w:tr w:rsidR="00BF4529" w14:paraId="3F8A8364" w14:textId="77777777" w:rsidTr="00BF4529">
        <w:trPr>
          <w:cantSplit/>
        </w:trPr>
        <w:tc>
          <w:tcPr>
            <w:tcW w:w="1871" w:type="dxa"/>
            <w:tcMar>
              <w:top w:w="91" w:type="dxa"/>
              <w:left w:w="0" w:type="dxa"/>
              <w:bottom w:w="91" w:type="dxa"/>
              <w:right w:w="0" w:type="dxa"/>
            </w:tcMar>
          </w:tcPr>
          <w:p w14:paraId="11B546E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26D17D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390F8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15F90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BFF377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00AE38"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A288531" w14:textId="77777777" w:rsidR="00BF4529" w:rsidRDefault="00BF4529" w:rsidP="00BF4529">
            <w:pPr>
              <w:pStyle w:val="TableBlock"/>
              <w:spacing w:before="0"/>
              <w:rPr>
                <w:sz w:val="26"/>
                <w:rtl/>
              </w:rPr>
            </w:pPr>
            <w:r>
              <w:rPr>
                <w:rFonts w:hint="cs"/>
                <w:sz w:val="26"/>
                <w:rtl/>
              </w:rPr>
              <w:t>(ב)</w:t>
            </w:r>
            <w:r>
              <w:rPr>
                <w:rFonts w:hint="cs"/>
                <w:sz w:val="26"/>
                <w:rtl/>
              </w:rPr>
              <w:tab/>
              <w:t>החלטה על התקשרות בחוזה לביטוח אחריות נושאי משרה טעונה אישור של שר האוצר.</w:t>
            </w:r>
          </w:p>
        </w:tc>
      </w:tr>
      <w:tr w:rsidR="00BF4529" w14:paraId="250F5F97" w14:textId="77777777" w:rsidTr="00BF4529">
        <w:trPr>
          <w:cantSplit/>
        </w:trPr>
        <w:tc>
          <w:tcPr>
            <w:tcW w:w="1871" w:type="dxa"/>
            <w:tcMar>
              <w:top w:w="91" w:type="dxa"/>
              <w:left w:w="0" w:type="dxa"/>
              <w:bottom w:w="91" w:type="dxa"/>
              <w:right w:w="0" w:type="dxa"/>
            </w:tcMar>
          </w:tcPr>
          <w:p w14:paraId="3FDF5DF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724568B"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48190AD5" w14:textId="77777777" w:rsidR="00BF4529" w:rsidRDefault="00BF4529" w:rsidP="00BF4529">
            <w:pPr>
              <w:pStyle w:val="TableInnerSideHeading"/>
              <w:spacing w:before="0"/>
              <w:jc w:val="left"/>
              <w:rPr>
                <w:sz w:val="26"/>
                <w:rtl/>
              </w:rPr>
            </w:pPr>
            <w:r>
              <w:rPr>
                <w:rFonts w:hint="cs"/>
                <w:sz w:val="26"/>
                <w:rtl/>
              </w:rPr>
              <w:t>הגבלות על מתן שיפוי</w:t>
            </w:r>
          </w:p>
        </w:tc>
        <w:tc>
          <w:tcPr>
            <w:tcW w:w="624" w:type="dxa"/>
            <w:tcMar>
              <w:top w:w="91" w:type="dxa"/>
              <w:left w:w="0" w:type="dxa"/>
              <w:bottom w:w="91" w:type="dxa"/>
              <w:right w:w="0" w:type="dxa"/>
            </w:tcMar>
            <w:hideMark/>
          </w:tcPr>
          <w:p w14:paraId="03C15C6F" w14:textId="77777777" w:rsidR="00BF4529" w:rsidRDefault="00BF4529" w:rsidP="00BF4529">
            <w:pPr>
              <w:pStyle w:val="TableText"/>
              <w:spacing w:before="0"/>
              <w:rPr>
                <w:sz w:val="26"/>
                <w:rtl/>
              </w:rPr>
            </w:pPr>
            <w:r>
              <w:rPr>
                <w:rFonts w:hint="cs"/>
                <w:sz w:val="26"/>
                <w:rtl/>
              </w:rPr>
              <w:t>15יא.</w:t>
            </w:r>
          </w:p>
        </w:tc>
        <w:tc>
          <w:tcPr>
            <w:tcW w:w="4650" w:type="dxa"/>
            <w:gridSpan w:val="3"/>
            <w:tcMar>
              <w:top w:w="91" w:type="dxa"/>
              <w:left w:w="0" w:type="dxa"/>
              <w:bottom w:w="91" w:type="dxa"/>
              <w:right w:w="0" w:type="dxa"/>
            </w:tcMar>
            <w:hideMark/>
          </w:tcPr>
          <w:p w14:paraId="2C03B3A4" w14:textId="77777777" w:rsidR="00BF4529" w:rsidRDefault="00BF4529" w:rsidP="00BF4529">
            <w:pPr>
              <w:pStyle w:val="TableBlock"/>
              <w:spacing w:before="0"/>
              <w:rPr>
                <w:sz w:val="26"/>
                <w:rtl/>
              </w:rPr>
            </w:pPr>
            <w:r>
              <w:rPr>
                <w:rFonts w:hint="cs"/>
                <w:sz w:val="26"/>
                <w:rtl/>
              </w:rPr>
              <w:t>על אף האמור בסעיף 15ט, הרשות אינה רשאית לתת שיפוי בדיעבד או התחייבות מראש לשיפוי או להתקשר בחוזה לביטוח אחריותו של נושא משרה בה, בשל כל אחד מהעניינים המנויים בסעיף 263 לחוק החברות.</w:t>
            </w:r>
          </w:p>
        </w:tc>
      </w:tr>
      <w:tr w:rsidR="00BF4529" w14:paraId="6FFAABC1" w14:textId="77777777" w:rsidTr="00BF4529">
        <w:trPr>
          <w:cantSplit/>
        </w:trPr>
        <w:tc>
          <w:tcPr>
            <w:tcW w:w="1871" w:type="dxa"/>
            <w:tcMar>
              <w:top w:w="91" w:type="dxa"/>
              <w:left w:w="0" w:type="dxa"/>
              <w:bottom w:w="91" w:type="dxa"/>
              <w:right w:w="0" w:type="dxa"/>
            </w:tcMar>
          </w:tcPr>
          <w:p w14:paraId="59D2E27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A47F649"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5C00153" w14:textId="77777777" w:rsidR="00BF4529" w:rsidRDefault="00BF4529" w:rsidP="00BF4529">
            <w:pPr>
              <w:pStyle w:val="TableInnerSideHeading"/>
              <w:spacing w:before="0"/>
              <w:jc w:val="left"/>
              <w:rPr>
                <w:sz w:val="26"/>
                <w:rtl/>
              </w:rPr>
            </w:pPr>
            <w:r>
              <w:rPr>
                <w:rFonts w:hint="cs"/>
                <w:sz w:val="26"/>
                <w:rtl/>
              </w:rPr>
              <w:t>היעדר תוקף</w:t>
            </w:r>
          </w:p>
        </w:tc>
        <w:tc>
          <w:tcPr>
            <w:tcW w:w="624" w:type="dxa"/>
            <w:tcMar>
              <w:top w:w="91" w:type="dxa"/>
              <w:left w:w="0" w:type="dxa"/>
              <w:bottom w:w="91" w:type="dxa"/>
              <w:right w:w="0" w:type="dxa"/>
            </w:tcMar>
            <w:hideMark/>
          </w:tcPr>
          <w:p w14:paraId="31FF8679" w14:textId="77777777" w:rsidR="00BF4529" w:rsidRDefault="00BF4529" w:rsidP="00BF4529">
            <w:pPr>
              <w:pStyle w:val="TableText"/>
              <w:spacing w:before="0"/>
              <w:rPr>
                <w:sz w:val="26"/>
                <w:rtl/>
              </w:rPr>
            </w:pPr>
            <w:r>
              <w:rPr>
                <w:rFonts w:hint="cs"/>
                <w:sz w:val="26"/>
                <w:rtl/>
              </w:rPr>
              <w:t>15יב.</w:t>
            </w:r>
          </w:p>
        </w:tc>
        <w:tc>
          <w:tcPr>
            <w:tcW w:w="4650" w:type="dxa"/>
            <w:gridSpan w:val="3"/>
            <w:tcMar>
              <w:top w:w="91" w:type="dxa"/>
              <w:left w:w="0" w:type="dxa"/>
              <w:bottom w:w="91" w:type="dxa"/>
              <w:right w:w="0" w:type="dxa"/>
            </w:tcMar>
            <w:hideMark/>
          </w:tcPr>
          <w:p w14:paraId="32D6A813" w14:textId="77777777" w:rsidR="00BF4529" w:rsidRDefault="00BF4529" w:rsidP="00BF4529">
            <w:pPr>
              <w:pStyle w:val="TableBlock"/>
              <w:spacing w:before="0"/>
              <w:rPr>
                <w:sz w:val="26"/>
                <w:rtl/>
              </w:rPr>
            </w:pPr>
            <w:r>
              <w:rPr>
                <w:rFonts w:hint="cs"/>
                <w:sz w:val="26"/>
                <w:rtl/>
              </w:rPr>
              <w:t xml:space="preserve">לא יהיה תוקף להתחייבות לשיפוי או לביטוח אחריותו של נושא משרה שנעשו בניגוד להוראות סימן זה, ונושא משרה לא יקבל, במישרין או בעקיפין, התחייבות כאמור. </w:t>
            </w:r>
          </w:p>
        </w:tc>
      </w:tr>
      <w:tr w:rsidR="00BF4529" w14:paraId="281784DA" w14:textId="77777777" w:rsidTr="00BF4529">
        <w:trPr>
          <w:cantSplit/>
        </w:trPr>
        <w:tc>
          <w:tcPr>
            <w:tcW w:w="1871" w:type="dxa"/>
            <w:tcMar>
              <w:top w:w="91" w:type="dxa"/>
              <w:left w:w="0" w:type="dxa"/>
              <w:bottom w:w="91" w:type="dxa"/>
              <w:right w:w="0" w:type="dxa"/>
            </w:tcMar>
          </w:tcPr>
          <w:p w14:paraId="7E9BF68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04EB812"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6F86893" w14:textId="77777777" w:rsidR="00BF4529" w:rsidRDefault="00BF4529" w:rsidP="00BF4529">
            <w:pPr>
              <w:pStyle w:val="TableInnerSideHeading"/>
              <w:spacing w:before="0"/>
              <w:jc w:val="left"/>
              <w:rPr>
                <w:sz w:val="26"/>
                <w:rtl/>
              </w:rPr>
            </w:pPr>
            <w:r>
              <w:rPr>
                <w:rFonts w:hint="cs"/>
                <w:sz w:val="26"/>
                <w:rtl/>
              </w:rPr>
              <w:t>תביעה בשם הרשות</w:t>
            </w:r>
          </w:p>
        </w:tc>
        <w:tc>
          <w:tcPr>
            <w:tcW w:w="624" w:type="dxa"/>
            <w:tcMar>
              <w:top w:w="91" w:type="dxa"/>
              <w:left w:w="0" w:type="dxa"/>
              <w:bottom w:w="91" w:type="dxa"/>
              <w:right w:w="0" w:type="dxa"/>
            </w:tcMar>
            <w:hideMark/>
          </w:tcPr>
          <w:p w14:paraId="22D0A7AC" w14:textId="77777777" w:rsidR="00BF4529" w:rsidRDefault="00BF4529" w:rsidP="00BF4529">
            <w:pPr>
              <w:pStyle w:val="TableText"/>
              <w:spacing w:before="0"/>
              <w:rPr>
                <w:sz w:val="26"/>
                <w:rtl/>
              </w:rPr>
            </w:pPr>
            <w:r>
              <w:rPr>
                <w:rFonts w:hint="cs"/>
                <w:sz w:val="26"/>
                <w:rtl/>
              </w:rPr>
              <w:t>15יג.</w:t>
            </w:r>
          </w:p>
        </w:tc>
        <w:tc>
          <w:tcPr>
            <w:tcW w:w="4650" w:type="dxa"/>
            <w:gridSpan w:val="3"/>
            <w:tcMar>
              <w:top w:w="91" w:type="dxa"/>
              <w:left w:w="0" w:type="dxa"/>
              <w:bottom w:w="91" w:type="dxa"/>
              <w:right w:w="0" w:type="dxa"/>
            </w:tcMar>
            <w:hideMark/>
          </w:tcPr>
          <w:p w14:paraId="39BD23E9" w14:textId="77777777" w:rsidR="00BF4529" w:rsidRDefault="00BF4529" w:rsidP="00BF4529">
            <w:pPr>
              <w:pStyle w:val="TableBlock"/>
              <w:spacing w:before="0"/>
              <w:rPr>
                <w:sz w:val="26"/>
                <w:rtl/>
              </w:rPr>
            </w:pPr>
            <w:r>
              <w:rPr>
                <w:rFonts w:hint="cs"/>
                <w:sz w:val="26"/>
                <w:rtl/>
              </w:rPr>
              <w:t>היועץ המשפטי לממשלה רשאי לתבוע בשם הרשות נושא משרה בשל נזק שנגרם לרשות ממעשה או ממחדל בניגוד לחובותיו כלפי הרשות על פי דין.</w:t>
            </w:r>
          </w:p>
        </w:tc>
      </w:tr>
      <w:tr w:rsidR="00BF4529" w14:paraId="58382C0E" w14:textId="77777777" w:rsidTr="00BF4529">
        <w:trPr>
          <w:cantSplit/>
        </w:trPr>
        <w:tc>
          <w:tcPr>
            <w:tcW w:w="1871" w:type="dxa"/>
            <w:tcMar>
              <w:top w:w="91" w:type="dxa"/>
              <w:left w:w="0" w:type="dxa"/>
              <w:bottom w:w="91" w:type="dxa"/>
              <w:right w:w="0" w:type="dxa"/>
            </w:tcMar>
          </w:tcPr>
          <w:p w14:paraId="2950658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C54C192"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2A92AE5F" w14:textId="77777777" w:rsidR="00BF4529" w:rsidRDefault="00BF4529" w:rsidP="00BF4529">
            <w:pPr>
              <w:pStyle w:val="TableHead"/>
              <w:spacing w:before="0"/>
              <w:rPr>
                <w:sz w:val="26"/>
                <w:rtl/>
              </w:rPr>
            </w:pPr>
            <w:r>
              <w:rPr>
                <w:rFonts w:hint="cs"/>
                <w:sz w:val="26"/>
                <w:rtl/>
              </w:rPr>
              <w:t>פרק ג'2: עסקאות עם נושא משרה ברשות</w:t>
            </w:r>
          </w:p>
        </w:tc>
      </w:tr>
      <w:tr w:rsidR="00BF4529" w14:paraId="38C6BADF" w14:textId="77777777" w:rsidTr="00BF4529">
        <w:trPr>
          <w:cantSplit/>
        </w:trPr>
        <w:tc>
          <w:tcPr>
            <w:tcW w:w="1871" w:type="dxa"/>
            <w:tcMar>
              <w:top w:w="91" w:type="dxa"/>
              <w:left w:w="0" w:type="dxa"/>
              <w:bottom w:w="91" w:type="dxa"/>
              <w:right w:w="0" w:type="dxa"/>
            </w:tcMar>
          </w:tcPr>
          <w:p w14:paraId="7DFF021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B00AAAA"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3A0021E" w14:textId="77777777" w:rsidR="00BF4529" w:rsidRDefault="00BF4529" w:rsidP="00BF4529">
            <w:pPr>
              <w:pStyle w:val="TableInnerSideHeading"/>
              <w:spacing w:before="0"/>
              <w:rPr>
                <w:sz w:val="26"/>
                <w:rtl/>
              </w:rPr>
            </w:pPr>
            <w:r>
              <w:rPr>
                <w:rFonts w:hint="cs"/>
                <w:sz w:val="26"/>
                <w:rtl/>
              </w:rPr>
              <w:t>הגדרות</w:t>
            </w:r>
          </w:p>
        </w:tc>
        <w:tc>
          <w:tcPr>
            <w:tcW w:w="624" w:type="dxa"/>
            <w:tcMar>
              <w:top w:w="91" w:type="dxa"/>
              <w:left w:w="0" w:type="dxa"/>
              <w:bottom w:w="91" w:type="dxa"/>
              <w:right w:w="0" w:type="dxa"/>
            </w:tcMar>
            <w:hideMark/>
          </w:tcPr>
          <w:p w14:paraId="4C7E01E1" w14:textId="77777777" w:rsidR="00BF4529" w:rsidRDefault="00BF4529" w:rsidP="00BF4529">
            <w:pPr>
              <w:pStyle w:val="TableText"/>
              <w:spacing w:before="0"/>
              <w:rPr>
                <w:sz w:val="26"/>
                <w:rtl/>
              </w:rPr>
            </w:pPr>
            <w:r>
              <w:rPr>
                <w:rFonts w:hint="cs"/>
                <w:sz w:val="26"/>
                <w:rtl/>
              </w:rPr>
              <w:t>15יד.</w:t>
            </w:r>
          </w:p>
        </w:tc>
        <w:tc>
          <w:tcPr>
            <w:tcW w:w="4650" w:type="dxa"/>
            <w:gridSpan w:val="3"/>
            <w:tcMar>
              <w:top w:w="91" w:type="dxa"/>
              <w:left w:w="0" w:type="dxa"/>
              <w:bottom w:w="91" w:type="dxa"/>
              <w:right w:w="0" w:type="dxa"/>
            </w:tcMar>
            <w:hideMark/>
          </w:tcPr>
          <w:p w14:paraId="191AEB6F" w14:textId="77777777" w:rsidR="00BF4529" w:rsidRDefault="00BF4529" w:rsidP="00BF4529">
            <w:pPr>
              <w:pStyle w:val="TableBlock"/>
              <w:spacing w:before="0"/>
              <w:rPr>
                <w:sz w:val="26"/>
                <w:rtl/>
              </w:rPr>
            </w:pPr>
            <w:r>
              <w:rPr>
                <w:rFonts w:hint="cs"/>
                <w:sz w:val="26"/>
                <w:rtl/>
              </w:rPr>
              <w:t xml:space="preserve">בפרק זה – </w:t>
            </w:r>
          </w:p>
        </w:tc>
      </w:tr>
      <w:tr w:rsidR="00BF4529" w14:paraId="2F3926FA" w14:textId="77777777" w:rsidTr="00BF4529">
        <w:trPr>
          <w:cantSplit/>
        </w:trPr>
        <w:tc>
          <w:tcPr>
            <w:tcW w:w="1871" w:type="dxa"/>
            <w:tcMar>
              <w:top w:w="91" w:type="dxa"/>
              <w:left w:w="0" w:type="dxa"/>
              <w:bottom w:w="91" w:type="dxa"/>
              <w:right w:w="0" w:type="dxa"/>
            </w:tcMar>
          </w:tcPr>
          <w:p w14:paraId="3AFBC3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78E5BF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6B4C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E5089F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C90E3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330CC6"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F7DFBFE" w14:textId="77777777" w:rsidR="00BF4529" w:rsidRDefault="00BF4529" w:rsidP="00BF4529">
            <w:pPr>
              <w:pStyle w:val="TableBlockOutdent"/>
              <w:spacing w:before="0"/>
              <w:rPr>
                <w:sz w:val="26"/>
                <w:rtl/>
              </w:rPr>
            </w:pPr>
            <w:r>
              <w:rPr>
                <w:rFonts w:hint="cs"/>
                <w:sz w:val="26"/>
                <w:rtl/>
              </w:rPr>
              <w:t>"נושא משרה", "עניין אישי" – כהגדרתם בסעיף 15ב;</w:t>
            </w:r>
          </w:p>
        </w:tc>
      </w:tr>
      <w:tr w:rsidR="00BF4529" w14:paraId="275B1843" w14:textId="77777777" w:rsidTr="00BF4529">
        <w:trPr>
          <w:cantSplit/>
        </w:trPr>
        <w:tc>
          <w:tcPr>
            <w:tcW w:w="1871" w:type="dxa"/>
            <w:tcMar>
              <w:top w:w="91" w:type="dxa"/>
              <w:left w:w="0" w:type="dxa"/>
              <w:bottom w:w="91" w:type="dxa"/>
              <w:right w:w="0" w:type="dxa"/>
            </w:tcMar>
          </w:tcPr>
          <w:p w14:paraId="3E99074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FB933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F656A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681DA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45DA8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DDE8A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A33268F" w14:textId="77777777" w:rsidR="00BF4529" w:rsidRDefault="00BF4529" w:rsidP="00BF4529">
            <w:pPr>
              <w:pStyle w:val="TableBlockOutdent"/>
              <w:spacing w:before="0"/>
              <w:rPr>
                <w:sz w:val="26"/>
                <w:rtl/>
              </w:rPr>
            </w:pPr>
            <w:r>
              <w:rPr>
                <w:rFonts w:hint="cs"/>
                <w:sz w:val="26"/>
                <w:rtl/>
              </w:rPr>
              <w:t>"עסקה" – כהגדרתה בחוק החברות.</w:t>
            </w:r>
          </w:p>
        </w:tc>
      </w:tr>
      <w:tr w:rsidR="00BF4529" w14:paraId="33A3AE7A" w14:textId="77777777" w:rsidTr="00BF4529">
        <w:trPr>
          <w:cantSplit/>
        </w:trPr>
        <w:tc>
          <w:tcPr>
            <w:tcW w:w="1871" w:type="dxa"/>
            <w:tcMar>
              <w:top w:w="91" w:type="dxa"/>
              <w:left w:w="0" w:type="dxa"/>
              <w:bottom w:w="91" w:type="dxa"/>
              <w:right w:w="0" w:type="dxa"/>
            </w:tcMar>
          </w:tcPr>
          <w:p w14:paraId="6CBE93C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63870DE"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1E4ECF64" w14:textId="77777777" w:rsidR="00BF4529" w:rsidRDefault="00BF4529" w:rsidP="00BF4529">
            <w:pPr>
              <w:pStyle w:val="TableInnerSideHeading"/>
              <w:spacing w:before="0"/>
              <w:jc w:val="left"/>
              <w:rPr>
                <w:sz w:val="26"/>
                <w:rtl/>
              </w:rPr>
            </w:pPr>
            <w:r>
              <w:rPr>
                <w:rFonts w:hint="cs"/>
                <w:sz w:val="26"/>
                <w:rtl/>
              </w:rPr>
              <w:t>איסור עסקאות עם נושא משרה</w:t>
            </w:r>
          </w:p>
        </w:tc>
        <w:tc>
          <w:tcPr>
            <w:tcW w:w="624" w:type="dxa"/>
            <w:tcMar>
              <w:top w:w="91" w:type="dxa"/>
              <w:left w:w="0" w:type="dxa"/>
              <w:bottom w:w="91" w:type="dxa"/>
              <w:right w:w="0" w:type="dxa"/>
            </w:tcMar>
            <w:hideMark/>
          </w:tcPr>
          <w:p w14:paraId="5076E188" w14:textId="77777777" w:rsidR="00BF4529" w:rsidRDefault="00BF4529" w:rsidP="00BF4529">
            <w:pPr>
              <w:pStyle w:val="TableText"/>
              <w:spacing w:before="0"/>
              <w:rPr>
                <w:sz w:val="26"/>
                <w:rtl/>
              </w:rPr>
            </w:pPr>
            <w:r>
              <w:rPr>
                <w:rFonts w:hint="cs"/>
                <w:sz w:val="26"/>
                <w:rtl/>
              </w:rPr>
              <w:t>15טו.</w:t>
            </w:r>
          </w:p>
        </w:tc>
        <w:tc>
          <w:tcPr>
            <w:tcW w:w="4650" w:type="dxa"/>
            <w:gridSpan w:val="3"/>
            <w:tcMar>
              <w:top w:w="91" w:type="dxa"/>
              <w:left w:w="0" w:type="dxa"/>
              <w:bottom w:w="91" w:type="dxa"/>
              <w:right w:w="0" w:type="dxa"/>
            </w:tcMar>
            <w:hideMark/>
          </w:tcPr>
          <w:p w14:paraId="7BB6ECB4" w14:textId="77777777" w:rsidR="00BF4529" w:rsidRDefault="00BF4529" w:rsidP="00BF4529">
            <w:pPr>
              <w:pStyle w:val="TableBlock"/>
              <w:spacing w:before="0"/>
              <w:rPr>
                <w:sz w:val="26"/>
                <w:rtl/>
              </w:rPr>
            </w:pPr>
            <w:r>
              <w:rPr>
                <w:rFonts w:hint="cs"/>
                <w:sz w:val="26"/>
                <w:rtl/>
              </w:rPr>
              <w:t>הרשות לא תתקשר בעסקאות עם נושא משרה בה, למעט לעניין תנאי כהונתו או העסקתו.</w:t>
            </w:r>
          </w:p>
        </w:tc>
      </w:tr>
      <w:tr w:rsidR="00BF4529" w14:paraId="059FF57F" w14:textId="77777777" w:rsidTr="00BF4529">
        <w:trPr>
          <w:cantSplit/>
        </w:trPr>
        <w:tc>
          <w:tcPr>
            <w:tcW w:w="1871" w:type="dxa"/>
            <w:tcMar>
              <w:top w:w="91" w:type="dxa"/>
              <w:left w:w="0" w:type="dxa"/>
              <w:bottom w:w="91" w:type="dxa"/>
              <w:right w:w="0" w:type="dxa"/>
            </w:tcMar>
          </w:tcPr>
          <w:p w14:paraId="2969462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B60D9B"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134C44E" w14:textId="77777777" w:rsidR="00BF4529" w:rsidRDefault="00BF4529" w:rsidP="00BF4529">
            <w:pPr>
              <w:pStyle w:val="TableInnerSideHeading"/>
              <w:spacing w:before="0"/>
              <w:jc w:val="left"/>
              <w:rPr>
                <w:sz w:val="26"/>
                <w:rtl/>
              </w:rPr>
            </w:pPr>
            <w:r>
              <w:rPr>
                <w:rFonts w:hint="cs"/>
                <w:sz w:val="26"/>
                <w:rtl/>
              </w:rPr>
              <w:t>חובת גילוי</w:t>
            </w:r>
          </w:p>
        </w:tc>
        <w:tc>
          <w:tcPr>
            <w:tcW w:w="624" w:type="dxa"/>
            <w:tcMar>
              <w:top w:w="91" w:type="dxa"/>
              <w:left w:w="0" w:type="dxa"/>
              <w:bottom w:w="91" w:type="dxa"/>
              <w:right w:w="0" w:type="dxa"/>
            </w:tcMar>
            <w:hideMark/>
          </w:tcPr>
          <w:p w14:paraId="705BCBBC" w14:textId="77777777" w:rsidR="00BF4529" w:rsidRDefault="00BF4529" w:rsidP="00BF4529">
            <w:pPr>
              <w:pStyle w:val="TableText"/>
              <w:spacing w:before="0"/>
              <w:rPr>
                <w:sz w:val="26"/>
                <w:rtl/>
              </w:rPr>
            </w:pPr>
            <w:r>
              <w:rPr>
                <w:rFonts w:hint="cs"/>
                <w:sz w:val="26"/>
                <w:rtl/>
              </w:rPr>
              <w:t>15טז.</w:t>
            </w:r>
          </w:p>
        </w:tc>
        <w:tc>
          <w:tcPr>
            <w:tcW w:w="4650" w:type="dxa"/>
            <w:gridSpan w:val="3"/>
            <w:tcMar>
              <w:top w:w="91" w:type="dxa"/>
              <w:left w:w="0" w:type="dxa"/>
              <w:bottom w:w="91" w:type="dxa"/>
              <w:right w:w="0" w:type="dxa"/>
            </w:tcMar>
            <w:hideMark/>
          </w:tcPr>
          <w:p w14:paraId="0CA3DE9D" w14:textId="77777777" w:rsidR="00BF4529" w:rsidRDefault="00BF4529" w:rsidP="00BF4529">
            <w:pPr>
              <w:pStyle w:val="TableBlock"/>
              <w:spacing w:before="0"/>
              <w:rPr>
                <w:sz w:val="26"/>
                <w:rtl/>
              </w:rPr>
            </w:pPr>
            <w:r>
              <w:rPr>
                <w:rFonts w:hint="cs"/>
                <w:sz w:val="26"/>
                <w:rtl/>
              </w:rPr>
              <w:t>(א)</w:t>
            </w:r>
            <w:r>
              <w:rPr>
                <w:rFonts w:hint="cs"/>
                <w:sz w:val="26"/>
                <w:rtl/>
              </w:rPr>
              <w:tab/>
              <w:t>נושא משרה ברשות היודע שיש לו עניין אישי בעסקה קיימת או מוצעת של הרשות, יגלה לרשות, בלא דיחוי ולא יאוחר מישיבת המועצה שבה נדונה העסקה לראשונה, את מהות עניינו האישי, לרבות כל עובדה או מסמך מהותיים.</w:t>
            </w:r>
          </w:p>
        </w:tc>
      </w:tr>
      <w:tr w:rsidR="00BF4529" w14:paraId="6D2BD633" w14:textId="77777777" w:rsidTr="00BF4529">
        <w:trPr>
          <w:cantSplit/>
        </w:trPr>
        <w:tc>
          <w:tcPr>
            <w:tcW w:w="1871" w:type="dxa"/>
            <w:tcMar>
              <w:top w:w="91" w:type="dxa"/>
              <w:left w:w="0" w:type="dxa"/>
              <w:bottom w:w="91" w:type="dxa"/>
              <w:right w:w="0" w:type="dxa"/>
            </w:tcMar>
          </w:tcPr>
          <w:p w14:paraId="6499AF0C" w14:textId="77777777" w:rsidR="00BF4529" w:rsidRDefault="00BF4529" w:rsidP="00BF4529">
            <w:pPr>
              <w:pStyle w:val="TableSideHeading"/>
              <w:spacing w:before="0"/>
              <w:ind w:right="0"/>
              <w:jc w:val="left"/>
              <w:rPr>
                <w:sz w:val="26"/>
                <w:rtl/>
              </w:rPr>
            </w:pPr>
          </w:p>
        </w:tc>
        <w:tc>
          <w:tcPr>
            <w:tcW w:w="624" w:type="dxa"/>
            <w:tcMar>
              <w:top w:w="91" w:type="dxa"/>
              <w:left w:w="0" w:type="dxa"/>
              <w:bottom w:w="91" w:type="dxa"/>
              <w:right w:w="0" w:type="dxa"/>
            </w:tcMar>
          </w:tcPr>
          <w:p w14:paraId="76DD5C1D"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2523AEEF"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64FADDF7"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07223017" w14:textId="77777777" w:rsidR="00BF4529" w:rsidRDefault="00BF4529" w:rsidP="00BF4529">
            <w:pPr>
              <w:pStyle w:val="TableText"/>
              <w:spacing w:before="0"/>
              <w:ind w:right="0"/>
              <w:rPr>
                <w:rtl/>
              </w:rPr>
            </w:pPr>
          </w:p>
        </w:tc>
        <w:tc>
          <w:tcPr>
            <w:tcW w:w="624" w:type="dxa"/>
          </w:tcPr>
          <w:p w14:paraId="459B9049" w14:textId="77777777" w:rsidR="00BF4529" w:rsidRDefault="00BF4529" w:rsidP="00BF4529">
            <w:pPr>
              <w:pStyle w:val="TableText"/>
              <w:spacing w:before="0"/>
              <w:ind w:right="0"/>
              <w:rPr>
                <w:rtl/>
              </w:rPr>
            </w:pPr>
          </w:p>
        </w:tc>
        <w:tc>
          <w:tcPr>
            <w:tcW w:w="4650" w:type="dxa"/>
            <w:gridSpan w:val="3"/>
            <w:hideMark/>
          </w:tcPr>
          <w:p w14:paraId="7BFB279E" w14:textId="77777777" w:rsidR="00BF4529" w:rsidRDefault="00BF4529" w:rsidP="00BF4529">
            <w:pPr>
              <w:pStyle w:val="TableBlock"/>
              <w:spacing w:before="0"/>
              <w:rPr>
                <w:rtl/>
              </w:rPr>
            </w:pPr>
            <w:r>
              <w:rPr>
                <w:rFonts w:hint="cs"/>
                <w:sz w:val="26"/>
                <w:rtl/>
              </w:rPr>
              <w:t>(ב)</w:t>
            </w:r>
            <w:r>
              <w:rPr>
                <w:rFonts w:hint="cs"/>
                <w:sz w:val="26"/>
                <w:rtl/>
              </w:rPr>
              <w:tab/>
              <w:t>נושא משרה שלא גילה את עניינו האישי כאמור בסעיף קטן (א), יראו אותו כמי שהפר את חובת האמונים.</w:t>
            </w:r>
          </w:p>
        </w:tc>
      </w:tr>
      <w:tr w:rsidR="00BF4529" w14:paraId="218C447E" w14:textId="77777777" w:rsidTr="00BF4529">
        <w:trPr>
          <w:cantSplit/>
        </w:trPr>
        <w:tc>
          <w:tcPr>
            <w:tcW w:w="1871" w:type="dxa"/>
            <w:tcMar>
              <w:top w:w="91" w:type="dxa"/>
              <w:left w:w="0" w:type="dxa"/>
              <w:bottom w:w="91" w:type="dxa"/>
              <w:right w:w="0" w:type="dxa"/>
            </w:tcMar>
          </w:tcPr>
          <w:p w14:paraId="45C561D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046F33C"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CEE09E1" w14:textId="77777777" w:rsidR="00BF4529" w:rsidRDefault="00BF4529" w:rsidP="00BF4529">
            <w:pPr>
              <w:pStyle w:val="TableInnerSideHeading"/>
              <w:spacing w:before="0"/>
              <w:jc w:val="left"/>
              <w:rPr>
                <w:sz w:val="26"/>
                <w:rtl/>
              </w:rPr>
            </w:pPr>
            <w:r>
              <w:rPr>
                <w:rFonts w:hint="cs"/>
                <w:sz w:val="26"/>
                <w:rtl/>
              </w:rPr>
              <w:t>עסקאות הטעונות אישורים מיוחדים</w:t>
            </w:r>
          </w:p>
        </w:tc>
        <w:tc>
          <w:tcPr>
            <w:tcW w:w="624" w:type="dxa"/>
            <w:tcMar>
              <w:top w:w="91" w:type="dxa"/>
              <w:left w:w="0" w:type="dxa"/>
              <w:bottom w:w="91" w:type="dxa"/>
              <w:right w:w="0" w:type="dxa"/>
            </w:tcMar>
            <w:hideMark/>
          </w:tcPr>
          <w:p w14:paraId="52FDE8B6" w14:textId="77777777" w:rsidR="00BF4529" w:rsidRDefault="00BF4529" w:rsidP="00BF4529">
            <w:pPr>
              <w:pStyle w:val="TableText"/>
              <w:spacing w:before="0"/>
              <w:rPr>
                <w:sz w:val="26"/>
                <w:rtl/>
              </w:rPr>
            </w:pPr>
            <w:r>
              <w:rPr>
                <w:rFonts w:hint="cs"/>
                <w:sz w:val="26"/>
                <w:rtl/>
              </w:rPr>
              <w:t>15יז.</w:t>
            </w:r>
          </w:p>
        </w:tc>
        <w:tc>
          <w:tcPr>
            <w:tcW w:w="4650" w:type="dxa"/>
            <w:gridSpan w:val="3"/>
            <w:tcMar>
              <w:top w:w="91" w:type="dxa"/>
              <w:left w:w="0" w:type="dxa"/>
              <w:bottom w:w="91" w:type="dxa"/>
              <w:right w:w="0" w:type="dxa"/>
            </w:tcMar>
            <w:hideMark/>
          </w:tcPr>
          <w:p w14:paraId="71D55E36" w14:textId="77777777" w:rsidR="00BF4529" w:rsidRDefault="00BF4529" w:rsidP="00BF4529">
            <w:pPr>
              <w:pStyle w:val="TableBlock"/>
              <w:spacing w:before="0"/>
              <w:rPr>
                <w:sz w:val="26"/>
                <w:rtl/>
              </w:rPr>
            </w:pPr>
            <w:r>
              <w:rPr>
                <w:rFonts w:hint="cs"/>
                <w:sz w:val="26"/>
                <w:rtl/>
              </w:rPr>
              <w:t xml:space="preserve">עסקה של הרשות עם נושא משרה בה לעניין תנאי כהונתו או העסקתו וכן עסקה של הרשות עם אדם אחר שלנושא המשרה ברשות יש בה עניין אישי טעונות אישור של ועדת הביקורת והמועצה. </w:t>
            </w:r>
          </w:p>
        </w:tc>
      </w:tr>
      <w:tr w:rsidR="00BF4529" w14:paraId="25107F81" w14:textId="77777777" w:rsidTr="00BF4529">
        <w:trPr>
          <w:cantSplit/>
        </w:trPr>
        <w:tc>
          <w:tcPr>
            <w:tcW w:w="1871" w:type="dxa"/>
            <w:tcMar>
              <w:top w:w="91" w:type="dxa"/>
              <w:left w:w="0" w:type="dxa"/>
              <w:bottom w:w="91" w:type="dxa"/>
              <w:right w:w="0" w:type="dxa"/>
            </w:tcMar>
          </w:tcPr>
          <w:p w14:paraId="1D2C477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BDF107"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FD462BF" w14:textId="77777777" w:rsidR="00BF4529" w:rsidRDefault="00BF4529" w:rsidP="00BF4529">
            <w:pPr>
              <w:pStyle w:val="TableInnerSideHeading"/>
              <w:spacing w:before="0"/>
              <w:jc w:val="left"/>
              <w:rPr>
                <w:sz w:val="26"/>
                <w:rtl/>
              </w:rPr>
            </w:pPr>
            <w:r>
              <w:rPr>
                <w:rFonts w:hint="cs"/>
                <w:sz w:val="26"/>
                <w:rtl/>
              </w:rPr>
              <w:t>הימנעות חברי המועצה מהשתתפות בישיבות</w:t>
            </w:r>
          </w:p>
        </w:tc>
        <w:tc>
          <w:tcPr>
            <w:tcW w:w="624" w:type="dxa"/>
            <w:tcMar>
              <w:top w:w="91" w:type="dxa"/>
              <w:left w:w="0" w:type="dxa"/>
              <w:bottom w:w="91" w:type="dxa"/>
              <w:right w:w="0" w:type="dxa"/>
            </w:tcMar>
            <w:hideMark/>
          </w:tcPr>
          <w:p w14:paraId="11DD24FD" w14:textId="77777777" w:rsidR="00BF4529" w:rsidRDefault="00BF4529" w:rsidP="00BF4529">
            <w:pPr>
              <w:pStyle w:val="TableText"/>
              <w:spacing w:before="0"/>
              <w:rPr>
                <w:sz w:val="26"/>
                <w:rtl/>
              </w:rPr>
            </w:pPr>
            <w:r>
              <w:rPr>
                <w:rFonts w:hint="cs"/>
                <w:sz w:val="26"/>
                <w:rtl/>
              </w:rPr>
              <w:t>15יח.</w:t>
            </w:r>
          </w:p>
        </w:tc>
        <w:tc>
          <w:tcPr>
            <w:tcW w:w="4650" w:type="dxa"/>
            <w:gridSpan w:val="3"/>
            <w:tcMar>
              <w:top w:w="91" w:type="dxa"/>
              <w:left w:w="0" w:type="dxa"/>
              <w:bottom w:w="91" w:type="dxa"/>
              <w:right w:w="0" w:type="dxa"/>
            </w:tcMar>
            <w:hideMark/>
          </w:tcPr>
          <w:p w14:paraId="6BE0AB17" w14:textId="77777777" w:rsidR="00BF4529" w:rsidRDefault="00BF4529" w:rsidP="00BF4529">
            <w:pPr>
              <w:pStyle w:val="TableBlock"/>
              <w:spacing w:before="0"/>
              <w:rPr>
                <w:sz w:val="26"/>
                <w:rtl/>
              </w:rPr>
            </w:pPr>
            <w:r>
              <w:rPr>
                <w:rFonts w:hint="cs"/>
                <w:sz w:val="26"/>
                <w:rtl/>
              </w:rPr>
              <w:t>(א)</w:t>
            </w:r>
            <w:r>
              <w:rPr>
                <w:rFonts w:hint="cs"/>
                <w:sz w:val="26"/>
                <w:rtl/>
              </w:rPr>
              <w:tab/>
              <w:t>חבר המועצה שיש לו עניין אישי בעסקה המובאת לאישור ועדת הביקורת או המועצה, לא יהיה נוכח בדיון ולא ישתתף בהצבעות בוועדת הביקורת ובמועצה.</w:t>
            </w:r>
          </w:p>
        </w:tc>
      </w:tr>
      <w:tr w:rsidR="00BF4529" w14:paraId="4AAEBBAB" w14:textId="77777777" w:rsidTr="00BF4529">
        <w:trPr>
          <w:cantSplit/>
        </w:trPr>
        <w:tc>
          <w:tcPr>
            <w:tcW w:w="1871" w:type="dxa"/>
            <w:tcMar>
              <w:top w:w="91" w:type="dxa"/>
              <w:left w:w="0" w:type="dxa"/>
              <w:bottom w:w="91" w:type="dxa"/>
              <w:right w:w="0" w:type="dxa"/>
            </w:tcMar>
          </w:tcPr>
          <w:p w14:paraId="04F82BF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FBA793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CA1E4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F98DE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C66CA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440FC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C1EF520" w14:textId="77777777" w:rsidR="00BF4529" w:rsidRDefault="00BF4529" w:rsidP="00BF4529">
            <w:pPr>
              <w:pStyle w:val="TableBlock"/>
              <w:spacing w:before="0"/>
              <w:rPr>
                <w:sz w:val="26"/>
                <w:rtl/>
              </w:rPr>
            </w:pPr>
            <w:r>
              <w:rPr>
                <w:rFonts w:hint="cs"/>
                <w:sz w:val="26"/>
                <w:rtl/>
              </w:rPr>
              <w:t>(ב)</w:t>
            </w:r>
            <w:r>
              <w:rPr>
                <w:rFonts w:hint="cs"/>
                <w:sz w:val="26"/>
                <w:rtl/>
              </w:rPr>
              <w:tab/>
              <w:t>על אף האמור בסעיף קטן (א), חבר המועצה רשאי להיות נוכח בדיון בוועדת הביקורת ולהשתתף בהצבעה, אם לרוב חברי ועדת הביקורת יש עניין אישי באישור העסקה, וכן רשאי הוא להיות נוכח בדיון במועצה ולהשתתף בהצבעה, אם לרוב חברי המועצה יש עניין אישי באישור העסקה.</w:t>
            </w:r>
          </w:p>
        </w:tc>
      </w:tr>
      <w:tr w:rsidR="00BF4529" w14:paraId="4EB1EB64" w14:textId="77777777" w:rsidTr="00BF4529">
        <w:trPr>
          <w:cantSplit/>
        </w:trPr>
        <w:tc>
          <w:tcPr>
            <w:tcW w:w="1871" w:type="dxa"/>
            <w:tcMar>
              <w:top w:w="91" w:type="dxa"/>
              <w:left w:w="0" w:type="dxa"/>
              <w:bottom w:w="91" w:type="dxa"/>
              <w:right w:w="0" w:type="dxa"/>
            </w:tcMar>
          </w:tcPr>
          <w:p w14:paraId="2C62707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780EA1B"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7A1F118" w14:textId="77777777" w:rsidR="00BF4529" w:rsidRDefault="00BF4529" w:rsidP="00BF4529">
            <w:pPr>
              <w:pStyle w:val="TableInnerSideHeading"/>
              <w:spacing w:before="0"/>
              <w:jc w:val="left"/>
              <w:rPr>
                <w:sz w:val="26"/>
                <w:rtl/>
              </w:rPr>
            </w:pPr>
            <w:r>
              <w:rPr>
                <w:rFonts w:hint="cs"/>
                <w:sz w:val="26"/>
                <w:rtl/>
              </w:rPr>
              <w:t>עסקה חסרת תוקף</w:t>
            </w:r>
          </w:p>
        </w:tc>
        <w:tc>
          <w:tcPr>
            <w:tcW w:w="624" w:type="dxa"/>
            <w:tcMar>
              <w:top w:w="91" w:type="dxa"/>
              <w:left w:w="0" w:type="dxa"/>
              <w:bottom w:w="91" w:type="dxa"/>
              <w:right w:w="0" w:type="dxa"/>
            </w:tcMar>
            <w:hideMark/>
          </w:tcPr>
          <w:p w14:paraId="6AAACCAE" w14:textId="77777777" w:rsidR="00BF4529" w:rsidRDefault="00BF4529" w:rsidP="00BF4529">
            <w:pPr>
              <w:pStyle w:val="TableText"/>
              <w:spacing w:before="0"/>
              <w:rPr>
                <w:sz w:val="26"/>
                <w:rtl/>
              </w:rPr>
            </w:pPr>
            <w:r>
              <w:rPr>
                <w:rFonts w:hint="cs"/>
                <w:sz w:val="26"/>
                <w:rtl/>
              </w:rPr>
              <w:t>15יט.</w:t>
            </w:r>
          </w:p>
        </w:tc>
        <w:tc>
          <w:tcPr>
            <w:tcW w:w="4650" w:type="dxa"/>
            <w:gridSpan w:val="3"/>
            <w:tcMar>
              <w:top w:w="91" w:type="dxa"/>
              <w:left w:w="0" w:type="dxa"/>
              <w:bottom w:w="91" w:type="dxa"/>
              <w:right w:w="0" w:type="dxa"/>
            </w:tcMar>
            <w:hideMark/>
          </w:tcPr>
          <w:p w14:paraId="357B1A6F" w14:textId="77777777" w:rsidR="00BF4529" w:rsidRDefault="00BF4529" w:rsidP="00BF4529">
            <w:pPr>
              <w:pStyle w:val="TableBlock"/>
              <w:spacing w:before="0"/>
              <w:rPr>
                <w:sz w:val="26"/>
                <w:rtl/>
              </w:rPr>
            </w:pPr>
            <w:r>
              <w:rPr>
                <w:rFonts w:hint="cs"/>
                <w:sz w:val="26"/>
                <w:rtl/>
              </w:rPr>
              <w:t>(א)</w:t>
            </w:r>
            <w:r>
              <w:rPr>
                <w:rFonts w:hint="cs"/>
                <w:sz w:val="26"/>
                <w:rtl/>
              </w:rPr>
              <w:tab/>
              <w:t>לעסקה של הרשות שנעשתה בניגוד להוראות סימן זה לא יהיה תוקף כלפי הרשות וכלפי נושא המשרה, ואם היא עסקה לעניין תנאי כהונתו או העסקתו של נושא המשרה – לא יהיה לה תוקף כאמור, לרבות אם נפל פגם מהותי בהליך אישורה לפי סימן זה או אם נעשתה בחריגה מהותית מהאישור.</w:t>
            </w:r>
          </w:p>
        </w:tc>
      </w:tr>
      <w:tr w:rsidR="00BF4529" w14:paraId="6A11C651" w14:textId="77777777" w:rsidTr="00BF4529">
        <w:trPr>
          <w:cantSplit/>
        </w:trPr>
        <w:tc>
          <w:tcPr>
            <w:tcW w:w="1871" w:type="dxa"/>
            <w:tcMar>
              <w:top w:w="91" w:type="dxa"/>
              <w:left w:w="0" w:type="dxa"/>
              <w:bottom w:w="91" w:type="dxa"/>
              <w:right w:w="0" w:type="dxa"/>
            </w:tcMar>
          </w:tcPr>
          <w:p w14:paraId="1AA037B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F863FE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4E1A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B6B84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C09E5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87A4A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CC3AEB3" w14:textId="77777777" w:rsidR="00BF4529" w:rsidRDefault="00BF4529" w:rsidP="00BF4529">
            <w:pPr>
              <w:pStyle w:val="TableBlock"/>
              <w:spacing w:before="0"/>
              <w:rPr>
                <w:sz w:val="26"/>
                <w:rtl/>
              </w:rPr>
            </w:pPr>
            <w:r>
              <w:rPr>
                <w:rFonts w:hint="cs"/>
                <w:sz w:val="26"/>
                <w:rtl/>
              </w:rPr>
              <w:t>(ב)</w:t>
            </w:r>
            <w:r>
              <w:rPr>
                <w:rFonts w:hint="cs"/>
                <w:sz w:val="26"/>
                <w:rtl/>
              </w:rPr>
              <w:tab/>
              <w:t xml:space="preserve">לעסקה כאמור בסעיף קטן (א) לא יהיה תוקף גם כלפי אדם אחר אם אותו אדם ידע כי העסקה היא עם נושא משרה, ואם העסקה היא לעניין תנאי כהונתו או העסקתו של נושא המשרה – לא יהיה לה תוקף כאמור אם אותו אדם ידע או היה עליו לדעת על היעדר אישור לעסקה כנדרש לפי פרק זה. </w:t>
            </w:r>
          </w:p>
        </w:tc>
      </w:tr>
      <w:tr w:rsidR="00BF4529" w14:paraId="275A9514" w14:textId="77777777" w:rsidTr="00BF4529">
        <w:trPr>
          <w:cantSplit/>
        </w:trPr>
        <w:tc>
          <w:tcPr>
            <w:tcW w:w="1871" w:type="dxa"/>
            <w:tcMar>
              <w:top w:w="91" w:type="dxa"/>
              <w:left w:w="0" w:type="dxa"/>
              <w:bottom w:w="91" w:type="dxa"/>
              <w:right w:w="0" w:type="dxa"/>
            </w:tcMar>
          </w:tcPr>
          <w:p w14:paraId="46F2019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D33FAD6"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E2ABCAE" w14:textId="77777777" w:rsidR="00BF4529" w:rsidRDefault="00BF4529" w:rsidP="00BF4529">
            <w:pPr>
              <w:pStyle w:val="TableInnerSideHeading"/>
              <w:spacing w:before="0"/>
              <w:jc w:val="left"/>
              <w:rPr>
                <w:sz w:val="26"/>
                <w:rtl/>
              </w:rPr>
            </w:pPr>
            <w:r>
              <w:rPr>
                <w:rFonts w:hint="cs"/>
                <w:sz w:val="26"/>
                <w:rtl/>
              </w:rPr>
              <w:t>ביטול עסקה</w:t>
            </w:r>
          </w:p>
        </w:tc>
        <w:tc>
          <w:tcPr>
            <w:tcW w:w="624" w:type="dxa"/>
            <w:tcMar>
              <w:top w:w="91" w:type="dxa"/>
              <w:left w:w="0" w:type="dxa"/>
              <w:bottom w:w="91" w:type="dxa"/>
              <w:right w:w="0" w:type="dxa"/>
            </w:tcMar>
            <w:hideMark/>
          </w:tcPr>
          <w:p w14:paraId="2895505B" w14:textId="77777777" w:rsidR="00BF4529" w:rsidRDefault="00BF4529" w:rsidP="00BF4529">
            <w:pPr>
              <w:pStyle w:val="TableText"/>
              <w:spacing w:before="0"/>
              <w:rPr>
                <w:sz w:val="26"/>
                <w:rtl/>
              </w:rPr>
            </w:pPr>
            <w:r>
              <w:rPr>
                <w:rFonts w:hint="cs"/>
                <w:sz w:val="26"/>
                <w:rtl/>
              </w:rPr>
              <w:t>15כ.</w:t>
            </w:r>
          </w:p>
        </w:tc>
        <w:tc>
          <w:tcPr>
            <w:tcW w:w="4650" w:type="dxa"/>
            <w:gridSpan w:val="3"/>
            <w:tcMar>
              <w:top w:w="91" w:type="dxa"/>
              <w:left w:w="0" w:type="dxa"/>
              <w:bottom w:w="91" w:type="dxa"/>
              <w:right w:w="0" w:type="dxa"/>
            </w:tcMar>
            <w:hideMark/>
          </w:tcPr>
          <w:p w14:paraId="0338712E" w14:textId="77777777" w:rsidR="00BF4529" w:rsidRDefault="00BF4529" w:rsidP="00BF4529">
            <w:pPr>
              <w:pStyle w:val="TableBlock"/>
              <w:spacing w:before="0"/>
              <w:rPr>
                <w:sz w:val="26"/>
                <w:rtl/>
              </w:rPr>
            </w:pPr>
            <w:r>
              <w:rPr>
                <w:rFonts w:hint="cs"/>
                <w:sz w:val="26"/>
                <w:rtl/>
              </w:rPr>
              <w:t>הרשות רשאית לבטל עסקה הטעונה אישור לפי סימן זה עם אדם שאינו נושא משרה, וכן רשאית היא לתבוע מאותו אדם פיצויים בשל נזק שנגרם לה, אף בלא ביטול העסקה, אם אותו אדם ידע על עניינו האישי של נושא המשרה באישור העסקה, וידע או היה עליו לדעת על היעדר אישור לעסקה כנדרש לפי סימן זה.</w:t>
            </w:r>
          </w:p>
        </w:tc>
      </w:tr>
      <w:tr w:rsidR="00BF4529" w14:paraId="50490F01" w14:textId="77777777" w:rsidTr="00BF4529">
        <w:trPr>
          <w:cantSplit/>
        </w:trPr>
        <w:tc>
          <w:tcPr>
            <w:tcW w:w="1871" w:type="dxa"/>
            <w:tcMar>
              <w:top w:w="91" w:type="dxa"/>
              <w:left w:w="0" w:type="dxa"/>
              <w:bottom w:w="91" w:type="dxa"/>
              <w:right w:w="0" w:type="dxa"/>
            </w:tcMar>
          </w:tcPr>
          <w:p w14:paraId="5915EFE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9A1D813"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10EB123E" w14:textId="77777777" w:rsidR="00BF4529" w:rsidRDefault="00BF4529" w:rsidP="00BF4529">
            <w:pPr>
              <w:pStyle w:val="TableInnerSideHeading"/>
              <w:spacing w:before="0"/>
              <w:jc w:val="left"/>
              <w:rPr>
                <w:sz w:val="26"/>
                <w:rtl/>
              </w:rPr>
            </w:pPr>
            <w:r>
              <w:rPr>
                <w:rFonts w:hint="cs"/>
                <w:sz w:val="26"/>
                <w:rtl/>
              </w:rPr>
              <w:t>אישור המועצה</w:t>
            </w:r>
          </w:p>
        </w:tc>
        <w:tc>
          <w:tcPr>
            <w:tcW w:w="624" w:type="dxa"/>
            <w:tcMar>
              <w:top w:w="91" w:type="dxa"/>
              <w:left w:w="0" w:type="dxa"/>
              <w:bottom w:w="91" w:type="dxa"/>
              <w:right w:w="0" w:type="dxa"/>
            </w:tcMar>
            <w:hideMark/>
          </w:tcPr>
          <w:p w14:paraId="252796FD" w14:textId="77777777" w:rsidR="00BF4529" w:rsidRDefault="00BF4529" w:rsidP="00BF4529">
            <w:pPr>
              <w:pStyle w:val="TableText"/>
              <w:spacing w:before="0"/>
              <w:ind w:right="0"/>
              <w:rPr>
                <w:sz w:val="26"/>
                <w:rtl/>
              </w:rPr>
            </w:pPr>
            <w:r>
              <w:rPr>
                <w:rFonts w:hint="cs"/>
                <w:sz w:val="26"/>
                <w:rtl/>
              </w:rPr>
              <w:t>15כא.</w:t>
            </w:r>
          </w:p>
        </w:tc>
        <w:tc>
          <w:tcPr>
            <w:tcW w:w="4650" w:type="dxa"/>
            <w:gridSpan w:val="3"/>
            <w:tcMar>
              <w:top w:w="91" w:type="dxa"/>
              <w:left w:w="0" w:type="dxa"/>
              <w:bottom w:w="91" w:type="dxa"/>
              <w:right w:w="0" w:type="dxa"/>
            </w:tcMar>
            <w:hideMark/>
          </w:tcPr>
          <w:p w14:paraId="7AD81FCE" w14:textId="77777777" w:rsidR="00BF4529" w:rsidRDefault="00BF4529" w:rsidP="00BF4529">
            <w:pPr>
              <w:pStyle w:val="TableBlock"/>
              <w:spacing w:before="0"/>
              <w:rPr>
                <w:sz w:val="26"/>
                <w:rtl/>
              </w:rPr>
            </w:pPr>
            <w:r>
              <w:rPr>
                <w:rFonts w:hint="cs"/>
                <w:sz w:val="26"/>
                <w:rtl/>
              </w:rPr>
              <w:t>חזקה על אדם שלא היה עליו לדעת על היעדר אישור לעסקה לפי סימן זה, אם קיבל את אישור המועצה לכך שהתקבלו כל האישורים הנדרשים לעסקה.</w:t>
            </w:r>
          </w:p>
        </w:tc>
      </w:tr>
      <w:tr w:rsidR="00BF4529" w14:paraId="3EB1BF57" w14:textId="77777777" w:rsidTr="00BF4529">
        <w:trPr>
          <w:cantSplit/>
        </w:trPr>
        <w:tc>
          <w:tcPr>
            <w:tcW w:w="1871" w:type="dxa"/>
            <w:tcMar>
              <w:top w:w="91" w:type="dxa"/>
              <w:left w:w="0" w:type="dxa"/>
              <w:bottom w:w="91" w:type="dxa"/>
              <w:right w:w="0" w:type="dxa"/>
            </w:tcMar>
          </w:tcPr>
          <w:p w14:paraId="1DD18C3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AFD785F"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8FF8C2F" w14:textId="77777777" w:rsidR="00BF4529" w:rsidRDefault="00BF4529" w:rsidP="00BF4529">
            <w:pPr>
              <w:pStyle w:val="TableHead"/>
              <w:spacing w:before="0"/>
              <w:rPr>
                <w:sz w:val="26"/>
                <w:rtl/>
              </w:rPr>
            </w:pPr>
            <w:r>
              <w:rPr>
                <w:rFonts w:hint="cs"/>
                <w:sz w:val="26"/>
                <w:rtl/>
              </w:rPr>
              <w:t>פרק ג'3: בעלי תפקידים מיוחדים ברשות</w:t>
            </w:r>
          </w:p>
        </w:tc>
      </w:tr>
      <w:tr w:rsidR="00BF4529" w14:paraId="50CB3BDA" w14:textId="77777777" w:rsidTr="00BF4529">
        <w:trPr>
          <w:cantSplit/>
        </w:trPr>
        <w:tc>
          <w:tcPr>
            <w:tcW w:w="1871" w:type="dxa"/>
            <w:tcMar>
              <w:top w:w="91" w:type="dxa"/>
              <w:left w:w="0" w:type="dxa"/>
              <w:bottom w:w="91" w:type="dxa"/>
              <w:right w:w="0" w:type="dxa"/>
            </w:tcMar>
          </w:tcPr>
          <w:p w14:paraId="4406456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FA116E6"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1F83BEA" w14:textId="77777777" w:rsidR="00BF4529" w:rsidRDefault="00BF4529" w:rsidP="00BF4529">
            <w:pPr>
              <w:pStyle w:val="TableInnerSideHeading"/>
              <w:spacing w:before="0"/>
              <w:jc w:val="left"/>
              <w:rPr>
                <w:sz w:val="26"/>
                <w:rtl/>
              </w:rPr>
            </w:pPr>
            <w:r>
              <w:rPr>
                <w:rFonts w:hint="cs"/>
                <w:sz w:val="26"/>
                <w:rtl/>
              </w:rPr>
              <w:t>רואה חשבון מבקר</w:t>
            </w:r>
          </w:p>
        </w:tc>
        <w:tc>
          <w:tcPr>
            <w:tcW w:w="624" w:type="dxa"/>
            <w:tcMar>
              <w:top w:w="91" w:type="dxa"/>
              <w:left w:w="0" w:type="dxa"/>
              <w:bottom w:w="91" w:type="dxa"/>
              <w:right w:w="0" w:type="dxa"/>
            </w:tcMar>
            <w:hideMark/>
          </w:tcPr>
          <w:p w14:paraId="4B1F48FD" w14:textId="77777777" w:rsidR="00BF4529" w:rsidRDefault="00BF4529" w:rsidP="00BF4529">
            <w:pPr>
              <w:pStyle w:val="TableText"/>
              <w:spacing w:before="0"/>
              <w:rPr>
                <w:sz w:val="26"/>
                <w:rtl/>
              </w:rPr>
            </w:pPr>
            <w:r>
              <w:rPr>
                <w:rFonts w:hint="cs"/>
                <w:sz w:val="26"/>
                <w:rtl/>
              </w:rPr>
              <w:t>15כב.</w:t>
            </w:r>
          </w:p>
        </w:tc>
        <w:tc>
          <w:tcPr>
            <w:tcW w:w="4650" w:type="dxa"/>
            <w:gridSpan w:val="3"/>
            <w:tcMar>
              <w:top w:w="91" w:type="dxa"/>
              <w:left w:w="0" w:type="dxa"/>
              <w:bottom w:w="91" w:type="dxa"/>
              <w:right w:w="0" w:type="dxa"/>
            </w:tcMar>
            <w:hideMark/>
          </w:tcPr>
          <w:p w14:paraId="0A3FE89B" w14:textId="77777777" w:rsidR="00BF4529" w:rsidRDefault="00BF4529" w:rsidP="00BF4529">
            <w:pPr>
              <w:pStyle w:val="TableBlock"/>
              <w:spacing w:before="0"/>
              <w:rPr>
                <w:sz w:val="26"/>
                <w:rtl/>
              </w:rPr>
            </w:pPr>
            <w:r>
              <w:rPr>
                <w:rFonts w:hint="cs"/>
                <w:sz w:val="26"/>
                <w:rtl/>
              </w:rPr>
              <w:t>המועצה תמנה רואה חשבון מבקר שיבקר את הדוחות הכספיים השנתיים שלה ויחווה את דעתו עליהם (בפרק זה – פעולת ביקורת).</w:t>
            </w:r>
          </w:p>
        </w:tc>
      </w:tr>
      <w:tr w:rsidR="00BF4529" w14:paraId="3A5C6563" w14:textId="77777777" w:rsidTr="00BF4529">
        <w:trPr>
          <w:cantSplit/>
        </w:trPr>
        <w:tc>
          <w:tcPr>
            <w:tcW w:w="1871" w:type="dxa"/>
            <w:tcMar>
              <w:top w:w="91" w:type="dxa"/>
              <w:left w:w="0" w:type="dxa"/>
              <w:bottom w:w="91" w:type="dxa"/>
              <w:right w:w="0" w:type="dxa"/>
            </w:tcMar>
          </w:tcPr>
          <w:p w14:paraId="1FC4073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E55ADD6"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7FAB0F2" w14:textId="77777777" w:rsidR="00BF4529" w:rsidRDefault="00BF4529" w:rsidP="00BF4529">
            <w:pPr>
              <w:pStyle w:val="TableInnerSideHeading"/>
              <w:spacing w:before="0"/>
              <w:jc w:val="left"/>
              <w:rPr>
                <w:sz w:val="26"/>
                <w:rtl/>
              </w:rPr>
            </w:pPr>
            <w:r>
              <w:rPr>
                <w:rFonts w:hint="cs"/>
                <w:sz w:val="26"/>
                <w:rtl/>
              </w:rPr>
              <w:t>סמכויות רואה החשבון המבקר</w:t>
            </w:r>
          </w:p>
        </w:tc>
        <w:tc>
          <w:tcPr>
            <w:tcW w:w="624" w:type="dxa"/>
            <w:tcMar>
              <w:top w:w="91" w:type="dxa"/>
              <w:left w:w="0" w:type="dxa"/>
              <w:bottom w:w="91" w:type="dxa"/>
              <w:right w:w="0" w:type="dxa"/>
            </w:tcMar>
            <w:hideMark/>
          </w:tcPr>
          <w:p w14:paraId="67633BAF" w14:textId="77777777" w:rsidR="00BF4529" w:rsidRDefault="00BF4529" w:rsidP="00BF4529">
            <w:pPr>
              <w:pStyle w:val="TableText"/>
              <w:spacing w:before="0"/>
              <w:rPr>
                <w:sz w:val="26"/>
                <w:rtl/>
              </w:rPr>
            </w:pPr>
            <w:r>
              <w:rPr>
                <w:rFonts w:hint="cs"/>
                <w:sz w:val="26"/>
                <w:rtl/>
              </w:rPr>
              <w:t>15כג.</w:t>
            </w:r>
          </w:p>
        </w:tc>
        <w:tc>
          <w:tcPr>
            <w:tcW w:w="4650" w:type="dxa"/>
            <w:gridSpan w:val="3"/>
            <w:tcMar>
              <w:top w:w="91" w:type="dxa"/>
              <w:left w:w="0" w:type="dxa"/>
              <w:bottom w:w="91" w:type="dxa"/>
              <w:right w:w="0" w:type="dxa"/>
            </w:tcMar>
            <w:hideMark/>
          </w:tcPr>
          <w:p w14:paraId="64F58782" w14:textId="77777777" w:rsidR="00BF4529" w:rsidRDefault="00BF4529" w:rsidP="00BF4529">
            <w:pPr>
              <w:pStyle w:val="TableBlock"/>
              <w:spacing w:before="0"/>
              <w:rPr>
                <w:sz w:val="26"/>
                <w:rtl/>
              </w:rPr>
            </w:pPr>
            <w:r>
              <w:rPr>
                <w:rFonts w:hint="cs"/>
                <w:sz w:val="26"/>
                <w:rtl/>
              </w:rPr>
              <w:t>(א)</w:t>
            </w:r>
            <w:r>
              <w:rPr>
                <w:rFonts w:hint="cs"/>
                <w:sz w:val="26"/>
                <w:rtl/>
              </w:rPr>
              <w:tab/>
              <w:t>רואה החשבון המבקר רשאי לעיין בכל עת במסמכי הרשות הדרושים לו לשם מילוי תפקידו ולקבל הסברים לגביהם.</w:t>
            </w:r>
          </w:p>
        </w:tc>
      </w:tr>
      <w:tr w:rsidR="00BF4529" w14:paraId="5081FA13" w14:textId="77777777" w:rsidTr="00BF4529">
        <w:trPr>
          <w:cantSplit/>
        </w:trPr>
        <w:tc>
          <w:tcPr>
            <w:tcW w:w="1871" w:type="dxa"/>
            <w:tcMar>
              <w:top w:w="91" w:type="dxa"/>
              <w:left w:w="0" w:type="dxa"/>
              <w:bottom w:w="91" w:type="dxa"/>
              <w:right w:w="0" w:type="dxa"/>
            </w:tcMar>
          </w:tcPr>
          <w:p w14:paraId="05AA54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27EE57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935A2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9A14ED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5ACEF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C2EEC3"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B4E939E" w14:textId="77777777" w:rsidR="00BF4529" w:rsidRDefault="00BF4529" w:rsidP="00BF4529">
            <w:pPr>
              <w:pStyle w:val="TableBlock"/>
              <w:spacing w:before="0"/>
              <w:rPr>
                <w:sz w:val="26"/>
                <w:rtl/>
              </w:rPr>
            </w:pPr>
            <w:r>
              <w:rPr>
                <w:rFonts w:hint="cs"/>
                <w:sz w:val="26"/>
                <w:rtl/>
              </w:rPr>
              <w:t>(ב)</w:t>
            </w:r>
            <w:r>
              <w:rPr>
                <w:rFonts w:hint="cs"/>
                <w:sz w:val="26"/>
                <w:rtl/>
              </w:rPr>
              <w:tab/>
              <w:t>רואה החשבון המבקר רשאי להשתתף בכל ישיבת מועצה או ועדה מוועדותיה הדנה בדוחות הכספיים שלגביהם ביצע פעולות ביקורת או בישיבת מועצה המתכנסת לפי סעיף 15כד(ג).</w:t>
            </w:r>
          </w:p>
        </w:tc>
      </w:tr>
      <w:tr w:rsidR="00BF4529" w14:paraId="4F214863" w14:textId="77777777" w:rsidTr="00BF4529">
        <w:trPr>
          <w:cantSplit/>
        </w:trPr>
        <w:tc>
          <w:tcPr>
            <w:tcW w:w="1871" w:type="dxa"/>
            <w:tcMar>
              <w:top w:w="91" w:type="dxa"/>
              <w:left w:w="0" w:type="dxa"/>
              <w:bottom w:w="91" w:type="dxa"/>
              <w:right w:w="0" w:type="dxa"/>
            </w:tcMar>
          </w:tcPr>
          <w:p w14:paraId="2563976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8B3FE7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C370AD5" w14:textId="77777777" w:rsidR="00BF4529" w:rsidRDefault="00BF4529" w:rsidP="00BF4529">
            <w:pPr>
              <w:pStyle w:val="TableInnerSideHeading"/>
              <w:spacing w:before="0"/>
              <w:jc w:val="left"/>
              <w:rPr>
                <w:sz w:val="26"/>
                <w:rtl/>
              </w:rPr>
            </w:pPr>
            <w:r>
              <w:rPr>
                <w:rFonts w:hint="cs"/>
                <w:sz w:val="26"/>
                <w:rtl/>
              </w:rPr>
              <w:t>חובת דיווח</w:t>
            </w:r>
            <w:r>
              <w:rPr>
                <w:rFonts w:hint="cs"/>
                <w:sz w:val="26"/>
                <w:rtl/>
              </w:rPr>
              <w:br/>
              <w:t>ואי-תלות</w:t>
            </w:r>
          </w:p>
        </w:tc>
        <w:tc>
          <w:tcPr>
            <w:tcW w:w="624" w:type="dxa"/>
            <w:tcMar>
              <w:top w:w="91" w:type="dxa"/>
              <w:left w:w="0" w:type="dxa"/>
              <w:bottom w:w="91" w:type="dxa"/>
              <w:right w:w="0" w:type="dxa"/>
            </w:tcMar>
            <w:hideMark/>
          </w:tcPr>
          <w:p w14:paraId="56A745F3" w14:textId="77777777" w:rsidR="00BF4529" w:rsidRDefault="00BF4529" w:rsidP="00BF4529">
            <w:pPr>
              <w:pStyle w:val="TableText"/>
              <w:spacing w:before="0"/>
              <w:rPr>
                <w:sz w:val="26"/>
                <w:rtl/>
              </w:rPr>
            </w:pPr>
            <w:r>
              <w:rPr>
                <w:rFonts w:hint="cs"/>
                <w:sz w:val="26"/>
                <w:rtl/>
              </w:rPr>
              <w:t>15כד.</w:t>
            </w:r>
          </w:p>
        </w:tc>
        <w:tc>
          <w:tcPr>
            <w:tcW w:w="4650" w:type="dxa"/>
            <w:gridSpan w:val="3"/>
            <w:tcMar>
              <w:top w:w="91" w:type="dxa"/>
              <w:left w:w="0" w:type="dxa"/>
              <w:bottom w:w="91" w:type="dxa"/>
              <w:right w:w="0" w:type="dxa"/>
            </w:tcMar>
            <w:hideMark/>
          </w:tcPr>
          <w:p w14:paraId="6A335A6F" w14:textId="77777777" w:rsidR="00BF4529" w:rsidRDefault="00BF4529" w:rsidP="00BF4529">
            <w:pPr>
              <w:pStyle w:val="TableBlock"/>
              <w:spacing w:before="0"/>
              <w:rPr>
                <w:sz w:val="26"/>
                <w:rtl/>
              </w:rPr>
            </w:pPr>
            <w:r>
              <w:rPr>
                <w:rFonts w:hint="cs"/>
                <w:sz w:val="26"/>
                <w:rtl/>
              </w:rPr>
              <w:t>(א)</w:t>
            </w:r>
            <w:r>
              <w:rPr>
                <w:rFonts w:hint="cs"/>
                <w:sz w:val="26"/>
                <w:rtl/>
              </w:rPr>
              <w:tab/>
              <w:t>על רואה החשבון המבקר יחולו, בשינויים המחויבים, הוראות סעיף 45 לחוק החברות הממשלתיות וההוראות לפי סעיפים 160 ו-161 לחוק החברות.</w:t>
            </w:r>
          </w:p>
        </w:tc>
      </w:tr>
      <w:tr w:rsidR="00BF4529" w14:paraId="0C46ECC0" w14:textId="77777777" w:rsidTr="00BF4529">
        <w:trPr>
          <w:cantSplit/>
        </w:trPr>
        <w:tc>
          <w:tcPr>
            <w:tcW w:w="1871" w:type="dxa"/>
            <w:tcMar>
              <w:top w:w="91" w:type="dxa"/>
              <w:left w:w="0" w:type="dxa"/>
              <w:bottom w:w="91" w:type="dxa"/>
              <w:right w:w="0" w:type="dxa"/>
            </w:tcMar>
          </w:tcPr>
          <w:p w14:paraId="4AE2E5A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D91939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D7996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24584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35BC2E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503456"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9F4B816" w14:textId="77777777" w:rsidR="00BF4529" w:rsidRDefault="00BF4529" w:rsidP="00BF4529">
            <w:pPr>
              <w:pStyle w:val="TableBlock"/>
              <w:spacing w:before="0"/>
              <w:rPr>
                <w:sz w:val="26"/>
                <w:rtl/>
              </w:rPr>
            </w:pPr>
            <w:r>
              <w:rPr>
                <w:rFonts w:hint="cs"/>
                <w:sz w:val="26"/>
                <w:rtl/>
              </w:rPr>
              <w:t>(ב)</w:t>
            </w:r>
            <w:r>
              <w:rPr>
                <w:rFonts w:hint="cs"/>
                <w:sz w:val="26"/>
                <w:rtl/>
              </w:rPr>
              <w:tab/>
              <w:t>נודע לרואה החשבון המבקר אגב פעולת ביקורת, על ליקוים מהותיים בבקרה החשבונאית של הרשות, ידווח על כך לראש הרשות.</w:t>
            </w:r>
          </w:p>
        </w:tc>
      </w:tr>
      <w:tr w:rsidR="00BF4529" w14:paraId="40BC2921" w14:textId="77777777" w:rsidTr="00BF4529">
        <w:trPr>
          <w:cantSplit/>
        </w:trPr>
        <w:tc>
          <w:tcPr>
            <w:tcW w:w="1871" w:type="dxa"/>
            <w:tcMar>
              <w:top w:w="91" w:type="dxa"/>
              <w:left w:w="0" w:type="dxa"/>
              <w:bottom w:w="91" w:type="dxa"/>
              <w:right w:w="0" w:type="dxa"/>
            </w:tcMar>
          </w:tcPr>
          <w:p w14:paraId="17F5438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72CCB0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762A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4A6C7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E2FC88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A2CBEF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1A77839" w14:textId="77777777" w:rsidR="00BF4529" w:rsidRDefault="00BF4529" w:rsidP="00BF4529">
            <w:pPr>
              <w:pStyle w:val="TableBlock"/>
              <w:spacing w:before="0"/>
              <w:rPr>
                <w:sz w:val="26"/>
                <w:rtl/>
              </w:rPr>
            </w:pPr>
            <w:r>
              <w:rPr>
                <w:rFonts w:hint="cs"/>
                <w:sz w:val="26"/>
                <w:rtl/>
              </w:rPr>
              <w:t>(ג)</w:t>
            </w:r>
            <w:r>
              <w:rPr>
                <w:rFonts w:hint="cs"/>
                <w:sz w:val="26"/>
                <w:rtl/>
              </w:rPr>
              <w:tab/>
              <w:t>הודיע רואה החשבון המבקר על ליקויים כאמור בסעיף קטן (ב), יזמן ראש הרשות, בלא דיחוי, ישיבת מועצה לדיון בנושאים שהובאו לידיעתו.</w:t>
            </w:r>
          </w:p>
        </w:tc>
      </w:tr>
      <w:tr w:rsidR="00BF4529" w14:paraId="222393A3" w14:textId="77777777" w:rsidTr="00BF4529">
        <w:trPr>
          <w:cantSplit/>
        </w:trPr>
        <w:tc>
          <w:tcPr>
            <w:tcW w:w="1871" w:type="dxa"/>
            <w:tcMar>
              <w:top w:w="91" w:type="dxa"/>
              <w:left w:w="0" w:type="dxa"/>
              <w:bottom w:w="91" w:type="dxa"/>
              <w:right w:w="0" w:type="dxa"/>
            </w:tcMar>
          </w:tcPr>
          <w:p w14:paraId="0D82ABB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9030F7B"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575C6C3" w14:textId="77777777" w:rsidR="00BF4529" w:rsidRDefault="00BF4529" w:rsidP="00BF4529">
            <w:pPr>
              <w:pStyle w:val="TableInnerSideHeading"/>
              <w:spacing w:before="0"/>
              <w:jc w:val="left"/>
              <w:rPr>
                <w:sz w:val="26"/>
                <w:rtl/>
              </w:rPr>
            </w:pPr>
            <w:r>
              <w:rPr>
                <w:rFonts w:hint="cs"/>
                <w:sz w:val="26"/>
                <w:rtl/>
              </w:rPr>
              <w:t>מבקר פנימי</w:t>
            </w:r>
          </w:p>
        </w:tc>
        <w:tc>
          <w:tcPr>
            <w:tcW w:w="624" w:type="dxa"/>
            <w:tcMar>
              <w:top w:w="91" w:type="dxa"/>
              <w:left w:w="0" w:type="dxa"/>
              <w:bottom w:w="91" w:type="dxa"/>
              <w:right w:w="0" w:type="dxa"/>
            </w:tcMar>
            <w:hideMark/>
          </w:tcPr>
          <w:p w14:paraId="025701F5" w14:textId="77777777" w:rsidR="00BF4529" w:rsidRDefault="00BF4529" w:rsidP="00BF4529">
            <w:pPr>
              <w:pStyle w:val="TableText"/>
              <w:spacing w:before="0"/>
              <w:rPr>
                <w:sz w:val="26"/>
                <w:rtl/>
              </w:rPr>
            </w:pPr>
            <w:r>
              <w:rPr>
                <w:rFonts w:hint="cs"/>
                <w:sz w:val="26"/>
                <w:rtl/>
              </w:rPr>
              <w:t>15כה.</w:t>
            </w:r>
          </w:p>
        </w:tc>
        <w:tc>
          <w:tcPr>
            <w:tcW w:w="4650" w:type="dxa"/>
            <w:gridSpan w:val="3"/>
            <w:tcMar>
              <w:top w:w="91" w:type="dxa"/>
              <w:left w:w="0" w:type="dxa"/>
              <w:bottom w:w="91" w:type="dxa"/>
              <w:right w:w="0" w:type="dxa"/>
            </w:tcMar>
            <w:hideMark/>
          </w:tcPr>
          <w:p w14:paraId="5EF2C2AF" w14:textId="77777777" w:rsidR="00BF4529" w:rsidRDefault="00BF4529" w:rsidP="00BF4529">
            <w:pPr>
              <w:pStyle w:val="TableBlock"/>
              <w:spacing w:before="0"/>
              <w:rPr>
                <w:sz w:val="26"/>
                <w:rtl/>
              </w:rPr>
            </w:pPr>
            <w:r>
              <w:rPr>
                <w:rFonts w:hint="cs"/>
                <w:sz w:val="26"/>
                <w:rtl/>
              </w:rPr>
              <w:t>המועצה תמנה לרשות מבקר פנימי; הוראות סעיפים 48 ו-49 לחוק החברות הממשלתיות יחולו על המינוי, הכהונה, הסמכויות והמעמד של המבקר הפנימי של הרשות, בשינויים המחויבים.</w:t>
            </w:r>
          </w:p>
        </w:tc>
      </w:tr>
      <w:tr w:rsidR="00BF4529" w14:paraId="0EA080B3" w14:textId="77777777" w:rsidTr="00BF4529">
        <w:trPr>
          <w:cantSplit/>
        </w:trPr>
        <w:tc>
          <w:tcPr>
            <w:tcW w:w="1871" w:type="dxa"/>
            <w:tcMar>
              <w:top w:w="91" w:type="dxa"/>
              <w:left w:w="0" w:type="dxa"/>
              <w:bottom w:w="91" w:type="dxa"/>
              <w:right w:w="0" w:type="dxa"/>
            </w:tcMar>
          </w:tcPr>
          <w:p w14:paraId="49E3997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B82A453"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1DE6CBF0" w14:textId="77777777" w:rsidR="00BF4529" w:rsidRDefault="00BF4529" w:rsidP="00BF4529">
            <w:pPr>
              <w:pStyle w:val="TableInnerSideHeading"/>
              <w:spacing w:before="0"/>
              <w:jc w:val="left"/>
              <w:rPr>
                <w:sz w:val="26"/>
                <w:rtl/>
              </w:rPr>
            </w:pPr>
            <w:r>
              <w:rPr>
                <w:rFonts w:hint="cs"/>
                <w:sz w:val="26"/>
                <w:rtl/>
              </w:rPr>
              <w:t>היועץ המשפטי</w:t>
            </w:r>
            <w:r>
              <w:rPr>
                <w:rFonts w:hint="cs"/>
                <w:sz w:val="26"/>
                <w:rtl/>
              </w:rPr>
              <w:br/>
              <w:t>של הרשות</w:t>
            </w:r>
          </w:p>
        </w:tc>
        <w:tc>
          <w:tcPr>
            <w:tcW w:w="624" w:type="dxa"/>
            <w:tcMar>
              <w:top w:w="91" w:type="dxa"/>
              <w:left w:w="0" w:type="dxa"/>
              <w:bottom w:w="91" w:type="dxa"/>
              <w:right w:w="0" w:type="dxa"/>
            </w:tcMar>
            <w:hideMark/>
          </w:tcPr>
          <w:p w14:paraId="3A2A6A1D" w14:textId="77777777" w:rsidR="00BF4529" w:rsidRDefault="00BF4529" w:rsidP="00BF4529">
            <w:pPr>
              <w:pStyle w:val="TableText"/>
              <w:spacing w:before="0"/>
              <w:rPr>
                <w:sz w:val="26"/>
                <w:rtl/>
              </w:rPr>
            </w:pPr>
            <w:r>
              <w:rPr>
                <w:rFonts w:hint="cs"/>
                <w:sz w:val="26"/>
                <w:rtl/>
              </w:rPr>
              <w:t>15כו.</w:t>
            </w:r>
          </w:p>
        </w:tc>
        <w:tc>
          <w:tcPr>
            <w:tcW w:w="4650" w:type="dxa"/>
            <w:gridSpan w:val="3"/>
            <w:tcMar>
              <w:top w:w="91" w:type="dxa"/>
              <w:left w:w="0" w:type="dxa"/>
              <w:bottom w:w="91" w:type="dxa"/>
              <w:right w:w="0" w:type="dxa"/>
            </w:tcMar>
            <w:hideMark/>
          </w:tcPr>
          <w:p w14:paraId="0835AFA8" w14:textId="77777777" w:rsidR="00BF4529" w:rsidRDefault="00BF4529" w:rsidP="00BF4529">
            <w:pPr>
              <w:pStyle w:val="TableBlock"/>
              <w:spacing w:before="0"/>
              <w:rPr>
                <w:sz w:val="26"/>
                <w:rtl/>
              </w:rPr>
            </w:pPr>
            <w:r>
              <w:rPr>
                <w:rFonts w:hint="cs"/>
                <w:sz w:val="26"/>
                <w:rtl/>
              </w:rPr>
              <w:t>(א)</w:t>
            </w:r>
            <w:r>
              <w:rPr>
                <w:rFonts w:hint="cs"/>
                <w:sz w:val="26"/>
                <w:rtl/>
              </w:rPr>
              <w:tab/>
              <w:t xml:space="preserve">מועצת הרשות תמנה יועץ משפטי לרשות, שיהיה עובד הרשות. </w:t>
            </w:r>
          </w:p>
        </w:tc>
      </w:tr>
      <w:tr w:rsidR="00BF4529" w14:paraId="2879159A" w14:textId="77777777" w:rsidTr="00BF4529">
        <w:trPr>
          <w:cantSplit/>
        </w:trPr>
        <w:tc>
          <w:tcPr>
            <w:tcW w:w="1871" w:type="dxa"/>
            <w:tcMar>
              <w:top w:w="91" w:type="dxa"/>
              <w:left w:w="0" w:type="dxa"/>
              <w:bottom w:w="91" w:type="dxa"/>
              <w:right w:w="0" w:type="dxa"/>
            </w:tcMar>
          </w:tcPr>
          <w:p w14:paraId="3E75FD23"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4F7D04B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A2A30D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F9FFAC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7645BE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260B2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E85A789" w14:textId="77777777" w:rsidR="00BF4529" w:rsidRDefault="00BF4529" w:rsidP="00BF4529">
            <w:pPr>
              <w:pStyle w:val="TableBlock"/>
              <w:spacing w:before="0"/>
              <w:rPr>
                <w:sz w:val="26"/>
                <w:rtl/>
              </w:rPr>
            </w:pPr>
            <w:r>
              <w:rPr>
                <w:rFonts w:hint="cs"/>
                <w:sz w:val="26"/>
                <w:rtl/>
              </w:rPr>
              <w:t>(ב)</w:t>
            </w:r>
            <w:r>
              <w:rPr>
                <w:rFonts w:hint="cs"/>
                <w:sz w:val="26"/>
                <w:rtl/>
              </w:rPr>
              <w:tab/>
              <w:t>חוות דעתו של היועץ המשפטי לגבי המצב המשפטי הקיים, מחייבת את הרשות.</w:t>
            </w:r>
          </w:p>
        </w:tc>
      </w:tr>
      <w:tr w:rsidR="00BF4529" w14:paraId="2829C45E" w14:textId="77777777" w:rsidTr="00BF4529">
        <w:trPr>
          <w:cantSplit/>
        </w:trPr>
        <w:tc>
          <w:tcPr>
            <w:tcW w:w="1871" w:type="dxa"/>
            <w:tcMar>
              <w:top w:w="91" w:type="dxa"/>
              <w:left w:w="0" w:type="dxa"/>
              <w:bottom w:w="91" w:type="dxa"/>
              <w:right w:w="0" w:type="dxa"/>
            </w:tcMar>
          </w:tcPr>
          <w:p w14:paraId="483E7ED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094423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BDF2F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1F52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A68E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8ACF5F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E64B2BC" w14:textId="77777777" w:rsidR="00BF4529" w:rsidRDefault="00BF4529" w:rsidP="00BF4529">
            <w:pPr>
              <w:pStyle w:val="TableBlock"/>
              <w:spacing w:before="0"/>
              <w:rPr>
                <w:sz w:val="26"/>
                <w:rtl/>
              </w:rPr>
            </w:pPr>
            <w:r>
              <w:rPr>
                <w:rFonts w:hint="cs"/>
                <w:sz w:val="26"/>
                <w:rtl/>
              </w:rPr>
              <w:t>(ג)</w:t>
            </w:r>
            <w:r>
              <w:rPr>
                <w:rFonts w:hint="cs"/>
                <w:sz w:val="26"/>
                <w:rtl/>
              </w:rPr>
              <w:tab/>
              <w:t>קבע היועץ המשפטי לממשלה או מי מטעמו קביעה אחרת מזו של היועץ המשפטי של הרשות, תחייב חוות דעתו של היועץ המשפטי לממשלה.</w:t>
            </w:r>
          </w:p>
        </w:tc>
      </w:tr>
      <w:tr w:rsidR="00BF4529" w14:paraId="75799845" w14:textId="77777777" w:rsidTr="00BF4529">
        <w:trPr>
          <w:cantSplit/>
        </w:trPr>
        <w:tc>
          <w:tcPr>
            <w:tcW w:w="1871" w:type="dxa"/>
            <w:tcMar>
              <w:top w:w="91" w:type="dxa"/>
              <w:left w:w="0" w:type="dxa"/>
              <w:bottom w:w="91" w:type="dxa"/>
              <w:right w:w="0" w:type="dxa"/>
            </w:tcMar>
          </w:tcPr>
          <w:p w14:paraId="655F1D8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CFD3DB5"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6A3504EB" w14:textId="77777777" w:rsidR="00BF4529" w:rsidRDefault="00BF4529" w:rsidP="00BF4529">
            <w:pPr>
              <w:pStyle w:val="TableInnerSideHeading"/>
              <w:spacing w:before="0"/>
              <w:jc w:val="left"/>
              <w:rPr>
                <w:sz w:val="26"/>
                <w:rtl/>
              </w:rPr>
            </w:pPr>
            <w:r>
              <w:rPr>
                <w:rFonts w:hint="cs"/>
                <w:sz w:val="26"/>
                <w:rtl/>
              </w:rPr>
              <w:t>חשב הרשות</w:t>
            </w:r>
          </w:p>
        </w:tc>
        <w:tc>
          <w:tcPr>
            <w:tcW w:w="624" w:type="dxa"/>
            <w:tcMar>
              <w:top w:w="91" w:type="dxa"/>
              <w:left w:w="0" w:type="dxa"/>
              <w:bottom w:w="91" w:type="dxa"/>
              <w:right w:w="0" w:type="dxa"/>
            </w:tcMar>
            <w:hideMark/>
          </w:tcPr>
          <w:p w14:paraId="0F0AA61B" w14:textId="77777777" w:rsidR="00BF4529" w:rsidRDefault="00BF4529" w:rsidP="00BF4529">
            <w:pPr>
              <w:pStyle w:val="TableText"/>
              <w:spacing w:before="0"/>
              <w:rPr>
                <w:sz w:val="26"/>
                <w:rtl/>
              </w:rPr>
            </w:pPr>
            <w:r>
              <w:rPr>
                <w:rFonts w:hint="cs"/>
                <w:sz w:val="26"/>
                <w:rtl/>
              </w:rPr>
              <w:t>15כז.</w:t>
            </w:r>
          </w:p>
        </w:tc>
        <w:tc>
          <w:tcPr>
            <w:tcW w:w="4650" w:type="dxa"/>
            <w:gridSpan w:val="3"/>
            <w:tcMar>
              <w:top w:w="91" w:type="dxa"/>
              <w:left w:w="0" w:type="dxa"/>
              <w:bottom w:w="91" w:type="dxa"/>
              <w:right w:w="0" w:type="dxa"/>
            </w:tcMar>
            <w:hideMark/>
          </w:tcPr>
          <w:p w14:paraId="26932184" w14:textId="77777777" w:rsidR="00BF4529" w:rsidRDefault="00BF4529" w:rsidP="00BF4529">
            <w:pPr>
              <w:pStyle w:val="TableBlock"/>
              <w:spacing w:before="0"/>
              <w:rPr>
                <w:sz w:val="26"/>
                <w:rtl/>
              </w:rPr>
            </w:pPr>
            <w:r>
              <w:rPr>
                <w:rFonts w:hint="cs"/>
                <w:sz w:val="26"/>
                <w:rtl/>
              </w:rPr>
              <w:t>(א)</w:t>
            </w:r>
            <w:r>
              <w:rPr>
                <w:rFonts w:hint="cs"/>
                <w:sz w:val="26"/>
                <w:rtl/>
              </w:rPr>
              <w:tab/>
              <w:t xml:space="preserve">החשב הכללי במשרד האוצר ימנה חשב לרשות, שיהיה עובד משרד האוצר. </w:t>
            </w:r>
          </w:p>
        </w:tc>
      </w:tr>
      <w:tr w:rsidR="00BF4529" w14:paraId="5C2B4BED" w14:textId="77777777" w:rsidTr="00BF4529">
        <w:trPr>
          <w:cantSplit/>
        </w:trPr>
        <w:tc>
          <w:tcPr>
            <w:tcW w:w="1871" w:type="dxa"/>
            <w:tcMar>
              <w:top w:w="91" w:type="dxa"/>
              <w:left w:w="0" w:type="dxa"/>
              <w:bottom w:w="91" w:type="dxa"/>
              <w:right w:w="0" w:type="dxa"/>
            </w:tcMar>
          </w:tcPr>
          <w:p w14:paraId="54D38E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3151CD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008BC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FFD83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1169E5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C5E3F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1C6A16B" w14:textId="77777777" w:rsidR="00BF4529" w:rsidRDefault="00BF4529" w:rsidP="00BF4529">
            <w:pPr>
              <w:pStyle w:val="TableBlock"/>
              <w:spacing w:before="0"/>
              <w:rPr>
                <w:sz w:val="26"/>
                <w:rtl/>
              </w:rPr>
            </w:pPr>
            <w:r>
              <w:rPr>
                <w:rFonts w:hint="cs"/>
                <w:sz w:val="26"/>
                <w:rtl/>
              </w:rPr>
              <w:t>(ב)</w:t>
            </w:r>
            <w:r>
              <w:rPr>
                <w:rFonts w:hint="cs"/>
                <w:sz w:val="26"/>
                <w:rtl/>
              </w:rPr>
              <w:tab/>
              <w:t>כל התחייבות, הזמנה, חוזה או הסכם המחייבים את הרשות בהוצאה כספית, יהיו טעונים אישור של חשב הרשות; אין בהוראות סעיף קטן זה כדי לגרוע מן הצורך בקבלת אישורים אחרים להוצאה או להתקשרות כאמור לפי כל דין.</w:t>
            </w:r>
          </w:p>
        </w:tc>
      </w:tr>
      <w:tr w:rsidR="00BF4529" w14:paraId="2E8C8B43" w14:textId="77777777" w:rsidTr="00BF4529">
        <w:trPr>
          <w:cantSplit/>
        </w:trPr>
        <w:tc>
          <w:tcPr>
            <w:tcW w:w="1871" w:type="dxa"/>
            <w:tcMar>
              <w:top w:w="91" w:type="dxa"/>
              <w:left w:w="0" w:type="dxa"/>
              <w:bottom w:w="91" w:type="dxa"/>
              <w:right w:w="0" w:type="dxa"/>
            </w:tcMar>
          </w:tcPr>
          <w:p w14:paraId="040CBCE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7B8DDA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A1B94A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2192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60C393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FB183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4DDDDA2" w14:textId="77777777" w:rsidR="00BF4529" w:rsidRDefault="00BF4529" w:rsidP="00BF4529">
            <w:pPr>
              <w:pStyle w:val="TableBlock"/>
              <w:spacing w:before="0"/>
              <w:rPr>
                <w:sz w:val="26"/>
                <w:rtl/>
              </w:rPr>
            </w:pPr>
            <w:r>
              <w:rPr>
                <w:rFonts w:hint="cs"/>
                <w:sz w:val="26"/>
                <w:rtl/>
              </w:rPr>
              <w:t>(ג)</w:t>
            </w:r>
            <w:r>
              <w:rPr>
                <w:rFonts w:hint="cs"/>
                <w:sz w:val="26"/>
                <w:rtl/>
              </w:rPr>
              <w:tab/>
              <w:t>בלי לגרוע מהוראות סעיף זה, כל הסמכויות הנוגעות להסדרי חוב, לרבות כל שינוי באופן פירעון חוב, פירעון מוקדם, דחיית החזרי הלוואה, מחזור הלוואה ואיחוד ופיצול לוחות סילוקין של הלוואה, יהיו נתונות לחשב הכללי במשרד האוצר או מי מטעמו, אולם החשב הכללי רשאי להסמיך את חשב הרשות להפעיל את הסמכויות האמורות, כולן או חלקן.</w:t>
            </w:r>
          </w:p>
        </w:tc>
      </w:tr>
      <w:tr w:rsidR="00BF4529" w14:paraId="26AE6FBB" w14:textId="77777777" w:rsidTr="00BF4529">
        <w:trPr>
          <w:cantSplit/>
        </w:trPr>
        <w:tc>
          <w:tcPr>
            <w:tcW w:w="1871" w:type="dxa"/>
            <w:tcMar>
              <w:top w:w="91" w:type="dxa"/>
              <w:left w:w="0" w:type="dxa"/>
              <w:bottom w:w="91" w:type="dxa"/>
              <w:right w:w="0" w:type="dxa"/>
            </w:tcMar>
          </w:tcPr>
          <w:p w14:paraId="60C7430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76384D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1FECEEE6" w14:textId="77777777" w:rsidR="00BF4529" w:rsidRDefault="00BF4529" w:rsidP="00BF4529">
            <w:pPr>
              <w:pStyle w:val="TableInnerSideHeading"/>
              <w:spacing w:before="0"/>
              <w:jc w:val="left"/>
              <w:rPr>
                <w:sz w:val="26"/>
                <w:rtl/>
              </w:rPr>
            </w:pPr>
            <w:r>
              <w:rPr>
                <w:rFonts w:hint="cs"/>
                <w:sz w:val="26"/>
                <w:rtl/>
              </w:rPr>
              <w:t>החלת דינים</w:t>
            </w:r>
          </w:p>
        </w:tc>
        <w:tc>
          <w:tcPr>
            <w:tcW w:w="624" w:type="dxa"/>
            <w:tcMar>
              <w:top w:w="91" w:type="dxa"/>
              <w:left w:w="0" w:type="dxa"/>
              <w:bottom w:w="91" w:type="dxa"/>
              <w:right w:w="0" w:type="dxa"/>
            </w:tcMar>
            <w:hideMark/>
          </w:tcPr>
          <w:p w14:paraId="5F95B483" w14:textId="77777777" w:rsidR="00BF4529" w:rsidRDefault="00BF4529" w:rsidP="00BF4529">
            <w:pPr>
              <w:pStyle w:val="TableText"/>
              <w:spacing w:before="0"/>
              <w:rPr>
                <w:sz w:val="26"/>
                <w:rtl/>
              </w:rPr>
            </w:pPr>
            <w:r>
              <w:rPr>
                <w:rFonts w:hint="cs"/>
                <w:sz w:val="26"/>
                <w:rtl/>
              </w:rPr>
              <w:t xml:space="preserve">15כח. </w:t>
            </w:r>
          </w:p>
        </w:tc>
        <w:tc>
          <w:tcPr>
            <w:tcW w:w="4650" w:type="dxa"/>
            <w:gridSpan w:val="3"/>
            <w:tcMar>
              <w:top w:w="91" w:type="dxa"/>
              <w:left w:w="0" w:type="dxa"/>
              <w:bottom w:w="91" w:type="dxa"/>
              <w:right w:w="0" w:type="dxa"/>
            </w:tcMar>
            <w:hideMark/>
          </w:tcPr>
          <w:p w14:paraId="0D3ADFF5" w14:textId="77777777" w:rsidR="00BF4529" w:rsidRDefault="00BF4529" w:rsidP="00BF4529">
            <w:pPr>
              <w:pStyle w:val="TableBlock"/>
              <w:spacing w:before="0"/>
              <w:rPr>
                <w:sz w:val="26"/>
                <w:rtl/>
              </w:rPr>
            </w:pPr>
            <w:r>
              <w:rPr>
                <w:rFonts w:hint="cs"/>
                <w:sz w:val="26"/>
                <w:rtl/>
              </w:rPr>
              <w:t xml:space="preserve">עובדי הרשות, חברי המועצה וחברי ועדות המחקר שאינם עובדי המדינה, דינם כדין עובדי המדינה לעניין החיקוקים המנויים להלן: </w:t>
            </w:r>
          </w:p>
        </w:tc>
      </w:tr>
      <w:tr w:rsidR="00BF4529" w14:paraId="4B050374" w14:textId="77777777" w:rsidTr="00BF4529">
        <w:trPr>
          <w:cantSplit/>
        </w:trPr>
        <w:tc>
          <w:tcPr>
            <w:tcW w:w="1871" w:type="dxa"/>
            <w:tcMar>
              <w:top w:w="91" w:type="dxa"/>
              <w:left w:w="0" w:type="dxa"/>
              <w:bottom w:w="91" w:type="dxa"/>
              <w:right w:w="0" w:type="dxa"/>
            </w:tcMar>
          </w:tcPr>
          <w:p w14:paraId="0D01157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DA1BA2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06FDD1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816A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5D93AC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B201A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CF70199" w14:textId="77777777" w:rsidR="00BF4529" w:rsidRDefault="00BF4529" w:rsidP="00BF4529">
            <w:pPr>
              <w:pStyle w:val="TableBlock"/>
              <w:spacing w:before="0"/>
              <w:rPr>
                <w:sz w:val="26"/>
                <w:rtl/>
              </w:rPr>
            </w:pPr>
            <w:r>
              <w:rPr>
                <w:rFonts w:hint="cs"/>
                <w:sz w:val="26"/>
                <w:rtl/>
              </w:rPr>
              <w:t>(1)</w:t>
            </w:r>
            <w:r>
              <w:rPr>
                <w:rFonts w:hint="cs"/>
                <w:sz w:val="26"/>
                <w:rtl/>
              </w:rPr>
              <w:tab/>
              <w:t>חוק שירות המדינה (סיוג פעילות מפלגתית ומגבית כספים), התשי"ט–1959‏</w:t>
            </w:r>
            <w:r>
              <w:rPr>
                <w:rStyle w:val="ab"/>
                <w:rFonts w:hAnsi="HadasaMFO"/>
                <w:sz w:val="26"/>
                <w:rtl/>
              </w:rPr>
              <w:footnoteReference w:id="13"/>
            </w:r>
            <w:r>
              <w:rPr>
                <w:rFonts w:hint="cs"/>
                <w:sz w:val="26"/>
                <w:rtl/>
              </w:rPr>
              <w:t>;</w:t>
            </w:r>
          </w:p>
        </w:tc>
      </w:tr>
      <w:tr w:rsidR="00BF4529" w14:paraId="2D6FA916" w14:textId="77777777" w:rsidTr="00BF4529">
        <w:trPr>
          <w:cantSplit/>
        </w:trPr>
        <w:tc>
          <w:tcPr>
            <w:tcW w:w="1871" w:type="dxa"/>
            <w:tcMar>
              <w:top w:w="91" w:type="dxa"/>
              <w:left w:w="0" w:type="dxa"/>
              <w:bottom w:w="91" w:type="dxa"/>
              <w:right w:w="0" w:type="dxa"/>
            </w:tcMar>
          </w:tcPr>
          <w:p w14:paraId="1A624DD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84FE1C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B95787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3C548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582FE2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D5D12F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6AE07D8" w14:textId="77777777" w:rsidR="00BF4529" w:rsidRDefault="00BF4529" w:rsidP="00BF4529">
            <w:pPr>
              <w:pStyle w:val="TableBlock"/>
              <w:spacing w:before="0"/>
              <w:rPr>
                <w:sz w:val="26"/>
                <w:rtl/>
              </w:rPr>
            </w:pPr>
            <w:r>
              <w:rPr>
                <w:rFonts w:hint="cs"/>
                <w:sz w:val="26"/>
                <w:rtl/>
              </w:rPr>
              <w:t>(2)</w:t>
            </w:r>
            <w:r>
              <w:rPr>
                <w:rFonts w:hint="cs"/>
                <w:sz w:val="26"/>
                <w:rtl/>
              </w:rPr>
              <w:tab/>
              <w:t>חוק הבחירות לכנסת [נוסח משולב], התשכ"ט–1969‏</w:t>
            </w:r>
            <w:r>
              <w:rPr>
                <w:rStyle w:val="ab"/>
                <w:rFonts w:hAnsi="HadasaMFO"/>
                <w:sz w:val="26"/>
                <w:rtl/>
              </w:rPr>
              <w:footnoteReference w:id="14"/>
            </w:r>
            <w:r>
              <w:rPr>
                <w:rFonts w:hint="cs"/>
                <w:sz w:val="26"/>
                <w:rtl/>
              </w:rPr>
              <w:t>;</w:t>
            </w:r>
          </w:p>
        </w:tc>
      </w:tr>
      <w:tr w:rsidR="00BF4529" w14:paraId="769413DD" w14:textId="77777777" w:rsidTr="00BF4529">
        <w:trPr>
          <w:cantSplit/>
        </w:trPr>
        <w:tc>
          <w:tcPr>
            <w:tcW w:w="1871" w:type="dxa"/>
            <w:tcMar>
              <w:top w:w="91" w:type="dxa"/>
              <w:left w:w="0" w:type="dxa"/>
              <w:bottom w:w="91" w:type="dxa"/>
              <w:right w:w="0" w:type="dxa"/>
            </w:tcMar>
          </w:tcPr>
          <w:p w14:paraId="2FB66CA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472732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B91D2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9A1180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244FE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01994E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07228CD" w14:textId="77777777" w:rsidR="00BF4529" w:rsidRDefault="00BF4529" w:rsidP="00BF4529">
            <w:pPr>
              <w:pStyle w:val="TableBlock"/>
              <w:spacing w:before="0"/>
              <w:rPr>
                <w:sz w:val="26"/>
                <w:rtl/>
              </w:rPr>
            </w:pPr>
            <w:r>
              <w:rPr>
                <w:rFonts w:hint="cs"/>
                <w:sz w:val="26"/>
                <w:rtl/>
              </w:rPr>
              <w:t>(3)</w:t>
            </w:r>
            <w:r>
              <w:rPr>
                <w:rFonts w:hint="cs"/>
                <w:sz w:val="26"/>
                <w:rtl/>
              </w:rPr>
              <w:tab/>
              <w:t>חוק שירות הציבור (הגבלות לאחר פרישה), התשכ"ט–1969‏</w:t>
            </w:r>
            <w:r>
              <w:rPr>
                <w:rStyle w:val="ab"/>
                <w:rFonts w:hAnsi="HadasaMFO"/>
                <w:sz w:val="26"/>
                <w:rtl/>
              </w:rPr>
              <w:footnoteReference w:id="15"/>
            </w:r>
            <w:r>
              <w:rPr>
                <w:rFonts w:hint="cs"/>
                <w:sz w:val="26"/>
                <w:rtl/>
              </w:rPr>
              <w:t>;</w:t>
            </w:r>
          </w:p>
        </w:tc>
      </w:tr>
      <w:tr w:rsidR="00BF4529" w14:paraId="2B3F4CDD" w14:textId="77777777" w:rsidTr="00BF4529">
        <w:trPr>
          <w:cantSplit/>
        </w:trPr>
        <w:tc>
          <w:tcPr>
            <w:tcW w:w="1871" w:type="dxa"/>
            <w:tcMar>
              <w:top w:w="91" w:type="dxa"/>
              <w:left w:w="0" w:type="dxa"/>
              <w:bottom w:w="91" w:type="dxa"/>
              <w:right w:w="0" w:type="dxa"/>
            </w:tcMar>
          </w:tcPr>
          <w:p w14:paraId="29CB0BD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D92B31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ED4DB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CBA06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D656D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CEE08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F898EFE" w14:textId="77777777" w:rsidR="00BF4529" w:rsidRDefault="00BF4529" w:rsidP="00BF4529">
            <w:pPr>
              <w:pStyle w:val="TableBlock"/>
              <w:spacing w:before="0"/>
              <w:rPr>
                <w:sz w:val="26"/>
                <w:rtl/>
              </w:rPr>
            </w:pPr>
            <w:r>
              <w:rPr>
                <w:rFonts w:hint="cs"/>
                <w:sz w:val="26"/>
                <w:rtl/>
              </w:rPr>
              <w:t>(4)</w:t>
            </w:r>
            <w:r>
              <w:rPr>
                <w:rFonts w:hint="cs"/>
                <w:sz w:val="26"/>
                <w:rtl/>
              </w:rPr>
              <w:tab/>
              <w:t>חוק שירות הציבור (מתנות), התש"ם–1979‏</w:t>
            </w:r>
            <w:r>
              <w:rPr>
                <w:rStyle w:val="ab"/>
                <w:rFonts w:hAnsi="HadasaMFO"/>
                <w:sz w:val="26"/>
                <w:rtl/>
              </w:rPr>
              <w:footnoteReference w:id="16"/>
            </w:r>
            <w:r>
              <w:rPr>
                <w:rFonts w:hint="cs"/>
                <w:sz w:val="26"/>
                <w:rtl/>
              </w:rPr>
              <w:t>;</w:t>
            </w:r>
          </w:p>
        </w:tc>
      </w:tr>
      <w:tr w:rsidR="00BF4529" w14:paraId="2D3E2127" w14:textId="77777777" w:rsidTr="00BF4529">
        <w:trPr>
          <w:cantSplit/>
        </w:trPr>
        <w:tc>
          <w:tcPr>
            <w:tcW w:w="1871" w:type="dxa"/>
            <w:tcMar>
              <w:top w:w="91" w:type="dxa"/>
              <w:left w:w="0" w:type="dxa"/>
              <w:bottom w:w="91" w:type="dxa"/>
              <w:right w:w="0" w:type="dxa"/>
            </w:tcMar>
          </w:tcPr>
          <w:p w14:paraId="367482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EC59F6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82197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01820F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8B617E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C0914D"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2930547" w14:textId="77777777" w:rsidR="00BF4529" w:rsidRDefault="00BF4529" w:rsidP="00BF4529">
            <w:pPr>
              <w:pStyle w:val="TableBlock"/>
              <w:spacing w:before="0"/>
              <w:rPr>
                <w:sz w:val="26"/>
                <w:rtl/>
              </w:rPr>
            </w:pPr>
            <w:r>
              <w:rPr>
                <w:rFonts w:hint="cs"/>
                <w:sz w:val="26"/>
                <w:rtl/>
              </w:rPr>
              <w:t>(5)</w:t>
            </w:r>
            <w:r>
              <w:rPr>
                <w:rFonts w:hint="cs"/>
                <w:sz w:val="26"/>
                <w:rtl/>
              </w:rPr>
              <w:tab/>
              <w:t>חוק העונשין, התשל"ז–1977‏</w:t>
            </w:r>
            <w:r>
              <w:rPr>
                <w:rStyle w:val="ab"/>
                <w:rFonts w:hAnsi="HadasaMFO"/>
                <w:sz w:val="26"/>
                <w:rtl/>
              </w:rPr>
              <w:footnoteReference w:id="17"/>
            </w:r>
            <w:r>
              <w:rPr>
                <w:rFonts w:hint="cs"/>
                <w:sz w:val="26"/>
                <w:rtl/>
              </w:rPr>
              <w:t xml:space="preserve"> – ההוראות הנוגעות לעובדי ציבור;</w:t>
            </w:r>
          </w:p>
        </w:tc>
      </w:tr>
      <w:tr w:rsidR="00BF4529" w14:paraId="24A5C8C5" w14:textId="77777777" w:rsidTr="00BF4529">
        <w:trPr>
          <w:cantSplit/>
        </w:trPr>
        <w:tc>
          <w:tcPr>
            <w:tcW w:w="1871" w:type="dxa"/>
            <w:tcMar>
              <w:top w:w="91" w:type="dxa"/>
              <w:left w:w="0" w:type="dxa"/>
              <w:bottom w:w="91" w:type="dxa"/>
              <w:right w:w="0" w:type="dxa"/>
            </w:tcMar>
          </w:tcPr>
          <w:p w14:paraId="438A9D0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7B6D07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6729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FB705F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6D14C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C2B84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3259A86" w14:textId="77777777" w:rsidR="00BF4529" w:rsidRDefault="00BF4529" w:rsidP="00BF4529">
            <w:pPr>
              <w:pStyle w:val="TableBlock"/>
              <w:spacing w:before="0"/>
              <w:rPr>
                <w:sz w:val="26"/>
                <w:rtl/>
              </w:rPr>
            </w:pPr>
            <w:r>
              <w:rPr>
                <w:rFonts w:hint="cs"/>
                <w:sz w:val="26"/>
                <w:rtl/>
              </w:rPr>
              <w:t>(6)</w:t>
            </w:r>
            <w:r>
              <w:rPr>
                <w:rFonts w:hint="cs"/>
                <w:sz w:val="26"/>
                <w:rtl/>
              </w:rPr>
              <w:tab/>
              <w:t>פקודת הראיות [נוסח חדש], התשל"א–1971‏</w:t>
            </w:r>
            <w:r>
              <w:rPr>
                <w:rStyle w:val="ab"/>
                <w:rFonts w:hAnsi="HadasaMFO"/>
                <w:sz w:val="26"/>
                <w:rtl/>
              </w:rPr>
              <w:footnoteReference w:id="18"/>
            </w:r>
            <w:r>
              <w:rPr>
                <w:rFonts w:hint="cs"/>
                <w:sz w:val="26"/>
                <w:rtl/>
              </w:rPr>
              <w:t>;</w:t>
            </w:r>
          </w:p>
        </w:tc>
      </w:tr>
      <w:tr w:rsidR="00BF4529" w14:paraId="6E01A228" w14:textId="77777777" w:rsidTr="00BF4529">
        <w:trPr>
          <w:cantSplit/>
        </w:trPr>
        <w:tc>
          <w:tcPr>
            <w:tcW w:w="1871" w:type="dxa"/>
            <w:tcMar>
              <w:top w:w="91" w:type="dxa"/>
              <w:left w:w="0" w:type="dxa"/>
              <w:bottom w:w="91" w:type="dxa"/>
              <w:right w:w="0" w:type="dxa"/>
            </w:tcMar>
          </w:tcPr>
          <w:p w14:paraId="0713E8F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1DDE6F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F235E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0B6E4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93A2C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ED9144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8EB82B2" w14:textId="77777777" w:rsidR="00BF4529" w:rsidRDefault="00BF4529" w:rsidP="00BF4529">
            <w:pPr>
              <w:pStyle w:val="TableBlock"/>
              <w:spacing w:before="0"/>
              <w:rPr>
                <w:sz w:val="26"/>
                <w:rtl/>
              </w:rPr>
            </w:pPr>
            <w:r>
              <w:rPr>
                <w:rFonts w:hint="cs"/>
                <w:sz w:val="26"/>
                <w:rtl/>
              </w:rPr>
              <w:t>(7)</w:t>
            </w:r>
            <w:r>
              <w:rPr>
                <w:rFonts w:hint="cs"/>
                <w:sz w:val="26"/>
                <w:rtl/>
              </w:rPr>
              <w:tab/>
              <w:t>חוק שירות המדינה (משמעת), התשכ"ג–1963‏</w:t>
            </w:r>
            <w:r>
              <w:rPr>
                <w:rStyle w:val="ab"/>
                <w:rFonts w:hAnsi="HadasaMFO"/>
                <w:sz w:val="26"/>
                <w:rtl/>
              </w:rPr>
              <w:footnoteReference w:id="19"/>
            </w:r>
            <w:r>
              <w:rPr>
                <w:rFonts w:hint="cs"/>
                <w:sz w:val="26"/>
                <w:rtl/>
              </w:rPr>
              <w:t xml:space="preserve">. </w:t>
            </w:r>
          </w:p>
        </w:tc>
      </w:tr>
      <w:tr w:rsidR="00BF4529" w14:paraId="7EA81075" w14:textId="77777777" w:rsidTr="00BF4529">
        <w:trPr>
          <w:cantSplit/>
        </w:trPr>
        <w:tc>
          <w:tcPr>
            <w:tcW w:w="1871" w:type="dxa"/>
            <w:tcMar>
              <w:top w:w="170" w:type="dxa"/>
              <w:left w:w="0" w:type="dxa"/>
              <w:bottom w:w="113" w:type="dxa"/>
              <w:right w:w="0" w:type="dxa"/>
            </w:tcMar>
          </w:tcPr>
          <w:p w14:paraId="4FB6BAE9" w14:textId="77777777" w:rsidR="00BF4529" w:rsidRDefault="00BF4529" w:rsidP="00BF4529">
            <w:pPr>
              <w:pStyle w:val="TableSideHeading"/>
              <w:spacing w:before="0"/>
              <w:jc w:val="left"/>
              <w:rPr>
                <w:sz w:val="26"/>
                <w:rtl/>
              </w:rPr>
            </w:pPr>
          </w:p>
        </w:tc>
        <w:tc>
          <w:tcPr>
            <w:tcW w:w="624" w:type="dxa"/>
            <w:tcMar>
              <w:top w:w="170" w:type="dxa"/>
              <w:left w:w="0" w:type="dxa"/>
              <w:bottom w:w="113" w:type="dxa"/>
              <w:right w:w="0" w:type="dxa"/>
            </w:tcMar>
          </w:tcPr>
          <w:p w14:paraId="302D6984" w14:textId="77777777" w:rsidR="00BF4529" w:rsidRDefault="00BF4529" w:rsidP="00BF4529">
            <w:pPr>
              <w:pStyle w:val="TableText"/>
              <w:spacing w:before="0"/>
              <w:rPr>
                <w:sz w:val="26"/>
                <w:rtl/>
              </w:rPr>
            </w:pPr>
          </w:p>
        </w:tc>
        <w:tc>
          <w:tcPr>
            <w:tcW w:w="7146" w:type="dxa"/>
            <w:gridSpan w:val="7"/>
            <w:tcMar>
              <w:top w:w="170" w:type="dxa"/>
              <w:left w:w="0" w:type="dxa"/>
              <w:bottom w:w="113" w:type="dxa"/>
              <w:right w:w="0" w:type="dxa"/>
            </w:tcMar>
            <w:hideMark/>
          </w:tcPr>
          <w:p w14:paraId="5935C3DE" w14:textId="77777777" w:rsidR="00BF4529" w:rsidRDefault="00BF4529" w:rsidP="00BF4529">
            <w:pPr>
              <w:pStyle w:val="TableHead"/>
              <w:spacing w:before="0"/>
              <w:rPr>
                <w:sz w:val="26"/>
                <w:rtl/>
              </w:rPr>
            </w:pPr>
            <w:r>
              <w:rPr>
                <w:rFonts w:hint="cs"/>
                <w:sz w:val="26"/>
                <w:rtl/>
              </w:rPr>
              <w:t>פרק ג'4: הניהול הכספי של הרשות ושקיפות לציבור</w:t>
            </w:r>
          </w:p>
        </w:tc>
      </w:tr>
      <w:tr w:rsidR="00BF4529" w14:paraId="269D4BBA" w14:textId="77777777" w:rsidTr="00BF4529">
        <w:trPr>
          <w:cantSplit/>
        </w:trPr>
        <w:tc>
          <w:tcPr>
            <w:tcW w:w="1871" w:type="dxa"/>
            <w:tcMar>
              <w:top w:w="91" w:type="dxa"/>
              <w:left w:w="0" w:type="dxa"/>
              <w:bottom w:w="91" w:type="dxa"/>
              <w:right w:w="0" w:type="dxa"/>
            </w:tcMar>
          </w:tcPr>
          <w:p w14:paraId="108C5F8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4397DCE"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C9C37C7" w14:textId="77777777" w:rsidR="00BF4529" w:rsidRDefault="00BF4529" w:rsidP="00BF4529">
            <w:pPr>
              <w:pStyle w:val="TableInnerSideHeading"/>
              <w:spacing w:before="0"/>
              <w:rPr>
                <w:sz w:val="26"/>
                <w:rtl/>
              </w:rPr>
            </w:pPr>
            <w:r>
              <w:rPr>
                <w:rFonts w:hint="cs"/>
                <w:sz w:val="26"/>
                <w:rtl/>
              </w:rPr>
              <w:t>תקציב הרשות</w:t>
            </w:r>
          </w:p>
        </w:tc>
        <w:tc>
          <w:tcPr>
            <w:tcW w:w="624" w:type="dxa"/>
            <w:tcMar>
              <w:top w:w="91" w:type="dxa"/>
              <w:left w:w="0" w:type="dxa"/>
              <w:bottom w:w="91" w:type="dxa"/>
              <w:right w:w="0" w:type="dxa"/>
            </w:tcMar>
            <w:hideMark/>
          </w:tcPr>
          <w:p w14:paraId="7014B584" w14:textId="77777777" w:rsidR="00BF4529" w:rsidRDefault="00BF4529" w:rsidP="00BF4529">
            <w:pPr>
              <w:pStyle w:val="TableText"/>
              <w:spacing w:before="0"/>
              <w:ind w:right="0"/>
              <w:rPr>
                <w:sz w:val="26"/>
                <w:rtl/>
              </w:rPr>
            </w:pPr>
            <w:r>
              <w:rPr>
                <w:rFonts w:hint="cs"/>
                <w:sz w:val="26"/>
                <w:rtl/>
              </w:rPr>
              <w:t>15כט.</w:t>
            </w:r>
          </w:p>
        </w:tc>
        <w:tc>
          <w:tcPr>
            <w:tcW w:w="4650" w:type="dxa"/>
            <w:gridSpan w:val="3"/>
            <w:tcMar>
              <w:top w:w="91" w:type="dxa"/>
              <w:left w:w="0" w:type="dxa"/>
              <w:bottom w:w="91" w:type="dxa"/>
              <w:right w:w="0" w:type="dxa"/>
            </w:tcMar>
            <w:hideMark/>
          </w:tcPr>
          <w:p w14:paraId="65847C31" w14:textId="77777777" w:rsidR="00BF4529" w:rsidRDefault="00BF4529" w:rsidP="00BF4529">
            <w:pPr>
              <w:pStyle w:val="TableBlock"/>
              <w:spacing w:before="0"/>
              <w:rPr>
                <w:sz w:val="26"/>
                <w:rtl/>
              </w:rPr>
            </w:pPr>
            <w:r>
              <w:rPr>
                <w:rFonts w:hint="cs"/>
                <w:sz w:val="26"/>
                <w:rtl/>
              </w:rPr>
              <w:t>(א)</w:t>
            </w:r>
            <w:r>
              <w:rPr>
                <w:rFonts w:hint="cs"/>
                <w:sz w:val="26"/>
                <w:rtl/>
              </w:rPr>
              <w:tab/>
              <w:t xml:space="preserve">התקציב השנתי של הרשות ימומן מתקציב המדינה, וייקבע בחוק התקציב השנתי בתחום פעולה נפרד בסעיף התקציב של משרד הכלכלה; לעניין זה – </w:t>
            </w:r>
          </w:p>
        </w:tc>
      </w:tr>
      <w:tr w:rsidR="00BF4529" w14:paraId="6034C4D5" w14:textId="77777777" w:rsidTr="00BF4529">
        <w:trPr>
          <w:cantSplit/>
        </w:trPr>
        <w:tc>
          <w:tcPr>
            <w:tcW w:w="1871" w:type="dxa"/>
            <w:tcMar>
              <w:top w:w="91" w:type="dxa"/>
              <w:left w:w="0" w:type="dxa"/>
              <w:bottom w:w="91" w:type="dxa"/>
              <w:right w:w="0" w:type="dxa"/>
            </w:tcMar>
          </w:tcPr>
          <w:p w14:paraId="7B6EF5E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ADDCA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9E75F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21A6E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0CE20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E47246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A4BFCF9" w14:textId="77777777" w:rsidR="00BF4529" w:rsidRDefault="00BF4529" w:rsidP="00BF4529">
            <w:pPr>
              <w:pStyle w:val="TableBlockOutdent"/>
              <w:spacing w:before="0"/>
              <w:rPr>
                <w:sz w:val="26"/>
                <w:rtl/>
              </w:rPr>
            </w:pPr>
            <w:r>
              <w:rPr>
                <w:rFonts w:hint="cs"/>
                <w:sz w:val="26"/>
                <w:rtl/>
              </w:rPr>
              <w:t>"חוק התקציב השנתי" – כמשמעותו בחוק יסודות התקציב;</w:t>
            </w:r>
          </w:p>
        </w:tc>
      </w:tr>
      <w:tr w:rsidR="00BF4529" w14:paraId="73D3AF26" w14:textId="77777777" w:rsidTr="00BF4529">
        <w:trPr>
          <w:cantSplit/>
        </w:trPr>
        <w:tc>
          <w:tcPr>
            <w:tcW w:w="1871" w:type="dxa"/>
            <w:tcMar>
              <w:top w:w="91" w:type="dxa"/>
              <w:left w:w="0" w:type="dxa"/>
              <w:bottom w:w="91" w:type="dxa"/>
              <w:right w:w="0" w:type="dxa"/>
            </w:tcMar>
          </w:tcPr>
          <w:p w14:paraId="636FFA3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9DE09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18F26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18EC5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2F3D3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4C33A1"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665A0B9" w14:textId="77777777" w:rsidR="00BF4529" w:rsidRDefault="00BF4529" w:rsidP="00BF4529">
            <w:pPr>
              <w:pStyle w:val="TableBlockOutdent"/>
              <w:spacing w:before="0"/>
              <w:rPr>
                <w:sz w:val="26"/>
                <w:rtl/>
              </w:rPr>
            </w:pPr>
            <w:r>
              <w:rPr>
                <w:rFonts w:hint="cs"/>
                <w:sz w:val="26"/>
                <w:rtl/>
              </w:rPr>
              <w:t>"סעיף תקציב", "תחום פעולה" – כהגדרתם בחוק התקציב השנתי.</w:t>
            </w:r>
          </w:p>
        </w:tc>
      </w:tr>
      <w:tr w:rsidR="00BF4529" w14:paraId="2C4550CF" w14:textId="77777777" w:rsidTr="00BF4529">
        <w:trPr>
          <w:cantSplit/>
        </w:trPr>
        <w:tc>
          <w:tcPr>
            <w:tcW w:w="1871" w:type="dxa"/>
            <w:tcMar>
              <w:top w:w="91" w:type="dxa"/>
              <w:left w:w="0" w:type="dxa"/>
              <w:bottom w:w="91" w:type="dxa"/>
              <w:right w:w="0" w:type="dxa"/>
            </w:tcMar>
          </w:tcPr>
          <w:p w14:paraId="1AF32BC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DE27B2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9A90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9464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FD650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CF9EC6"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70B017F" w14:textId="77777777" w:rsidR="00BF4529" w:rsidRDefault="00BF4529" w:rsidP="00BF4529">
            <w:pPr>
              <w:pStyle w:val="TableBlock"/>
              <w:spacing w:before="0"/>
              <w:rPr>
                <w:sz w:val="26"/>
                <w:rtl/>
              </w:rPr>
            </w:pPr>
            <w:r>
              <w:rPr>
                <w:rFonts w:hint="cs"/>
                <w:sz w:val="26"/>
                <w:rtl/>
              </w:rPr>
              <w:t>(ב)</w:t>
            </w:r>
            <w:r>
              <w:rPr>
                <w:rFonts w:hint="cs"/>
                <w:sz w:val="26"/>
                <w:rtl/>
              </w:rPr>
              <w:tab/>
              <w:t>התקציב המינהלי של הרשות יהיה נפרד מתקציב מסלולי ההטבות ולא תתאפשר המרה של תקציב מסלולי ההטבות לתקציב המינהלי של הרשות אלא באישור הממונה על התקציבים במשרד האוצר.</w:t>
            </w:r>
          </w:p>
        </w:tc>
      </w:tr>
      <w:tr w:rsidR="00BF4529" w14:paraId="2240035E" w14:textId="77777777" w:rsidTr="00BF4529">
        <w:trPr>
          <w:cantSplit/>
        </w:trPr>
        <w:tc>
          <w:tcPr>
            <w:tcW w:w="1871" w:type="dxa"/>
            <w:tcMar>
              <w:top w:w="91" w:type="dxa"/>
              <w:left w:w="0" w:type="dxa"/>
              <w:bottom w:w="91" w:type="dxa"/>
              <w:right w:w="0" w:type="dxa"/>
            </w:tcMar>
          </w:tcPr>
          <w:p w14:paraId="7A39EFB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BAE0325"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DBB56D0" w14:textId="77777777" w:rsidR="00BF4529" w:rsidRDefault="00BF4529" w:rsidP="00BF4529">
            <w:pPr>
              <w:pStyle w:val="TableInnerSideHeading"/>
              <w:spacing w:before="0"/>
              <w:jc w:val="left"/>
              <w:rPr>
                <w:sz w:val="26"/>
                <w:rtl/>
              </w:rPr>
            </w:pPr>
            <w:r>
              <w:rPr>
                <w:rFonts w:hint="cs"/>
                <w:sz w:val="26"/>
                <w:rtl/>
              </w:rPr>
              <w:t>הכנסות הרשות</w:t>
            </w:r>
          </w:p>
        </w:tc>
        <w:tc>
          <w:tcPr>
            <w:tcW w:w="624" w:type="dxa"/>
            <w:tcMar>
              <w:top w:w="91" w:type="dxa"/>
              <w:left w:w="0" w:type="dxa"/>
              <w:bottom w:w="91" w:type="dxa"/>
              <w:right w:w="0" w:type="dxa"/>
            </w:tcMar>
            <w:hideMark/>
          </w:tcPr>
          <w:p w14:paraId="16FE687E" w14:textId="77777777" w:rsidR="00BF4529" w:rsidRDefault="00BF4529" w:rsidP="00BF4529">
            <w:pPr>
              <w:pStyle w:val="TableText"/>
              <w:spacing w:before="0"/>
              <w:rPr>
                <w:sz w:val="26"/>
                <w:rtl/>
              </w:rPr>
            </w:pPr>
            <w:r>
              <w:rPr>
                <w:rFonts w:hint="cs"/>
                <w:sz w:val="26"/>
                <w:rtl/>
              </w:rPr>
              <w:t>15ל.</w:t>
            </w:r>
          </w:p>
        </w:tc>
        <w:tc>
          <w:tcPr>
            <w:tcW w:w="4650" w:type="dxa"/>
            <w:gridSpan w:val="3"/>
            <w:tcMar>
              <w:top w:w="91" w:type="dxa"/>
              <w:left w:w="0" w:type="dxa"/>
              <w:bottom w:w="91" w:type="dxa"/>
              <w:right w:w="0" w:type="dxa"/>
            </w:tcMar>
            <w:hideMark/>
          </w:tcPr>
          <w:p w14:paraId="38FB7839" w14:textId="77777777" w:rsidR="00BF4529" w:rsidRDefault="00BF4529" w:rsidP="00BF4529">
            <w:pPr>
              <w:pStyle w:val="TableBlock"/>
              <w:spacing w:before="0"/>
              <w:rPr>
                <w:sz w:val="26"/>
                <w:rtl/>
              </w:rPr>
            </w:pPr>
            <w:r>
              <w:rPr>
                <w:rFonts w:hint="cs"/>
                <w:sz w:val="26"/>
                <w:rtl/>
              </w:rPr>
              <w:t>הכנסות הרשות מתמלוגים או ממקורות נוספים ישולמו לאוצר המדינה וישמשו לעידוד החדשנות הטכנולוגית בתעשייה באמצעות הרשות.</w:t>
            </w:r>
          </w:p>
        </w:tc>
      </w:tr>
      <w:tr w:rsidR="00BF4529" w14:paraId="0660BFFA" w14:textId="77777777" w:rsidTr="00BF4529">
        <w:trPr>
          <w:cantSplit/>
        </w:trPr>
        <w:tc>
          <w:tcPr>
            <w:tcW w:w="1871" w:type="dxa"/>
            <w:tcMar>
              <w:top w:w="91" w:type="dxa"/>
              <w:left w:w="0" w:type="dxa"/>
              <w:bottom w:w="91" w:type="dxa"/>
              <w:right w:w="0" w:type="dxa"/>
            </w:tcMar>
          </w:tcPr>
          <w:p w14:paraId="0CCDECC4"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5300D6D8"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623F0CC9" w14:textId="77777777" w:rsidR="00BF4529" w:rsidRDefault="00BF4529" w:rsidP="00BF4529">
            <w:pPr>
              <w:pStyle w:val="TableInnerSideHeading"/>
              <w:spacing w:before="0"/>
              <w:jc w:val="left"/>
              <w:rPr>
                <w:sz w:val="26"/>
                <w:rtl/>
              </w:rPr>
            </w:pPr>
            <w:r>
              <w:rPr>
                <w:rFonts w:hint="cs"/>
                <w:sz w:val="26"/>
                <w:rtl/>
              </w:rPr>
              <w:t>גיוס הון</w:t>
            </w:r>
          </w:p>
        </w:tc>
        <w:tc>
          <w:tcPr>
            <w:tcW w:w="624" w:type="dxa"/>
            <w:tcMar>
              <w:top w:w="91" w:type="dxa"/>
              <w:left w:w="0" w:type="dxa"/>
              <w:bottom w:w="91" w:type="dxa"/>
              <w:right w:w="0" w:type="dxa"/>
            </w:tcMar>
            <w:hideMark/>
          </w:tcPr>
          <w:p w14:paraId="27DA5F93" w14:textId="77777777" w:rsidR="00BF4529" w:rsidRDefault="00BF4529" w:rsidP="00BF4529">
            <w:pPr>
              <w:pStyle w:val="TableText"/>
              <w:spacing w:before="0"/>
              <w:rPr>
                <w:sz w:val="26"/>
                <w:rtl/>
              </w:rPr>
            </w:pPr>
            <w:r>
              <w:rPr>
                <w:rFonts w:hint="cs"/>
                <w:sz w:val="26"/>
                <w:rtl/>
              </w:rPr>
              <w:t>15לא.</w:t>
            </w:r>
          </w:p>
        </w:tc>
        <w:tc>
          <w:tcPr>
            <w:tcW w:w="4650" w:type="dxa"/>
            <w:gridSpan w:val="3"/>
            <w:tcMar>
              <w:top w:w="91" w:type="dxa"/>
              <w:left w:w="0" w:type="dxa"/>
              <w:bottom w:w="91" w:type="dxa"/>
              <w:right w:w="0" w:type="dxa"/>
            </w:tcMar>
            <w:hideMark/>
          </w:tcPr>
          <w:p w14:paraId="7F915B19" w14:textId="77777777" w:rsidR="00BF4529" w:rsidRDefault="00BF4529" w:rsidP="00BF4529">
            <w:pPr>
              <w:pStyle w:val="TableBlock"/>
              <w:spacing w:before="0"/>
              <w:rPr>
                <w:sz w:val="26"/>
                <w:rtl/>
              </w:rPr>
            </w:pPr>
            <w:r>
              <w:rPr>
                <w:rFonts w:hint="cs"/>
                <w:sz w:val="26"/>
                <w:rtl/>
              </w:rPr>
              <w:t>(א)</w:t>
            </w:r>
            <w:r>
              <w:rPr>
                <w:rFonts w:hint="cs"/>
                <w:sz w:val="26"/>
                <w:rtl/>
              </w:rPr>
              <w:tab/>
              <w:t xml:space="preserve">הרשות רשאית, במקרים חריגים וככל שיש הצדקות מקצועיות לכך, ולאחר אישור בכתב מאת ראש הרשות, הממונה על התקציבים במשרד האוצר והחשב הכללי במשרד האוצר, ובתנאים נוספים שיקבעו שני האחרונים, לגייס הון בישראל ומחוצה לה כנגד חוב בלבד ולא כנגד תמלוגים או נכסים של הרשות, למימון מסלולי הטבה מסוימים שהמועצה קבעה אותם מראש; החזר החוב לא יבוצע מתמלוגים או מנכסי הרשות אלא מתקציב המדינה בלבד. </w:t>
            </w:r>
          </w:p>
        </w:tc>
      </w:tr>
      <w:tr w:rsidR="00BF4529" w14:paraId="000BA507" w14:textId="77777777" w:rsidTr="00BF4529">
        <w:trPr>
          <w:cantSplit/>
        </w:trPr>
        <w:tc>
          <w:tcPr>
            <w:tcW w:w="1871" w:type="dxa"/>
            <w:tcMar>
              <w:top w:w="91" w:type="dxa"/>
              <w:left w:w="0" w:type="dxa"/>
              <w:bottom w:w="91" w:type="dxa"/>
              <w:right w:w="0" w:type="dxa"/>
            </w:tcMar>
          </w:tcPr>
          <w:p w14:paraId="48B190E4"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5F10681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75744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BFB67D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CA9F7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541FD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4579C16" w14:textId="77777777" w:rsidR="00BF4529" w:rsidRDefault="00BF4529" w:rsidP="00BF4529">
            <w:pPr>
              <w:pStyle w:val="TableBlock"/>
              <w:spacing w:before="0"/>
              <w:rPr>
                <w:sz w:val="26"/>
                <w:rtl/>
              </w:rPr>
            </w:pPr>
            <w:r>
              <w:rPr>
                <w:rFonts w:hint="cs"/>
                <w:sz w:val="26"/>
                <w:rtl/>
              </w:rPr>
              <w:t>(ב)</w:t>
            </w:r>
            <w:r>
              <w:rPr>
                <w:rFonts w:hint="cs"/>
                <w:sz w:val="26"/>
                <w:rtl/>
              </w:rPr>
              <w:tab/>
              <w:t>החלטת הרשות כאמור בסעיף קטן (א), טעונה אישור של השרים ושל ועדת הכספים של הכנסת.</w:t>
            </w:r>
          </w:p>
        </w:tc>
      </w:tr>
      <w:tr w:rsidR="00BF4529" w14:paraId="5CE8BE95" w14:textId="77777777" w:rsidTr="00BF4529">
        <w:trPr>
          <w:cantSplit/>
        </w:trPr>
        <w:tc>
          <w:tcPr>
            <w:tcW w:w="1871" w:type="dxa"/>
            <w:tcMar>
              <w:top w:w="91" w:type="dxa"/>
              <w:left w:w="0" w:type="dxa"/>
              <w:bottom w:w="91" w:type="dxa"/>
              <w:right w:w="0" w:type="dxa"/>
            </w:tcMar>
          </w:tcPr>
          <w:p w14:paraId="59C6B76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776337F"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4CA27124" w14:textId="77777777" w:rsidR="00BF4529" w:rsidRDefault="00BF4529" w:rsidP="00BF4529">
            <w:pPr>
              <w:pStyle w:val="TableInnerSideHeading"/>
              <w:spacing w:before="0"/>
              <w:rPr>
                <w:sz w:val="26"/>
                <w:rtl/>
              </w:rPr>
            </w:pPr>
            <w:r>
              <w:rPr>
                <w:rFonts w:hint="cs"/>
                <w:sz w:val="26"/>
                <w:rtl/>
              </w:rPr>
              <w:t>ועדת נכסים</w:t>
            </w:r>
          </w:p>
        </w:tc>
        <w:tc>
          <w:tcPr>
            <w:tcW w:w="624" w:type="dxa"/>
            <w:tcMar>
              <w:top w:w="91" w:type="dxa"/>
              <w:left w:w="0" w:type="dxa"/>
              <w:bottom w:w="91" w:type="dxa"/>
              <w:right w:w="0" w:type="dxa"/>
            </w:tcMar>
            <w:hideMark/>
          </w:tcPr>
          <w:p w14:paraId="0EDB6266" w14:textId="77777777" w:rsidR="00BF4529" w:rsidRDefault="00BF4529" w:rsidP="00BF4529">
            <w:pPr>
              <w:pStyle w:val="TableText"/>
              <w:spacing w:before="0"/>
              <w:rPr>
                <w:sz w:val="26"/>
                <w:rtl/>
              </w:rPr>
            </w:pPr>
            <w:r>
              <w:rPr>
                <w:rFonts w:hint="cs"/>
                <w:sz w:val="26"/>
                <w:rtl/>
              </w:rPr>
              <w:t>15לב.</w:t>
            </w:r>
          </w:p>
        </w:tc>
        <w:tc>
          <w:tcPr>
            <w:tcW w:w="4650" w:type="dxa"/>
            <w:gridSpan w:val="3"/>
            <w:tcMar>
              <w:top w:w="91" w:type="dxa"/>
              <w:left w:w="0" w:type="dxa"/>
              <w:bottom w:w="91" w:type="dxa"/>
              <w:right w:w="0" w:type="dxa"/>
            </w:tcMar>
            <w:hideMark/>
          </w:tcPr>
          <w:p w14:paraId="115AA140" w14:textId="77777777" w:rsidR="00BF4529" w:rsidRDefault="00BF4529" w:rsidP="00BF4529">
            <w:pPr>
              <w:pStyle w:val="TableBlock"/>
              <w:spacing w:before="0"/>
              <w:rPr>
                <w:sz w:val="26"/>
                <w:rtl/>
              </w:rPr>
            </w:pPr>
            <w:r>
              <w:rPr>
                <w:rFonts w:hint="cs"/>
                <w:sz w:val="26"/>
                <w:rtl/>
              </w:rPr>
              <w:t>(א)</w:t>
            </w:r>
            <w:r>
              <w:rPr>
                <w:rFonts w:hint="cs"/>
                <w:sz w:val="26"/>
                <w:rtl/>
              </w:rPr>
              <w:tab/>
              <w:t xml:space="preserve">נכסים שצברה הרשות כתוצאה מהפעלתם של מסלולי הטבות (בסעיף זה – הנכסים), ינוהלו על ידי ועדה ייעודית לנושא זה (בחוק זה – ועדת הנכסים). </w:t>
            </w:r>
          </w:p>
        </w:tc>
      </w:tr>
      <w:tr w:rsidR="00BF4529" w14:paraId="1E59CD11" w14:textId="77777777" w:rsidTr="00BF4529">
        <w:trPr>
          <w:cantSplit/>
        </w:trPr>
        <w:tc>
          <w:tcPr>
            <w:tcW w:w="1871" w:type="dxa"/>
            <w:tcMar>
              <w:top w:w="91" w:type="dxa"/>
              <w:left w:w="0" w:type="dxa"/>
              <w:bottom w:w="91" w:type="dxa"/>
              <w:right w:w="0" w:type="dxa"/>
            </w:tcMar>
          </w:tcPr>
          <w:p w14:paraId="67E44C0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C4539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B2397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E54908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39919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941691"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0328D0C" w14:textId="77777777" w:rsidR="00BF4529" w:rsidRDefault="00BF4529" w:rsidP="00BF4529">
            <w:pPr>
              <w:pStyle w:val="TableBlock"/>
              <w:spacing w:before="0"/>
              <w:rPr>
                <w:sz w:val="26"/>
                <w:rtl/>
              </w:rPr>
            </w:pPr>
            <w:r>
              <w:rPr>
                <w:rFonts w:hint="cs"/>
                <w:sz w:val="26"/>
                <w:rtl/>
              </w:rPr>
              <w:t>(ב)</w:t>
            </w:r>
            <w:r>
              <w:rPr>
                <w:rFonts w:hint="cs"/>
                <w:sz w:val="26"/>
                <w:rtl/>
              </w:rPr>
              <w:tab/>
              <w:t>הרכב ועדת הנכסים יהיה זהה להרכב ועדת מחקר, וההוראות החלות לגבי ועדת מחקר יחולו לגבי ועדת הנכסים, בשינויים המחויבים; ואולם תנאי לקיומו של מניין חוקי בוועדת הנכסים הוא נוכחותם של כל חברי הוועדה שהם עובדי המדינה.</w:t>
            </w:r>
          </w:p>
        </w:tc>
      </w:tr>
      <w:tr w:rsidR="00BF4529" w14:paraId="5F333367" w14:textId="77777777" w:rsidTr="00BF4529">
        <w:trPr>
          <w:cantSplit/>
        </w:trPr>
        <w:tc>
          <w:tcPr>
            <w:tcW w:w="1871" w:type="dxa"/>
            <w:tcMar>
              <w:top w:w="91" w:type="dxa"/>
              <w:left w:w="0" w:type="dxa"/>
              <w:bottom w:w="91" w:type="dxa"/>
              <w:right w:w="0" w:type="dxa"/>
            </w:tcMar>
          </w:tcPr>
          <w:p w14:paraId="761CD87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BAA596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1339E9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5854E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BBE35C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20EF0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97F9991" w14:textId="77777777" w:rsidR="00BF4529" w:rsidRDefault="00BF4529" w:rsidP="00BF4529">
            <w:pPr>
              <w:pStyle w:val="TableBlock"/>
              <w:spacing w:before="0"/>
              <w:rPr>
                <w:sz w:val="26"/>
                <w:rtl/>
              </w:rPr>
            </w:pPr>
            <w:r>
              <w:rPr>
                <w:rFonts w:hint="cs"/>
                <w:sz w:val="26"/>
                <w:rtl/>
              </w:rPr>
              <w:t>(ג)</w:t>
            </w:r>
            <w:r>
              <w:rPr>
                <w:rFonts w:hint="cs"/>
                <w:sz w:val="26"/>
                <w:rtl/>
              </w:rPr>
              <w:tab/>
              <w:t>לוועדת הנכסים תהיה הסמכות הבלעדית לבצע פעולות הנדרשות לניהול הנכסים, ובכלל זה מכירה, העברה או מימוש של הנכסים.</w:t>
            </w:r>
          </w:p>
        </w:tc>
      </w:tr>
      <w:tr w:rsidR="00BF4529" w14:paraId="7309BDC0" w14:textId="77777777" w:rsidTr="00BF4529">
        <w:trPr>
          <w:cantSplit/>
        </w:trPr>
        <w:tc>
          <w:tcPr>
            <w:tcW w:w="1871" w:type="dxa"/>
            <w:tcMar>
              <w:top w:w="91" w:type="dxa"/>
              <w:left w:w="0" w:type="dxa"/>
              <w:bottom w:w="91" w:type="dxa"/>
              <w:right w:w="0" w:type="dxa"/>
            </w:tcMar>
          </w:tcPr>
          <w:p w14:paraId="4A47ED8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47133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C185F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3C5C2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A8D3D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1D46A86"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D077B16" w14:textId="77777777" w:rsidR="00BF4529" w:rsidRDefault="00BF4529" w:rsidP="00BF4529">
            <w:pPr>
              <w:pStyle w:val="TableBlock"/>
              <w:spacing w:before="0"/>
              <w:rPr>
                <w:sz w:val="26"/>
                <w:rtl/>
              </w:rPr>
            </w:pPr>
            <w:r>
              <w:rPr>
                <w:rFonts w:hint="cs"/>
                <w:sz w:val="26"/>
                <w:rtl/>
              </w:rPr>
              <w:t>(ד)</w:t>
            </w:r>
            <w:r>
              <w:rPr>
                <w:rFonts w:hint="cs"/>
                <w:sz w:val="26"/>
                <w:rtl/>
              </w:rPr>
              <w:tab/>
              <w:t>על אף האמור בסעיף קטן (ג), שר האוצר רשאי, בנסיבות מיוחדות, להורות לוועדת הנכסים לבצע פעולות כאמור באותו סעיף קטן שעליהן יורה, למעט לעניין זכויות הרשות בשותפות מוגבלת כאמור בסעיף 15לח; שר האוצר יורה כאמור רק לאחר שהמועצה חיוותה דעתה בנושא ואם סבר כי אין במתן ההוראה כדי לפגוע באופן משמעותי בהגשמת מטרות חוק זה.</w:t>
            </w:r>
          </w:p>
        </w:tc>
      </w:tr>
      <w:tr w:rsidR="00BF4529" w14:paraId="2BA96037" w14:textId="77777777" w:rsidTr="00BF4529">
        <w:trPr>
          <w:cantSplit/>
        </w:trPr>
        <w:tc>
          <w:tcPr>
            <w:tcW w:w="1871" w:type="dxa"/>
            <w:tcMar>
              <w:top w:w="91" w:type="dxa"/>
              <w:left w:w="0" w:type="dxa"/>
              <w:bottom w:w="91" w:type="dxa"/>
              <w:right w:w="0" w:type="dxa"/>
            </w:tcMar>
          </w:tcPr>
          <w:p w14:paraId="57C168E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E182F0"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3690D0D" w14:textId="77777777" w:rsidR="00BF4529" w:rsidRDefault="00BF4529" w:rsidP="00BF4529">
            <w:pPr>
              <w:pStyle w:val="TableInnerSideHeading"/>
              <w:spacing w:before="0"/>
              <w:rPr>
                <w:sz w:val="26"/>
                <w:rtl/>
              </w:rPr>
            </w:pPr>
            <w:r>
              <w:rPr>
                <w:rFonts w:hint="cs"/>
                <w:sz w:val="26"/>
                <w:rtl/>
              </w:rPr>
              <w:t>דוחות כספיים</w:t>
            </w:r>
          </w:p>
        </w:tc>
        <w:tc>
          <w:tcPr>
            <w:tcW w:w="624" w:type="dxa"/>
            <w:tcMar>
              <w:top w:w="91" w:type="dxa"/>
              <w:left w:w="0" w:type="dxa"/>
              <w:bottom w:w="91" w:type="dxa"/>
              <w:right w:w="0" w:type="dxa"/>
            </w:tcMar>
            <w:hideMark/>
          </w:tcPr>
          <w:p w14:paraId="602679B9" w14:textId="77777777" w:rsidR="00BF4529" w:rsidRDefault="00BF4529" w:rsidP="00BF4529">
            <w:pPr>
              <w:pStyle w:val="TableText"/>
              <w:spacing w:before="0"/>
              <w:rPr>
                <w:sz w:val="26"/>
                <w:rtl/>
              </w:rPr>
            </w:pPr>
            <w:r>
              <w:rPr>
                <w:rFonts w:hint="cs"/>
                <w:sz w:val="26"/>
                <w:rtl/>
              </w:rPr>
              <w:t>15לג.</w:t>
            </w:r>
          </w:p>
        </w:tc>
        <w:tc>
          <w:tcPr>
            <w:tcW w:w="4650" w:type="dxa"/>
            <w:gridSpan w:val="3"/>
            <w:tcMar>
              <w:top w:w="91" w:type="dxa"/>
              <w:left w:w="0" w:type="dxa"/>
              <w:bottom w:w="91" w:type="dxa"/>
              <w:right w:w="0" w:type="dxa"/>
            </w:tcMar>
            <w:hideMark/>
          </w:tcPr>
          <w:p w14:paraId="3F188B6B" w14:textId="77777777" w:rsidR="00BF4529" w:rsidRDefault="00BF4529" w:rsidP="00BF4529">
            <w:pPr>
              <w:pStyle w:val="TableBlock"/>
              <w:spacing w:before="0"/>
              <w:rPr>
                <w:sz w:val="26"/>
                <w:rtl/>
              </w:rPr>
            </w:pPr>
            <w:r>
              <w:rPr>
                <w:rFonts w:hint="cs"/>
                <w:sz w:val="26"/>
                <w:rtl/>
              </w:rPr>
              <w:t>(א)</w:t>
            </w:r>
            <w:r>
              <w:rPr>
                <w:rFonts w:hint="cs"/>
                <w:sz w:val="26"/>
                <w:rtl/>
              </w:rPr>
              <w:tab/>
              <w:t>המועצה אחראית לעריכת הדוחות הכספיים המפורטים של הרשות ולאישורם; הדוחות הכספיים ייערכו בהתאם לכללי החשבונאות הממשלתיים העדכניים באותה העת, לפי הנחיית החשב הכללי במשרד האוצר.</w:t>
            </w:r>
          </w:p>
        </w:tc>
      </w:tr>
      <w:tr w:rsidR="00BF4529" w14:paraId="5D8B022D" w14:textId="77777777" w:rsidTr="00BF4529">
        <w:trPr>
          <w:cantSplit/>
        </w:trPr>
        <w:tc>
          <w:tcPr>
            <w:tcW w:w="1871" w:type="dxa"/>
            <w:tcMar>
              <w:top w:w="91" w:type="dxa"/>
              <w:left w:w="0" w:type="dxa"/>
              <w:bottom w:w="91" w:type="dxa"/>
              <w:right w:w="0" w:type="dxa"/>
            </w:tcMar>
          </w:tcPr>
          <w:p w14:paraId="1BDCD761" w14:textId="77777777" w:rsidR="00BF4529" w:rsidRDefault="00BF4529" w:rsidP="00BF4529">
            <w:pPr>
              <w:pStyle w:val="TableSideHeading"/>
              <w:spacing w:before="0"/>
              <w:ind w:right="0"/>
              <w:jc w:val="left"/>
              <w:rPr>
                <w:sz w:val="26"/>
                <w:rtl/>
              </w:rPr>
            </w:pPr>
          </w:p>
        </w:tc>
        <w:tc>
          <w:tcPr>
            <w:tcW w:w="624" w:type="dxa"/>
            <w:tcMar>
              <w:top w:w="91" w:type="dxa"/>
              <w:left w:w="0" w:type="dxa"/>
              <w:bottom w:w="91" w:type="dxa"/>
              <w:right w:w="0" w:type="dxa"/>
            </w:tcMar>
          </w:tcPr>
          <w:p w14:paraId="023F5CF7"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53DE1019"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091C7AE9"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24A3EF5F" w14:textId="77777777" w:rsidR="00BF4529" w:rsidRDefault="00BF4529" w:rsidP="00BF4529">
            <w:pPr>
              <w:pStyle w:val="TableText"/>
              <w:spacing w:before="0"/>
              <w:ind w:right="0"/>
              <w:rPr>
                <w:rtl/>
              </w:rPr>
            </w:pPr>
          </w:p>
        </w:tc>
        <w:tc>
          <w:tcPr>
            <w:tcW w:w="624" w:type="dxa"/>
          </w:tcPr>
          <w:p w14:paraId="4022E83A" w14:textId="77777777" w:rsidR="00BF4529" w:rsidRDefault="00BF4529" w:rsidP="00BF4529">
            <w:pPr>
              <w:pStyle w:val="TableText"/>
              <w:spacing w:before="0"/>
              <w:ind w:right="0"/>
              <w:rPr>
                <w:rtl/>
              </w:rPr>
            </w:pPr>
          </w:p>
        </w:tc>
        <w:tc>
          <w:tcPr>
            <w:tcW w:w="4650" w:type="dxa"/>
            <w:gridSpan w:val="3"/>
            <w:hideMark/>
          </w:tcPr>
          <w:p w14:paraId="1633D54F" w14:textId="77777777" w:rsidR="00BF4529" w:rsidRDefault="00BF4529" w:rsidP="00BF4529">
            <w:pPr>
              <w:pStyle w:val="TableBlock"/>
              <w:spacing w:before="0"/>
              <w:rPr>
                <w:rtl/>
              </w:rPr>
            </w:pPr>
            <w:r>
              <w:rPr>
                <w:rFonts w:hint="cs"/>
                <w:sz w:val="26"/>
                <w:rtl/>
              </w:rPr>
              <w:t>(ב)</w:t>
            </w:r>
            <w:r>
              <w:rPr>
                <w:rFonts w:hint="cs"/>
                <w:sz w:val="26"/>
                <w:rtl/>
              </w:rPr>
              <w:tab/>
              <w:t>הוראות סעיפים 171 ו-172 לחוק החברות לעניין עריכת דוחות כספיים, החלות על חברה פרטית, יחולו בשינויים המחויבים על הרשות, בכפוף להוראות חוק זה.</w:t>
            </w:r>
          </w:p>
        </w:tc>
      </w:tr>
      <w:tr w:rsidR="00BF4529" w14:paraId="6C840F06" w14:textId="77777777" w:rsidTr="00BF4529">
        <w:trPr>
          <w:cantSplit/>
        </w:trPr>
        <w:tc>
          <w:tcPr>
            <w:tcW w:w="1871" w:type="dxa"/>
            <w:tcMar>
              <w:top w:w="91" w:type="dxa"/>
              <w:left w:w="0" w:type="dxa"/>
              <w:bottom w:w="91" w:type="dxa"/>
              <w:right w:w="0" w:type="dxa"/>
            </w:tcMar>
          </w:tcPr>
          <w:p w14:paraId="38DF6751" w14:textId="77777777" w:rsidR="00BF4529" w:rsidRDefault="00BF4529" w:rsidP="00BF4529">
            <w:pPr>
              <w:pStyle w:val="TableSideHeading"/>
              <w:spacing w:before="0"/>
              <w:ind w:right="0"/>
              <w:jc w:val="left"/>
              <w:rPr>
                <w:sz w:val="26"/>
                <w:rtl/>
              </w:rPr>
            </w:pPr>
          </w:p>
        </w:tc>
        <w:tc>
          <w:tcPr>
            <w:tcW w:w="624" w:type="dxa"/>
            <w:tcMar>
              <w:top w:w="91" w:type="dxa"/>
              <w:left w:w="0" w:type="dxa"/>
              <w:bottom w:w="91" w:type="dxa"/>
              <w:right w:w="0" w:type="dxa"/>
            </w:tcMar>
          </w:tcPr>
          <w:p w14:paraId="6D8B68A3"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183A29BB"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0A5FAFCC"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13E7D5D1" w14:textId="77777777" w:rsidR="00BF4529" w:rsidRDefault="00BF4529" w:rsidP="00BF4529">
            <w:pPr>
              <w:pStyle w:val="TableText"/>
              <w:spacing w:before="0"/>
              <w:ind w:right="0"/>
              <w:rPr>
                <w:rtl/>
              </w:rPr>
            </w:pPr>
          </w:p>
        </w:tc>
        <w:tc>
          <w:tcPr>
            <w:tcW w:w="624" w:type="dxa"/>
          </w:tcPr>
          <w:p w14:paraId="400268F3" w14:textId="77777777" w:rsidR="00BF4529" w:rsidRDefault="00BF4529" w:rsidP="00BF4529">
            <w:pPr>
              <w:pStyle w:val="TableText"/>
              <w:spacing w:before="0"/>
              <w:ind w:right="0"/>
              <w:rPr>
                <w:rtl/>
              </w:rPr>
            </w:pPr>
          </w:p>
        </w:tc>
        <w:tc>
          <w:tcPr>
            <w:tcW w:w="4650" w:type="dxa"/>
            <w:gridSpan w:val="3"/>
            <w:hideMark/>
          </w:tcPr>
          <w:p w14:paraId="37810AB2" w14:textId="77777777" w:rsidR="00BF4529" w:rsidRDefault="00BF4529" w:rsidP="00BF4529">
            <w:pPr>
              <w:pStyle w:val="TableBlock"/>
              <w:spacing w:before="0"/>
              <w:rPr>
                <w:rtl/>
              </w:rPr>
            </w:pPr>
            <w:r>
              <w:rPr>
                <w:rFonts w:hint="cs"/>
                <w:sz w:val="26"/>
                <w:rtl/>
              </w:rPr>
              <w:t>(ג)</w:t>
            </w:r>
            <w:r>
              <w:rPr>
                <w:rFonts w:hint="cs"/>
                <w:sz w:val="26"/>
                <w:rtl/>
              </w:rPr>
              <w:tab/>
              <w:t>הדוחות הכספיים של הרשות יאושרו בידי המועצה, ייחתמו בשמה ויוגשו לשרים לא יאוחר מיום 31 במרס בכל שנה.</w:t>
            </w:r>
          </w:p>
        </w:tc>
      </w:tr>
      <w:tr w:rsidR="00BF4529" w14:paraId="7DF66299" w14:textId="77777777" w:rsidTr="00BF4529">
        <w:trPr>
          <w:cantSplit/>
        </w:trPr>
        <w:tc>
          <w:tcPr>
            <w:tcW w:w="1871" w:type="dxa"/>
            <w:tcMar>
              <w:top w:w="91" w:type="dxa"/>
              <w:left w:w="0" w:type="dxa"/>
              <w:bottom w:w="91" w:type="dxa"/>
              <w:right w:w="0" w:type="dxa"/>
            </w:tcMar>
          </w:tcPr>
          <w:p w14:paraId="21415A82" w14:textId="77777777" w:rsidR="00BF4529" w:rsidRDefault="00BF4529" w:rsidP="00BF4529">
            <w:pPr>
              <w:pStyle w:val="TableSideHeading"/>
              <w:spacing w:before="0" w:line="276" w:lineRule="auto"/>
              <w:jc w:val="left"/>
              <w:rPr>
                <w:sz w:val="26"/>
                <w:rtl/>
              </w:rPr>
            </w:pPr>
          </w:p>
        </w:tc>
        <w:tc>
          <w:tcPr>
            <w:tcW w:w="624" w:type="dxa"/>
            <w:tcMar>
              <w:top w:w="91" w:type="dxa"/>
              <w:left w:w="0" w:type="dxa"/>
              <w:bottom w:w="91" w:type="dxa"/>
              <w:right w:w="0" w:type="dxa"/>
            </w:tcMar>
          </w:tcPr>
          <w:p w14:paraId="6339F47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16508E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1411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8E9F4A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25B4712"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2C22AF2" w14:textId="77777777" w:rsidR="00BF4529" w:rsidRDefault="00BF4529" w:rsidP="00BF4529">
            <w:pPr>
              <w:pStyle w:val="TableBlock"/>
              <w:spacing w:before="0"/>
              <w:rPr>
                <w:sz w:val="26"/>
                <w:rtl/>
              </w:rPr>
            </w:pPr>
            <w:r>
              <w:rPr>
                <w:rFonts w:hint="cs"/>
                <w:sz w:val="26"/>
                <w:rtl/>
              </w:rPr>
              <w:t>(ד)</w:t>
            </w:r>
            <w:r>
              <w:rPr>
                <w:rFonts w:hint="cs"/>
                <w:sz w:val="26"/>
                <w:rtl/>
              </w:rPr>
              <w:tab/>
              <w:t>בסעיף זה, "דוחות כספיים" – מאזן, דוח רווח והפסד ודוח על תזרימי מזומנים, לרבות הביאורים להם.</w:t>
            </w:r>
          </w:p>
        </w:tc>
      </w:tr>
      <w:tr w:rsidR="00BF4529" w14:paraId="7A55082A" w14:textId="77777777" w:rsidTr="00BF4529">
        <w:trPr>
          <w:cantSplit/>
        </w:trPr>
        <w:tc>
          <w:tcPr>
            <w:tcW w:w="1871" w:type="dxa"/>
            <w:tcMar>
              <w:top w:w="91" w:type="dxa"/>
              <w:left w:w="0" w:type="dxa"/>
              <w:bottom w:w="91" w:type="dxa"/>
              <w:right w:w="0" w:type="dxa"/>
            </w:tcMar>
          </w:tcPr>
          <w:p w14:paraId="70317BDE"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3569F041"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C32CA26" w14:textId="77777777" w:rsidR="00BF4529" w:rsidRDefault="00BF4529" w:rsidP="00BF4529">
            <w:pPr>
              <w:pStyle w:val="TableInnerSideHeading"/>
              <w:spacing w:before="0"/>
              <w:rPr>
                <w:sz w:val="26"/>
                <w:rtl/>
              </w:rPr>
            </w:pPr>
            <w:r>
              <w:rPr>
                <w:rFonts w:hint="cs"/>
                <w:sz w:val="26"/>
                <w:rtl/>
              </w:rPr>
              <w:t>שקיפות לציבור</w:t>
            </w:r>
          </w:p>
        </w:tc>
        <w:tc>
          <w:tcPr>
            <w:tcW w:w="624" w:type="dxa"/>
            <w:tcMar>
              <w:top w:w="91" w:type="dxa"/>
              <w:left w:w="0" w:type="dxa"/>
              <w:bottom w:w="91" w:type="dxa"/>
              <w:right w:w="0" w:type="dxa"/>
            </w:tcMar>
            <w:hideMark/>
          </w:tcPr>
          <w:p w14:paraId="0381FA29" w14:textId="77777777" w:rsidR="00BF4529" w:rsidRDefault="00BF4529" w:rsidP="00BF4529">
            <w:pPr>
              <w:pStyle w:val="TableText"/>
              <w:spacing w:before="0"/>
              <w:rPr>
                <w:sz w:val="26"/>
                <w:rtl/>
              </w:rPr>
            </w:pPr>
            <w:r>
              <w:rPr>
                <w:rFonts w:hint="cs"/>
                <w:sz w:val="26"/>
                <w:rtl/>
              </w:rPr>
              <w:t>15לד.</w:t>
            </w:r>
          </w:p>
        </w:tc>
        <w:tc>
          <w:tcPr>
            <w:tcW w:w="4650" w:type="dxa"/>
            <w:gridSpan w:val="3"/>
            <w:tcMar>
              <w:top w:w="91" w:type="dxa"/>
              <w:left w:w="0" w:type="dxa"/>
              <w:bottom w:w="91" w:type="dxa"/>
              <w:right w:w="0" w:type="dxa"/>
            </w:tcMar>
            <w:hideMark/>
          </w:tcPr>
          <w:p w14:paraId="2C66AF04" w14:textId="77777777" w:rsidR="00BF4529" w:rsidRDefault="00BF4529" w:rsidP="00BF4529">
            <w:pPr>
              <w:pStyle w:val="TableBlock"/>
              <w:spacing w:before="0"/>
              <w:rPr>
                <w:spacing w:val="-4"/>
                <w:sz w:val="26"/>
                <w:rtl/>
              </w:rPr>
            </w:pPr>
            <w:r>
              <w:rPr>
                <w:rFonts w:hint="cs"/>
                <w:spacing w:val="-4"/>
                <w:sz w:val="26"/>
                <w:rtl/>
              </w:rPr>
              <w:t>הרשות תקבע נהלים הנדרשים לשמירה על השקיפות לציבור לפי כל דין, תפעל לפיהם ותנקוט את האמצעים הדרושים לפעולה לפי נהלים אלה.</w:t>
            </w:r>
          </w:p>
        </w:tc>
      </w:tr>
      <w:tr w:rsidR="00BF4529" w14:paraId="4022110B" w14:textId="77777777" w:rsidTr="00BF4529">
        <w:trPr>
          <w:cantSplit/>
        </w:trPr>
        <w:tc>
          <w:tcPr>
            <w:tcW w:w="1871" w:type="dxa"/>
            <w:tcMar>
              <w:top w:w="91" w:type="dxa"/>
              <w:left w:w="0" w:type="dxa"/>
              <w:bottom w:w="91" w:type="dxa"/>
              <w:right w:w="0" w:type="dxa"/>
            </w:tcMar>
          </w:tcPr>
          <w:p w14:paraId="2B2719B0" w14:textId="77777777" w:rsidR="00BF4529" w:rsidRDefault="00BF4529" w:rsidP="00BF4529">
            <w:pPr>
              <w:pStyle w:val="TableSideHeading"/>
              <w:spacing w:before="0"/>
              <w:jc w:val="left"/>
              <w:rPr>
                <w:spacing w:val="0"/>
                <w:sz w:val="26"/>
                <w:rtl/>
              </w:rPr>
            </w:pPr>
          </w:p>
        </w:tc>
        <w:tc>
          <w:tcPr>
            <w:tcW w:w="624" w:type="dxa"/>
            <w:tcMar>
              <w:top w:w="91" w:type="dxa"/>
              <w:left w:w="0" w:type="dxa"/>
              <w:bottom w:w="91" w:type="dxa"/>
              <w:right w:w="0" w:type="dxa"/>
            </w:tcMar>
          </w:tcPr>
          <w:p w14:paraId="1611341B"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2D08A802" w14:textId="77777777" w:rsidR="00BF4529" w:rsidRDefault="00BF4529" w:rsidP="00BF4529">
            <w:pPr>
              <w:pStyle w:val="TableHead"/>
              <w:spacing w:before="0"/>
              <w:rPr>
                <w:sz w:val="26"/>
                <w:rtl/>
              </w:rPr>
            </w:pPr>
            <w:r>
              <w:rPr>
                <w:rFonts w:hint="cs"/>
                <w:sz w:val="26"/>
                <w:rtl/>
              </w:rPr>
              <w:t>פרק ג'5: מסלולי הטבות</w:t>
            </w:r>
          </w:p>
        </w:tc>
      </w:tr>
      <w:tr w:rsidR="00BF4529" w14:paraId="07B0F7C2" w14:textId="77777777" w:rsidTr="00BF4529">
        <w:trPr>
          <w:cantSplit/>
        </w:trPr>
        <w:tc>
          <w:tcPr>
            <w:tcW w:w="1871" w:type="dxa"/>
            <w:tcMar>
              <w:top w:w="91" w:type="dxa"/>
              <w:left w:w="0" w:type="dxa"/>
              <w:bottom w:w="91" w:type="dxa"/>
              <w:right w:w="0" w:type="dxa"/>
            </w:tcMar>
          </w:tcPr>
          <w:p w14:paraId="75F4B54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7DC30C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6548FC9D" w14:textId="77777777" w:rsidR="00BF4529" w:rsidRDefault="00BF4529" w:rsidP="00BF4529">
            <w:pPr>
              <w:pStyle w:val="TableInnerSideHeading"/>
              <w:spacing w:before="0"/>
              <w:jc w:val="left"/>
              <w:rPr>
                <w:sz w:val="26"/>
                <w:rtl/>
              </w:rPr>
            </w:pPr>
            <w:r>
              <w:rPr>
                <w:rFonts w:hint="cs"/>
                <w:sz w:val="26"/>
                <w:rtl/>
              </w:rPr>
              <w:t>קביעת מסלולי הטבות על ידי המועצה</w:t>
            </w:r>
          </w:p>
        </w:tc>
        <w:tc>
          <w:tcPr>
            <w:tcW w:w="624" w:type="dxa"/>
            <w:tcMar>
              <w:top w:w="91" w:type="dxa"/>
              <w:left w:w="0" w:type="dxa"/>
              <w:bottom w:w="91" w:type="dxa"/>
              <w:right w:w="0" w:type="dxa"/>
            </w:tcMar>
            <w:hideMark/>
          </w:tcPr>
          <w:p w14:paraId="3C101290" w14:textId="77777777" w:rsidR="00BF4529" w:rsidRDefault="00BF4529" w:rsidP="00BF4529">
            <w:pPr>
              <w:pStyle w:val="TableText"/>
              <w:spacing w:before="0"/>
              <w:rPr>
                <w:sz w:val="26"/>
                <w:rtl/>
              </w:rPr>
            </w:pPr>
            <w:r>
              <w:rPr>
                <w:rFonts w:hint="cs"/>
                <w:sz w:val="26"/>
                <w:rtl/>
              </w:rPr>
              <w:t>15לה.</w:t>
            </w:r>
          </w:p>
        </w:tc>
        <w:tc>
          <w:tcPr>
            <w:tcW w:w="4650" w:type="dxa"/>
            <w:gridSpan w:val="3"/>
            <w:tcMar>
              <w:top w:w="91" w:type="dxa"/>
              <w:left w:w="0" w:type="dxa"/>
              <w:bottom w:w="91" w:type="dxa"/>
              <w:right w:w="0" w:type="dxa"/>
            </w:tcMar>
            <w:hideMark/>
          </w:tcPr>
          <w:p w14:paraId="4FA4FDFF" w14:textId="77777777" w:rsidR="00BF4529" w:rsidRDefault="00BF4529" w:rsidP="00BF4529">
            <w:pPr>
              <w:pStyle w:val="TableBlock"/>
              <w:spacing w:before="0"/>
              <w:rPr>
                <w:sz w:val="26"/>
                <w:rtl/>
              </w:rPr>
            </w:pPr>
            <w:r>
              <w:rPr>
                <w:rFonts w:hint="cs"/>
                <w:sz w:val="26"/>
                <w:rtl/>
              </w:rPr>
              <w:t>(א)</w:t>
            </w:r>
            <w:r>
              <w:rPr>
                <w:rFonts w:hint="cs"/>
                <w:sz w:val="26"/>
                <w:rtl/>
              </w:rPr>
              <w:tab/>
              <w:t>המועצה היא הגוף המוסמך לקבוע ולשנות מסלולי הטבות שתכליתם העיקרית עידוד חדשנות טכנולוגית בתעשייה, למעט לעניין יישום הסכמים בין-לאומיים בהתאם להוראות סעיף 42(ב).</w:t>
            </w:r>
          </w:p>
        </w:tc>
      </w:tr>
      <w:tr w:rsidR="00BF4529" w14:paraId="67EDB49D" w14:textId="77777777" w:rsidTr="00BF4529">
        <w:trPr>
          <w:cantSplit/>
        </w:trPr>
        <w:tc>
          <w:tcPr>
            <w:tcW w:w="1871" w:type="dxa"/>
            <w:tcMar>
              <w:top w:w="91" w:type="dxa"/>
              <w:left w:w="0" w:type="dxa"/>
              <w:bottom w:w="91" w:type="dxa"/>
              <w:right w:w="0" w:type="dxa"/>
            </w:tcMar>
          </w:tcPr>
          <w:p w14:paraId="2B1D71F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3A9FC2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B3C365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FCB7D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D2480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53419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108C156" w14:textId="77777777" w:rsidR="00BF4529" w:rsidRDefault="00BF4529" w:rsidP="00BF4529">
            <w:pPr>
              <w:pStyle w:val="TableBlock"/>
              <w:spacing w:before="0"/>
              <w:rPr>
                <w:sz w:val="26"/>
                <w:rtl/>
              </w:rPr>
            </w:pPr>
            <w:r>
              <w:rPr>
                <w:rFonts w:hint="cs"/>
                <w:sz w:val="26"/>
                <w:rtl/>
              </w:rPr>
              <w:t>(ב)</w:t>
            </w:r>
            <w:r>
              <w:rPr>
                <w:rFonts w:hint="cs"/>
                <w:sz w:val="26"/>
                <w:rtl/>
              </w:rPr>
              <w:tab/>
              <w:t xml:space="preserve">המועצה תקבע מסלולי הטבות רק אם יש בהם כדי להביא, במישרין או בעקיפין, לפעילות של חדשנות טכנולוגית בתעשייה בישראל. </w:t>
            </w:r>
          </w:p>
        </w:tc>
      </w:tr>
      <w:tr w:rsidR="00BF4529" w14:paraId="33118AD0" w14:textId="77777777" w:rsidTr="00BF4529">
        <w:trPr>
          <w:cantSplit/>
        </w:trPr>
        <w:tc>
          <w:tcPr>
            <w:tcW w:w="1871" w:type="dxa"/>
            <w:tcMar>
              <w:top w:w="91" w:type="dxa"/>
              <w:left w:w="0" w:type="dxa"/>
              <w:bottom w:w="91" w:type="dxa"/>
              <w:right w:w="0" w:type="dxa"/>
            </w:tcMar>
          </w:tcPr>
          <w:p w14:paraId="2536E9F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BA770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A7540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F3D285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41994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A2F704"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01EB1858" w14:textId="77777777" w:rsidR="00BF4529" w:rsidRDefault="00BF4529" w:rsidP="00BF4529">
            <w:pPr>
              <w:pStyle w:val="TableBlock"/>
              <w:spacing w:before="0"/>
              <w:rPr>
                <w:sz w:val="26"/>
                <w:rtl/>
              </w:rPr>
            </w:pPr>
            <w:r>
              <w:rPr>
                <w:rFonts w:hint="cs"/>
                <w:sz w:val="26"/>
                <w:rtl/>
              </w:rPr>
              <w:t>(ג)</w:t>
            </w:r>
            <w:r>
              <w:rPr>
                <w:rFonts w:hint="cs"/>
                <w:sz w:val="26"/>
                <w:rtl/>
              </w:rPr>
              <w:tab/>
              <w:t>מסלולי ההטבות ייכנסו לתוקף במועד פרסומם באתר האינטרנט של הרשות כאמור בסעיף קטן (ד).</w:t>
            </w:r>
          </w:p>
        </w:tc>
      </w:tr>
      <w:tr w:rsidR="00BF4529" w14:paraId="2AA02B7E" w14:textId="77777777" w:rsidTr="00BF4529">
        <w:trPr>
          <w:cantSplit/>
        </w:trPr>
        <w:tc>
          <w:tcPr>
            <w:tcW w:w="1871" w:type="dxa"/>
            <w:tcMar>
              <w:top w:w="91" w:type="dxa"/>
              <w:left w:w="0" w:type="dxa"/>
              <w:bottom w:w="91" w:type="dxa"/>
              <w:right w:w="0" w:type="dxa"/>
            </w:tcMar>
          </w:tcPr>
          <w:p w14:paraId="430712CC" w14:textId="77777777" w:rsidR="00BF4529" w:rsidRDefault="00BF4529" w:rsidP="00BF4529">
            <w:pPr>
              <w:pStyle w:val="TableSideHeading"/>
              <w:spacing w:before="0"/>
              <w:jc w:val="left"/>
              <w:rPr>
                <w:sz w:val="26"/>
                <w:highlight w:val="green"/>
                <w:rtl/>
              </w:rPr>
            </w:pPr>
          </w:p>
        </w:tc>
        <w:tc>
          <w:tcPr>
            <w:tcW w:w="624" w:type="dxa"/>
            <w:tcMar>
              <w:top w:w="91" w:type="dxa"/>
              <w:left w:w="0" w:type="dxa"/>
              <w:bottom w:w="91" w:type="dxa"/>
              <w:right w:w="0" w:type="dxa"/>
            </w:tcMar>
          </w:tcPr>
          <w:p w14:paraId="016906A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31401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754D4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22CA1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9AEB68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E9E5142" w14:textId="77777777" w:rsidR="00BF4529" w:rsidRDefault="00BF4529" w:rsidP="00BF4529">
            <w:pPr>
              <w:pStyle w:val="TableBlock"/>
              <w:spacing w:before="0"/>
              <w:rPr>
                <w:sz w:val="26"/>
                <w:rtl/>
              </w:rPr>
            </w:pPr>
            <w:r>
              <w:rPr>
                <w:rFonts w:hint="cs"/>
                <w:sz w:val="26"/>
                <w:rtl/>
              </w:rPr>
              <w:t>(ד)</w:t>
            </w:r>
            <w:r>
              <w:rPr>
                <w:rFonts w:hint="cs"/>
                <w:sz w:val="26"/>
                <w:rtl/>
              </w:rPr>
              <w:tab/>
              <w:t>מסלולי ההטבות והנהלים לפי חוק זה יפורסמו באתר האינטרנט של הרשות לאחר אישורם או שינוים, ויהיו פתוחים לעיון הציבור בלא תשלום, באופן שיאפשר מעקב אחר שינויים במסלולים ותיעודם לאורך זמן.</w:t>
            </w:r>
          </w:p>
        </w:tc>
      </w:tr>
      <w:tr w:rsidR="00BF4529" w14:paraId="4ACFA894" w14:textId="77777777" w:rsidTr="00BF4529">
        <w:trPr>
          <w:cantSplit/>
        </w:trPr>
        <w:tc>
          <w:tcPr>
            <w:tcW w:w="1871" w:type="dxa"/>
            <w:tcMar>
              <w:top w:w="91" w:type="dxa"/>
              <w:left w:w="0" w:type="dxa"/>
              <w:bottom w:w="91" w:type="dxa"/>
              <w:right w:w="0" w:type="dxa"/>
            </w:tcMar>
          </w:tcPr>
          <w:p w14:paraId="5DB1446F" w14:textId="77777777" w:rsidR="00BF4529" w:rsidRDefault="00BF4529" w:rsidP="00BF4529">
            <w:pPr>
              <w:pStyle w:val="TableSideHeading"/>
              <w:spacing w:before="0"/>
              <w:jc w:val="left"/>
              <w:rPr>
                <w:sz w:val="26"/>
                <w:highlight w:val="green"/>
                <w:rtl/>
              </w:rPr>
            </w:pPr>
          </w:p>
        </w:tc>
        <w:tc>
          <w:tcPr>
            <w:tcW w:w="624" w:type="dxa"/>
            <w:tcMar>
              <w:top w:w="91" w:type="dxa"/>
              <w:left w:w="0" w:type="dxa"/>
              <w:bottom w:w="91" w:type="dxa"/>
              <w:right w:w="0" w:type="dxa"/>
            </w:tcMar>
          </w:tcPr>
          <w:p w14:paraId="749B30F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B32B8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98ECB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BE4E8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D73D7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05E4025" w14:textId="77777777" w:rsidR="00BF4529" w:rsidRDefault="00BF4529" w:rsidP="00BF4529">
            <w:pPr>
              <w:pStyle w:val="TableBlock"/>
              <w:spacing w:before="0"/>
              <w:rPr>
                <w:sz w:val="26"/>
                <w:rtl/>
              </w:rPr>
            </w:pPr>
            <w:r>
              <w:rPr>
                <w:rFonts w:hint="cs"/>
                <w:sz w:val="26"/>
                <w:rtl/>
              </w:rPr>
              <w:t>(ה)</w:t>
            </w:r>
            <w:r>
              <w:rPr>
                <w:rFonts w:hint="cs"/>
                <w:sz w:val="26"/>
                <w:rtl/>
              </w:rPr>
              <w:tab/>
              <w:t>משרד הכלכלה לא יקבע מסלולים למתן הטבות שתכליתם העיקרית עידוד חדשנות טכנולוגית בתעשייה; אין בהוראות סעיף קטן זה כדי לגרוע מהוראות סעיף 51 בנוגע לשאר משרדי הממשלה.</w:t>
            </w:r>
          </w:p>
        </w:tc>
      </w:tr>
      <w:tr w:rsidR="00BF4529" w14:paraId="165DB33A" w14:textId="77777777" w:rsidTr="00BF4529">
        <w:trPr>
          <w:cantSplit/>
        </w:trPr>
        <w:tc>
          <w:tcPr>
            <w:tcW w:w="1871" w:type="dxa"/>
            <w:tcMar>
              <w:top w:w="91" w:type="dxa"/>
              <w:left w:w="0" w:type="dxa"/>
              <w:bottom w:w="91" w:type="dxa"/>
              <w:right w:w="0" w:type="dxa"/>
            </w:tcMar>
          </w:tcPr>
          <w:p w14:paraId="1B83072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CB5AD99"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0D17EEE" w14:textId="77777777" w:rsidR="00BF4529" w:rsidRDefault="00BF4529" w:rsidP="00BF4529">
            <w:pPr>
              <w:pStyle w:val="TableInnerSideHeading"/>
              <w:spacing w:before="0"/>
              <w:jc w:val="left"/>
              <w:rPr>
                <w:sz w:val="26"/>
                <w:rtl/>
              </w:rPr>
            </w:pPr>
            <w:r>
              <w:rPr>
                <w:rFonts w:hint="cs"/>
                <w:sz w:val="26"/>
                <w:rtl/>
              </w:rPr>
              <w:t xml:space="preserve">הוראות והסדרים במסלולי ההטבות </w:t>
            </w:r>
          </w:p>
        </w:tc>
        <w:tc>
          <w:tcPr>
            <w:tcW w:w="624" w:type="dxa"/>
            <w:tcMar>
              <w:top w:w="91" w:type="dxa"/>
              <w:left w:w="0" w:type="dxa"/>
              <w:bottom w:w="91" w:type="dxa"/>
              <w:right w:w="0" w:type="dxa"/>
            </w:tcMar>
            <w:hideMark/>
          </w:tcPr>
          <w:p w14:paraId="6FFF3AB6" w14:textId="77777777" w:rsidR="00BF4529" w:rsidRDefault="00BF4529" w:rsidP="00BF4529">
            <w:pPr>
              <w:pStyle w:val="TableText"/>
              <w:spacing w:before="0"/>
              <w:rPr>
                <w:sz w:val="26"/>
                <w:rtl/>
              </w:rPr>
            </w:pPr>
            <w:r>
              <w:rPr>
                <w:rFonts w:hint="cs"/>
                <w:sz w:val="26"/>
                <w:rtl/>
              </w:rPr>
              <w:t xml:space="preserve">15לו. </w:t>
            </w:r>
          </w:p>
        </w:tc>
        <w:tc>
          <w:tcPr>
            <w:tcW w:w="4650" w:type="dxa"/>
            <w:gridSpan w:val="3"/>
            <w:tcMar>
              <w:top w:w="91" w:type="dxa"/>
              <w:left w:w="0" w:type="dxa"/>
              <w:bottom w:w="91" w:type="dxa"/>
              <w:right w:w="0" w:type="dxa"/>
            </w:tcMar>
            <w:hideMark/>
          </w:tcPr>
          <w:p w14:paraId="2D7C588C" w14:textId="77777777" w:rsidR="00BF4529" w:rsidRDefault="00BF4529" w:rsidP="00BF4529">
            <w:pPr>
              <w:pStyle w:val="TableBlock"/>
              <w:spacing w:before="0"/>
              <w:rPr>
                <w:sz w:val="26"/>
                <w:rtl/>
              </w:rPr>
            </w:pPr>
            <w:r>
              <w:rPr>
                <w:rFonts w:hint="cs"/>
                <w:sz w:val="26"/>
                <w:rtl/>
              </w:rPr>
              <w:t>(א)</w:t>
            </w:r>
            <w:r>
              <w:rPr>
                <w:rFonts w:hint="cs"/>
                <w:sz w:val="26"/>
                <w:rtl/>
              </w:rPr>
              <w:tab/>
              <w:t>המועצה תכלול בכל מסלול הטבות הוראות בעניינים אלה:</w:t>
            </w:r>
          </w:p>
        </w:tc>
      </w:tr>
      <w:tr w:rsidR="00BF4529" w14:paraId="587AFE83" w14:textId="77777777" w:rsidTr="00BF4529">
        <w:trPr>
          <w:cantSplit/>
        </w:trPr>
        <w:tc>
          <w:tcPr>
            <w:tcW w:w="1871" w:type="dxa"/>
            <w:tcMar>
              <w:top w:w="91" w:type="dxa"/>
              <w:left w:w="0" w:type="dxa"/>
              <w:bottom w:w="91" w:type="dxa"/>
              <w:right w:w="0" w:type="dxa"/>
            </w:tcMar>
          </w:tcPr>
          <w:p w14:paraId="23B16CA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8A2C99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81C8E2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A8668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15F0E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BD413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7B8B3B"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1F9955BD" w14:textId="77777777" w:rsidR="00BF4529" w:rsidRDefault="00BF4529" w:rsidP="00BF4529">
            <w:pPr>
              <w:pStyle w:val="TableBlock"/>
              <w:spacing w:before="0"/>
              <w:rPr>
                <w:sz w:val="26"/>
                <w:rtl/>
              </w:rPr>
            </w:pPr>
            <w:r>
              <w:rPr>
                <w:rFonts w:hint="cs"/>
                <w:sz w:val="26"/>
                <w:rtl/>
              </w:rPr>
              <w:t>(1)</w:t>
            </w:r>
            <w:r>
              <w:rPr>
                <w:rFonts w:hint="cs"/>
                <w:sz w:val="26"/>
                <w:rtl/>
              </w:rPr>
              <w:tab/>
              <w:t>סוגי ההטבות והיקפן;</w:t>
            </w:r>
          </w:p>
        </w:tc>
      </w:tr>
      <w:tr w:rsidR="00BF4529" w14:paraId="0FA1B6EC" w14:textId="77777777" w:rsidTr="00BF4529">
        <w:trPr>
          <w:cantSplit/>
        </w:trPr>
        <w:tc>
          <w:tcPr>
            <w:tcW w:w="1871" w:type="dxa"/>
            <w:tcMar>
              <w:top w:w="91" w:type="dxa"/>
              <w:left w:w="0" w:type="dxa"/>
              <w:bottom w:w="91" w:type="dxa"/>
              <w:right w:w="0" w:type="dxa"/>
            </w:tcMar>
          </w:tcPr>
          <w:p w14:paraId="0182D30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2E6EC3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001D68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909DE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066B6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53290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58FC5B"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AD6059A" w14:textId="77777777" w:rsidR="00BF4529" w:rsidRDefault="00BF4529" w:rsidP="00BF4529">
            <w:pPr>
              <w:pStyle w:val="TableBlock"/>
              <w:spacing w:before="0"/>
              <w:rPr>
                <w:sz w:val="26"/>
                <w:rtl/>
              </w:rPr>
            </w:pPr>
            <w:r>
              <w:rPr>
                <w:rFonts w:hint="cs"/>
                <w:sz w:val="26"/>
                <w:rtl/>
              </w:rPr>
              <w:t>(2)</w:t>
            </w:r>
            <w:r>
              <w:rPr>
                <w:rFonts w:hint="cs"/>
                <w:sz w:val="26"/>
                <w:rtl/>
              </w:rPr>
              <w:tab/>
              <w:t>תנאים בנוגע לאישור הניתן לפי סעיף 17(ד) או בנוגע לקבלת ההטבות, ובכלל זה תנאים בנוגע לאלה:</w:t>
            </w:r>
          </w:p>
        </w:tc>
      </w:tr>
      <w:tr w:rsidR="00BF4529" w14:paraId="1EA23E87" w14:textId="77777777" w:rsidTr="00BF4529">
        <w:trPr>
          <w:cantSplit/>
        </w:trPr>
        <w:tc>
          <w:tcPr>
            <w:tcW w:w="1871" w:type="dxa"/>
            <w:tcMar>
              <w:top w:w="91" w:type="dxa"/>
              <w:left w:w="0" w:type="dxa"/>
              <w:bottom w:w="91" w:type="dxa"/>
              <w:right w:w="0" w:type="dxa"/>
            </w:tcMar>
          </w:tcPr>
          <w:p w14:paraId="49F3244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FC34F2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C118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CB9A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E1BFE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8C29A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26EDF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841823"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2E9ED6C6" w14:textId="77777777" w:rsidR="00BF4529" w:rsidRDefault="00BF4529" w:rsidP="00BF4529">
            <w:pPr>
              <w:pStyle w:val="TableBlock"/>
              <w:spacing w:before="0"/>
              <w:rPr>
                <w:sz w:val="26"/>
                <w:rtl/>
              </w:rPr>
            </w:pPr>
            <w:r>
              <w:rPr>
                <w:rFonts w:hint="cs"/>
                <w:sz w:val="26"/>
                <w:rtl/>
              </w:rPr>
              <w:t>(א)</w:t>
            </w:r>
            <w:r>
              <w:rPr>
                <w:rFonts w:hint="cs"/>
                <w:sz w:val="26"/>
                <w:rtl/>
              </w:rPr>
              <w:tab/>
              <w:t>כניסת האישור לתוקף;</w:t>
            </w:r>
          </w:p>
        </w:tc>
      </w:tr>
      <w:tr w:rsidR="00BF4529" w14:paraId="4EDDEE41" w14:textId="77777777" w:rsidTr="00BF4529">
        <w:trPr>
          <w:cantSplit/>
        </w:trPr>
        <w:tc>
          <w:tcPr>
            <w:tcW w:w="1871" w:type="dxa"/>
            <w:tcMar>
              <w:top w:w="91" w:type="dxa"/>
              <w:left w:w="0" w:type="dxa"/>
              <w:bottom w:w="91" w:type="dxa"/>
              <w:right w:w="0" w:type="dxa"/>
            </w:tcMar>
          </w:tcPr>
          <w:p w14:paraId="5145774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0FE3F3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CB88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3701D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4ED2A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F4FF9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FE9F1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2A47FD"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5F18A0CE" w14:textId="77777777" w:rsidR="00BF4529" w:rsidRDefault="00BF4529" w:rsidP="00BF4529">
            <w:pPr>
              <w:pStyle w:val="TableBlock"/>
              <w:spacing w:before="0"/>
              <w:rPr>
                <w:sz w:val="26"/>
                <w:rtl/>
              </w:rPr>
            </w:pPr>
            <w:r>
              <w:rPr>
                <w:rFonts w:hint="cs"/>
                <w:sz w:val="26"/>
                <w:rtl/>
              </w:rPr>
              <w:t>(ב)</w:t>
            </w:r>
            <w:r>
              <w:rPr>
                <w:rFonts w:hint="cs"/>
                <w:sz w:val="26"/>
                <w:rtl/>
              </w:rPr>
              <w:tab/>
              <w:t>ביצוע הפעילות המאושרת בידי מקבל ההטבה;</w:t>
            </w:r>
          </w:p>
        </w:tc>
      </w:tr>
      <w:tr w:rsidR="00BF4529" w14:paraId="3915D2C4" w14:textId="77777777" w:rsidTr="00BF4529">
        <w:trPr>
          <w:cantSplit/>
        </w:trPr>
        <w:tc>
          <w:tcPr>
            <w:tcW w:w="1871" w:type="dxa"/>
            <w:tcMar>
              <w:top w:w="91" w:type="dxa"/>
              <w:left w:w="0" w:type="dxa"/>
              <w:bottom w:w="91" w:type="dxa"/>
              <w:right w:w="0" w:type="dxa"/>
            </w:tcMar>
          </w:tcPr>
          <w:p w14:paraId="330A114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445863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3AD9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B2193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7DDE3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C2EDA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22E0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0C66DE"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04D34BF6" w14:textId="77777777" w:rsidR="00BF4529" w:rsidRDefault="00BF4529" w:rsidP="00BF4529">
            <w:pPr>
              <w:pStyle w:val="TableBlock"/>
              <w:spacing w:before="0"/>
              <w:rPr>
                <w:sz w:val="26"/>
                <w:rtl/>
              </w:rPr>
            </w:pPr>
            <w:r>
              <w:rPr>
                <w:rFonts w:hint="cs"/>
                <w:sz w:val="26"/>
                <w:rtl/>
              </w:rPr>
              <w:t>(ג)</w:t>
            </w:r>
            <w:r>
              <w:rPr>
                <w:rFonts w:hint="cs"/>
                <w:sz w:val="26"/>
                <w:rtl/>
              </w:rPr>
              <w:tab/>
              <w:t>מתן או תשלום ההטבות, לרבות מועדי מתן ההטבות ותנאים להחזרתן;</w:t>
            </w:r>
          </w:p>
        </w:tc>
      </w:tr>
      <w:tr w:rsidR="00BF4529" w14:paraId="6D32E66C" w14:textId="77777777" w:rsidTr="00BF4529">
        <w:trPr>
          <w:cantSplit/>
        </w:trPr>
        <w:tc>
          <w:tcPr>
            <w:tcW w:w="1871" w:type="dxa"/>
            <w:tcMar>
              <w:top w:w="91" w:type="dxa"/>
              <w:left w:w="0" w:type="dxa"/>
              <w:bottom w:w="91" w:type="dxa"/>
              <w:right w:w="0" w:type="dxa"/>
            </w:tcMar>
          </w:tcPr>
          <w:p w14:paraId="15437E1A" w14:textId="77777777" w:rsidR="00BF4529" w:rsidRDefault="00BF4529" w:rsidP="00BF4529">
            <w:pPr>
              <w:pStyle w:val="TableSideHeading"/>
              <w:spacing w:before="0"/>
              <w:jc w:val="left"/>
              <w:rPr>
                <w:sz w:val="26"/>
                <w:highlight w:val="green"/>
                <w:rtl/>
              </w:rPr>
            </w:pPr>
          </w:p>
        </w:tc>
        <w:tc>
          <w:tcPr>
            <w:tcW w:w="624" w:type="dxa"/>
            <w:tcMar>
              <w:top w:w="91" w:type="dxa"/>
              <w:left w:w="0" w:type="dxa"/>
              <w:bottom w:w="91" w:type="dxa"/>
              <w:right w:w="0" w:type="dxa"/>
            </w:tcMar>
          </w:tcPr>
          <w:p w14:paraId="594957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A342B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43B56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94317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3ADA1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CE0DE9"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2F85DC9" w14:textId="77777777" w:rsidR="00BF4529" w:rsidRDefault="00BF4529" w:rsidP="00BF4529">
            <w:pPr>
              <w:pStyle w:val="TableBlock"/>
              <w:spacing w:before="0"/>
              <w:rPr>
                <w:sz w:val="26"/>
                <w:rtl/>
              </w:rPr>
            </w:pPr>
            <w:r>
              <w:rPr>
                <w:rFonts w:hint="cs"/>
                <w:sz w:val="26"/>
                <w:rtl/>
              </w:rPr>
              <w:t>(3)</w:t>
            </w:r>
            <w:r>
              <w:rPr>
                <w:rFonts w:hint="cs"/>
                <w:sz w:val="26"/>
                <w:rtl/>
              </w:rPr>
              <w:tab/>
              <w:t>אופן הגשת הבקשה לקבלת הטבה (בסעיף זה – הבקשה);</w:t>
            </w:r>
          </w:p>
        </w:tc>
      </w:tr>
      <w:tr w:rsidR="00BF4529" w14:paraId="457AFE2C" w14:textId="77777777" w:rsidTr="00BF4529">
        <w:trPr>
          <w:cantSplit/>
        </w:trPr>
        <w:tc>
          <w:tcPr>
            <w:tcW w:w="1871" w:type="dxa"/>
            <w:tcMar>
              <w:top w:w="91" w:type="dxa"/>
              <w:left w:w="0" w:type="dxa"/>
              <w:bottom w:w="91" w:type="dxa"/>
              <w:right w:w="0" w:type="dxa"/>
            </w:tcMar>
          </w:tcPr>
          <w:p w14:paraId="54BEA77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2C096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71879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6B772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C7286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66BC6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B55CCD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59F9099" w14:textId="77777777" w:rsidR="00BF4529" w:rsidRDefault="00BF4529" w:rsidP="00BF4529">
            <w:pPr>
              <w:pStyle w:val="TableBlock"/>
              <w:spacing w:before="0"/>
              <w:rPr>
                <w:sz w:val="26"/>
                <w:rtl/>
              </w:rPr>
            </w:pPr>
            <w:r>
              <w:rPr>
                <w:rFonts w:hint="cs"/>
                <w:sz w:val="26"/>
                <w:rtl/>
              </w:rPr>
              <w:t>(4)</w:t>
            </w:r>
            <w:r>
              <w:rPr>
                <w:rFonts w:hint="cs"/>
                <w:sz w:val="26"/>
                <w:rtl/>
              </w:rPr>
              <w:tab/>
              <w:t>אופן בדיקת הבקשה והדיון בה;</w:t>
            </w:r>
          </w:p>
        </w:tc>
      </w:tr>
      <w:tr w:rsidR="00BF4529" w14:paraId="1B6CB833" w14:textId="77777777" w:rsidTr="00BF4529">
        <w:trPr>
          <w:cantSplit/>
        </w:trPr>
        <w:tc>
          <w:tcPr>
            <w:tcW w:w="1871" w:type="dxa"/>
            <w:tcMar>
              <w:top w:w="91" w:type="dxa"/>
              <w:left w:w="0" w:type="dxa"/>
              <w:bottom w:w="91" w:type="dxa"/>
              <w:right w:w="0" w:type="dxa"/>
            </w:tcMar>
          </w:tcPr>
          <w:p w14:paraId="1A75A77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EA747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26F7C6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035E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4DE0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AB1DB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BA0CA2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2791D7B" w14:textId="77777777" w:rsidR="00BF4529" w:rsidRDefault="00BF4529" w:rsidP="00BF4529">
            <w:pPr>
              <w:pStyle w:val="TableBlock"/>
              <w:spacing w:before="0"/>
              <w:rPr>
                <w:sz w:val="26"/>
                <w:rtl/>
              </w:rPr>
            </w:pPr>
            <w:r>
              <w:rPr>
                <w:rFonts w:hint="cs"/>
                <w:sz w:val="26"/>
                <w:rtl/>
              </w:rPr>
              <w:t>(5)</w:t>
            </w:r>
            <w:r>
              <w:rPr>
                <w:rFonts w:hint="cs"/>
                <w:sz w:val="26"/>
                <w:rtl/>
              </w:rPr>
              <w:tab/>
              <w:t>מניעת כפילות במתן הטבות;</w:t>
            </w:r>
          </w:p>
        </w:tc>
      </w:tr>
      <w:tr w:rsidR="00BF4529" w14:paraId="49ACE0F6" w14:textId="77777777" w:rsidTr="00BF4529">
        <w:trPr>
          <w:cantSplit/>
        </w:trPr>
        <w:tc>
          <w:tcPr>
            <w:tcW w:w="1871" w:type="dxa"/>
            <w:tcMar>
              <w:top w:w="91" w:type="dxa"/>
              <w:left w:w="0" w:type="dxa"/>
              <w:bottom w:w="91" w:type="dxa"/>
              <w:right w:w="0" w:type="dxa"/>
            </w:tcMar>
          </w:tcPr>
          <w:p w14:paraId="34E33F1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CF72E0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AE1EB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FDBEC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307FFB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E8C12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45DFB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3A34578" w14:textId="77777777" w:rsidR="00BF4529" w:rsidRDefault="00BF4529" w:rsidP="00BF4529">
            <w:pPr>
              <w:pStyle w:val="TableBlock"/>
              <w:spacing w:before="0"/>
              <w:rPr>
                <w:sz w:val="26"/>
                <w:rtl/>
              </w:rPr>
            </w:pPr>
            <w:r>
              <w:rPr>
                <w:rFonts w:hint="cs"/>
                <w:sz w:val="26"/>
                <w:rtl/>
              </w:rPr>
              <w:t>(6)</w:t>
            </w:r>
            <w:r>
              <w:rPr>
                <w:rFonts w:hint="cs"/>
                <w:sz w:val="26"/>
                <w:rtl/>
              </w:rPr>
              <w:tab/>
              <w:t>זהות הגורם הרשאי לבצע פעילות שאושרה במסגרת מסלול ההטבות.</w:t>
            </w:r>
          </w:p>
        </w:tc>
      </w:tr>
      <w:tr w:rsidR="00BF4529" w14:paraId="47EFA85C" w14:textId="77777777" w:rsidTr="00BF4529">
        <w:trPr>
          <w:cantSplit/>
        </w:trPr>
        <w:tc>
          <w:tcPr>
            <w:tcW w:w="1871" w:type="dxa"/>
            <w:tcMar>
              <w:top w:w="91" w:type="dxa"/>
              <w:left w:w="0" w:type="dxa"/>
              <w:bottom w:w="91" w:type="dxa"/>
              <w:right w:w="0" w:type="dxa"/>
            </w:tcMar>
          </w:tcPr>
          <w:p w14:paraId="083F2B7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A723B0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4E94F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0B5AE7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F2997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F657B3"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A8F5654" w14:textId="77777777" w:rsidR="00BF4529" w:rsidRDefault="00BF4529" w:rsidP="00BF4529">
            <w:pPr>
              <w:pStyle w:val="TableBlock"/>
              <w:spacing w:before="0"/>
              <w:rPr>
                <w:sz w:val="26"/>
                <w:rtl/>
              </w:rPr>
            </w:pPr>
            <w:r>
              <w:rPr>
                <w:rFonts w:hint="cs"/>
                <w:sz w:val="26"/>
                <w:rtl/>
              </w:rPr>
              <w:t>(ב)</w:t>
            </w:r>
            <w:r>
              <w:rPr>
                <w:rFonts w:hint="cs"/>
                <w:sz w:val="26"/>
                <w:rtl/>
              </w:rPr>
              <w:tab/>
              <w:t>המועצה רשאית לכלול במסלול הטבות הוראות, בין השאר, בעניינים אלה:</w:t>
            </w:r>
          </w:p>
        </w:tc>
      </w:tr>
      <w:tr w:rsidR="00BF4529" w14:paraId="51534460" w14:textId="77777777" w:rsidTr="00BF4529">
        <w:trPr>
          <w:cantSplit/>
        </w:trPr>
        <w:tc>
          <w:tcPr>
            <w:tcW w:w="1871" w:type="dxa"/>
            <w:tcMar>
              <w:top w:w="91" w:type="dxa"/>
              <w:left w:w="0" w:type="dxa"/>
              <w:bottom w:w="91" w:type="dxa"/>
              <w:right w:w="0" w:type="dxa"/>
            </w:tcMar>
          </w:tcPr>
          <w:p w14:paraId="501AB51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BA18A1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3AAB2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8C4F67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304AC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2B2D2A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47F00F"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FD173C5" w14:textId="77777777" w:rsidR="00BF4529" w:rsidRDefault="00BF4529" w:rsidP="00BF4529">
            <w:pPr>
              <w:pStyle w:val="TableBlock"/>
              <w:spacing w:before="0"/>
              <w:rPr>
                <w:sz w:val="26"/>
                <w:rtl/>
              </w:rPr>
            </w:pPr>
            <w:r>
              <w:rPr>
                <w:rFonts w:hint="cs"/>
                <w:sz w:val="26"/>
                <w:rtl/>
              </w:rPr>
              <w:t>(1)</w:t>
            </w:r>
            <w:r>
              <w:rPr>
                <w:rFonts w:hint="cs"/>
                <w:sz w:val="26"/>
                <w:rtl/>
              </w:rPr>
              <w:tab/>
              <w:t>עיכוב בתשלום הטבות ודרישת ערובות כתנאי להחזרתן, בכפוף להוראות סעיף 16א;</w:t>
            </w:r>
          </w:p>
        </w:tc>
      </w:tr>
      <w:tr w:rsidR="00BF4529" w14:paraId="2EEEF42E" w14:textId="77777777" w:rsidTr="00BF4529">
        <w:trPr>
          <w:cantSplit/>
        </w:trPr>
        <w:tc>
          <w:tcPr>
            <w:tcW w:w="1871" w:type="dxa"/>
            <w:tcMar>
              <w:top w:w="91" w:type="dxa"/>
              <w:left w:w="0" w:type="dxa"/>
              <w:bottom w:w="91" w:type="dxa"/>
              <w:right w:w="0" w:type="dxa"/>
            </w:tcMar>
          </w:tcPr>
          <w:p w14:paraId="027301C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118D0A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09F6A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9476C6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16BD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771D32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BF6BF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E9ED8C5" w14:textId="77777777" w:rsidR="00BF4529" w:rsidRDefault="00BF4529" w:rsidP="00BF4529">
            <w:pPr>
              <w:pStyle w:val="TableBlock"/>
              <w:spacing w:before="0"/>
              <w:rPr>
                <w:sz w:val="26"/>
                <w:rtl/>
              </w:rPr>
            </w:pPr>
            <w:r>
              <w:rPr>
                <w:rFonts w:hint="cs"/>
                <w:sz w:val="26"/>
                <w:rtl/>
              </w:rPr>
              <w:t>(2)</w:t>
            </w:r>
            <w:r>
              <w:rPr>
                <w:rFonts w:hint="cs"/>
                <w:sz w:val="26"/>
                <w:rtl/>
              </w:rPr>
              <w:tab/>
              <w:t>תשלום מקדמה על חשבון ההטבות;</w:t>
            </w:r>
          </w:p>
        </w:tc>
      </w:tr>
      <w:tr w:rsidR="00BF4529" w14:paraId="422AEA47" w14:textId="77777777" w:rsidTr="00BF4529">
        <w:trPr>
          <w:cantSplit/>
        </w:trPr>
        <w:tc>
          <w:tcPr>
            <w:tcW w:w="1871" w:type="dxa"/>
            <w:tcMar>
              <w:top w:w="91" w:type="dxa"/>
              <w:left w:w="0" w:type="dxa"/>
              <w:bottom w:w="91" w:type="dxa"/>
              <w:right w:w="0" w:type="dxa"/>
            </w:tcMar>
          </w:tcPr>
          <w:p w14:paraId="201A50D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C9D2B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497686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8C608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75EF3B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B90F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99139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9905C1F" w14:textId="77777777" w:rsidR="00BF4529" w:rsidRDefault="00BF4529" w:rsidP="00BF4529">
            <w:pPr>
              <w:pStyle w:val="TableBlock"/>
              <w:spacing w:before="0"/>
              <w:rPr>
                <w:sz w:val="26"/>
                <w:rtl/>
              </w:rPr>
            </w:pPr>
            <w:r>
              <w:rPr>
                <w:rFonts w:hint="cs"/>
                <w:sz w:val="26"/>
                <w:rtl/>
              </w:rPr>
              <w:t>(3)</w:t>
            </w:r>
            <w:r>
              <w:rPr>
                <w:rFonts w:hint="cs"/>
                <w:sz w:val="26"/>
                <w:rtl/>
              </w:rPr>
              <w:tab/>
              <w:t>הידע המפותח, לרבות לעניין דרישת הבעלות עליו כאמור בסעיף 15לט;</w:t>
            </w:r>
          </w:p>
        </w:tc>
      </w:tr>
      <w:tr w:rsidR="00BF4529" w14:paraId="3563B341" w14:textId="77777777" w:rsidTr="00BF4529">
        <w:trPr>
          <w:cantSplit/>
        </w:trPr>
        <w:tc>
          <w:tcPr>
            <w:tcW w:w="1871" w:type="dxa"/>
            <w:tcMar>
              <w:top w:w="91" w:type="dxa"/>
              <w:left w:w="0" w:type="dxa"/>
              <w:bottom w:w="91" w:type="dxa"/>
              <w:right w:w="0" w:type="dxa"/>
            </w:tcMar>
          </w:tcPr>
          <w:p w14:paraId="036A778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678C97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D6B0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4C73D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05D41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A6F31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C84D37"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D46EFA0" w14:textId="77777777" w:rsidR="00BF4529" w:rsidRDefault="00BF4529" w:rsidP="00BF4529">
            <w:pPr>
              <w:pStyle w:val="TableBlock"/>
              <w:spacing w:before="0"/>
              <w:rPr>
                <w:sz w:val="26"/>
                <w:rtl/>
              </w:rPr>
            </w:pPr>
            <w:r>
              <w:rPr>
                <w:rFonts w:hint="cs"/>
                <w:sz w:val="26"/>
                <w:rtl/>
              </w:rPr>
              <w:t>(4)</w:t>
            </w:r>
            <w:r>
              <w:rPr>
                <w:rFonts w:hint="cs"/>
                <w:sz w:val="26"/>
                <w:rtl/>
              </w:rPr>
              <w:tab/>
              <w:t>ייצור המוצר בישראל והוצאת ייצורו אל מחוץ לישראל, לרבות תשלום בשל הוצאתו, כאמור בסעיף 15מב;</w:t>
            </w:r>
          </w:p>
        </w:tc>
      </w:tr>
      <w:tr w:rsidR="00BF4529" w14:paraId="48958140" w14:textId="77777777" w:rsidTr="00BF4529">
        <w:trPr>
          <w:cantSplit/>
        </w:trPr>
        <w:tc>
          <w:tcPr>
            <w:tcW w:w="1871" w:type="dxa"/>
            <w:tcMar>
              <w:top w:w="91" w:type="dxa"/>
              <w:left w:w="0" w:type="dxa"/>
              <w:bottom w:w="91" w:type="dxa"/>
              <w:right w:w="0" w:type="dxa"/>
            </w:tcMar>
          </w:tcPr>
          <w:p w14:paraId="4CE08E3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DBBD5E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A08D7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046F7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9FC8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D51FB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2DE00F"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6F9649C" w14:textId="77777777" w:rsidR="00BF4529" w:rsidRDefault="00BF4529" w:rsidP="00BF4529">
            <w:pPr>
              <w:pStyle w:val="TableBlock"/>
              <w:spacing w:before="0"/>
              <w:rPr>
                <w:sz w:val="26"/>
                <w:rtl/>
              </w:rPr>
            </w:pPr>
            <w:r>
              <w:rPr>
                <w:rFonts w:hint="cs"/>
                <w:sz w:val="26"/>
                <w:rtl/>
              </w:rPr>
              <w:t>(5)</w:t>
            </w:r>
            <w:r>
              <w:rPr>
                <w:rFonts w:hint="cs"/>
                <w:sz w:val="26"/>
                <w:rtl/>
              </w:rPr>
              <w:tab/>
              <w:t>ביצוע פעילות של חדשנות טכנולוגית בעבור אחר;</w:t>
            </w:r>
          </w:p>
        </w:tc>
      </w:tr>
      <w:tr w:rsidR="00BF4529" w14:paraId="4DAB527E" w14:textId="77777777" w:rsidTr="00BF4529">
        <w:trPr>
          <w:cantSplit/>
        </w:trPr>
        <w:tc>
          <w:tcPr>
            <w:tcW w:w="1871" w:type="dxa"/>
            <w:tcMar>
              <w:top w:w="91" w:type="dxa"/>
              <w:left w:w="0" w:type="dxa"/>
              <w:bottom w:w="91" w:type="dxa"/>
              <w:right w:w="0" w:type="dxa"/>
            </w:tcMar>
          </w:tcPr>
          <w:p w14:paraId="2A8C402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185F2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A4E84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6F74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CED5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EE87B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BD8BBC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4A80A98" w14:textId="77777777" w:rsidR="00BF4529" w:rsidRDefault="00BF4529" w:rsidP="00BF4529">
            <w:pPr>
              <w:pStyle w:val="TableBlock"/>
              <w:spacing w:before="0"/>
              <w:rPr>
                <w:sz w:val="26"/>
                <w:rtl/>
              </w:rPr>
            </w:pPr>
            <w:r>
              <w:rPr>
                <w:rFonts w:hint="cs"/>
                <w:sz w:val="26"/>
                <w:rtl/>
              </w:rPr>
              <w:t>(6)</w:t>
            </w:r>
            <w:r>
              <w:rPr>
                <w:rFonts w:hint="cs"/>
                <w:sz w:val="26"/>
                <w:rtl/>
              </w:rPr>
              <w:tab/>
              <w:t>דיון חוזר בהחלטות.</w:t>
            </w:r>
          </w:p>
        </w:tc>
      </w:tr>
      <w:tr w:rsidR="00BF4529" w14:paraId="034C8337" w14:textId="77777777" w:rsidTr="00BF4529">
        <w:trPr>
          <w:cantSplit/>
        </w:trPr>
        <w:tc>
          <w:tcPr>
            <w:tcW w:w="1871" w:type="dxa"/>
            <w:tcMar>
              <w:top w:w="91" w:type="dxa"/>
              <w:left w:w="0" w:type="dxa"/>
              <w:bottom w:w="91" w:type="dxa"/>
              <w:right w:w="0" w:type="dxa"/>
            </w:tcMar>
          </w:tcPr>
          <w:p w14:paraId="40888D7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1A87C2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AECCA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EE64F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A3E49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86648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7CB74CB" w14:textId="77777777" w:rsidR="00BF4529" w:rsidRDefault="00BF4529" w:rsidP="00BF4529">
            <w:pPr>
              <w:pStyle w:val="TableBlock"/>
              <w:spacing w:before="0"/>
              <w:rPr>
                <w:sz w:val="26"/>
                <w:rtl/>
              </w:rPr>
            </w:pPr>
            <w:r>
              <w:rPr>
                <w:rFonts w:hint="cs"/>
                <w:sz w:val="26"/>
                <w:rtl/>
              </w:rPr>
              <w:t>(ג)</w:t>
            </w:r>
            <w:r>
              <w:rPr>
                <w:rFonts w:hint="cs"/>
                <w:sz w:val="26"/>
                <w:rtl/>
              </w:rPr>
              <w:tab/>
              <w:t>במסלולי הטבות שבהם סברה המועצה כי נדרש לתת העדפה אזורית, תינתן ההעדפה באזורי הפיתוח שנקבעו לפי סעיף 40ד לחוק לעידוד השקעות הון, התשי"ט–1959‏</w:t>
            </w:r>
            <w:r>
              <w:rPr>
                <w:rStyle w:val="ab"/>
                <w:rFonts w:hAnsi="HadasaMFO"/>
                <w:sz w:val="26"/>
                <w:rtl/>
              </w:rPr>
              <w:footnoteReference w:id="20"/>
            </w:r>
            <w:r>
              <w:rPr>
                <w:rFonts w:hint="cs"/>
                <w:sz w:val="26"/>
                <w:rtl/>
              </w:rPr>
              <w:t xml:space="preserve">, באזורי פיתוח א ו-ב או אחד מהם, ואולם רשאים השרים, לאחר שהונחה לפניהם חוות דעת של המועצה בנושא, ובאישור ועדת הכספים של הכנסת, לקבוע אזורי עדיפות אחרים לעניין אותו מסלול או כמה מסלולים. </w:t>
            </w:r>
          </w:p>
        </w:tc>
      </w:tr>
      <w:tr w:rsidR="00BF4529" w14:paraId="593E1B0B" w14:textId="77777777" w:rsidTr="00BF4529">
        <w:trPr>
          <w:cantSplit/>
        </w:trPr>
        <w:tc>
          <w:tcPr>
            <w:tcW w:w="1871" w:type="dxa"/>
            <w:tcMar>
              <w:top w:w="91" w:type="dxa"/>
              <w:left w:w="0" w:type="dxa"/>
              <w:bottom w:w="91" w:type="dxa"/>
              <w:right w:w="0" w:type="dxa"/>
            </w:tcMar>
          </w:tcPr>
          <w:p w14:paraId="295284F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DC2A841"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FBDB7E2" w14:textId="77777777" w:rsidR="00BF4529" w:rsidRDefault="00BF4529" w:rsidP="00BF4529">
            <w:pPr>
              <w:pStyle w:val="TableInnerSideHeading"/>
              <w:spacing w:before="0"/>
              <w:jc w:val="left"/>
              <w:rPr>
                <w:sz w:val="26"/>
                <w:rtl/>
              </w:rPr>
            </w:pPr>
            <w:r>
              <w:rPr>
                <w:rFonts w:hint="cs"/>
                <w:sz w:val="26"/>
                <w:rtl/>
              </w:rPr>
              <w:t>מסלולי הטבות בעבור מחקר</w:t>
            </w:r>
            <w:r>
              <w:rPr>
                <w:rFonts w:hint="cs"/>
                <w:sz w:val="26"/>
                <w:rtl/>
              </w:rPr>
              <w:br/>
              <w:t xml:space="preserve">אקדמי במוסד להשכלה גבוהה ובמרכזי מחקר ופיתוח אזוריים </w:t>
            </w:r>
          </w:p>
        </w:tc>
        <w:tc>
          <w:tcPr>
            <w:tcW w:w="624" w:type="dxa"/>
            <w:tcMar>
              <w:top w:w="91" w:type="dxa"/>
              <w:left w:w="0" w:type="dxa"/>
              <w:bottom w:w="91" w:type="dxa"/>
              <w:right w:w="0" w:type="dxa"/>
            </w:tcMar>
            <w:hideMark/>
          </w:tcPr>
          <w:p w14:paraId="7C440CA6" w14:textId="77777777" w:rsidR="00BF4529" w:rsidRDefault="00BF4529" w:rsidP="00BF4529">
            <w:pPr>
              <w:pStyle w:val="TableText"/>
              <w:spacing w:before="0"/>
              <w:rPr>
                <w:sz w:val="26"/>
                <w:rtl/>
              </w:rPr>
            </w:pPr>
            <w:r>
              <w:rPr>
                <w:rFonts w:hint="cs"/>
                <w:sz w:val="26"/>
                <w:rtl/>
              </w:rPr>
              <w:t>15לז.</w:t>
            </w:r>
          </w:p>
        </w:tc>
        <w:tc>
          <w:tcPr>
            <w:tcW w:w="4650" w:type="dxa"/>
            <w:gridSpan w:val="3"/>
            <w:tcMar>
              <w:top w:w="91" w:type="dxa"/>
              <w:left w:w="0" w:type="dxa"/>
              <w:bottom w:w="91" w:type="dxa"/>
              <w:right w:w="0" w:type="dxa"/>
            </w:tcMar>
            <w:hideMark/>
          </w:tcPr>
          <w:p w14:paraId="59A63B4F" w14:textId="77777777" w:rsidR="00BF4529" w:rsidRDefault="00BF4529" w:rsidP="00BF4529">
            <w:pPr>
              <w:pStyle w:val="TableBlock"/>
              <w:spacing w:before="0"/>
              <w:rPr>
                <w:sz w:val="26"/>
                <w:rtl/>
              </w:rPr>
            </w:pPr>
            <w:r>
              <w:rPr>
                <w:rFonts w:hint="cs"/>
                <w:sz w:val="26"/>
                <w:rtl/>
              </w:rPr>
              <w:t>(א)</w:t>
            </w:r>
            <w:r>
              <w:rPr>
                <w:rFonts w:hint="cs"/>
                <w:sz w:val="26"/>
                <w:rtl/>
              </w:rPr>
              <w:tab/>
              <w:t>אישור או שינוי של מסלולי הטבות שאינם מסלולים ישנים ואינם כוללים השתתפות מימונית ישירה של גורם תעשייתי בעבור מחקר אקדמי המתבצע במוסדות להשכלה גבוהה, טעון, כתנאי מקדים, הסכמה של המועצה להשכלה גבוהה.</w:t>
            </w:r>
          </w:p>
        </w:tc>
      </w:tr>
      <w:tr w:rsidR="00BF4529" w14:paraId="6FED2E57" w14:textId="77777777" w:rsidTr="00BF4529">
        <w:trPr>
          <w:cantSplit/>
        </w:trPr>
        <w:tc>
          <w:tcPr>
            <w:tcW w:w="1871" w:type="dxa"/>
            <w:tcMar>
              <w:top w:w="91" w:type="dxa"/>
              <w:left w:w="0" w:type="dxa"/>
              <w:bottom w:w="91" w:type="dxa"/>
              <w:right w:w="0" w:type="dxa"/>
            </w:tcMar>
          </w:tcPr>
          <w:p w14:paraId="3EA04A91" w14:textId="77777777" w:rsidR="00BF4529" w:rsidRDefault="00BF4529" w:rsidP="00BF4529">
            <w:pPr>
              <w:pStyle w:val="TableSideHeading"/>
              <w:spacing w:before="0"/>
              <w:jc w:val="left"/>
              <w:rPr>
                <w:sz w:val="26"/>
                <w:highlight w:val="green"/>
                <w:rtl/>
              </w:rPr>
            </w:pPr>
          </w:p>
        </w:tc>
        <w:tc>
          <w:tcPr>
            <w:tcW w:w="624" w:type="dxa"/>
            <w:tcMar>
              <w:top w:w="91" w:type="dxa"/>
              <w:left w:w="0" w:type="dxa"/>
              <w:bottom w:w="91" w:type="dxa"/>
              <w:right w:w="0" w:type="dxa"/>
            </w:tcMar>
          </w:tcPr>
          <w:p w14:paraId="265960C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E2DD2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4A1A3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DCD1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593374"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F17D258" w14:textId="77777777" w:rsidR="00BF4529" w:rsidRDefault="00BF4529" w:rsidP="00BF4529">
            <w:pPr>
              <w:pStyle w:val="TableBlock"/>
              <w:spacing w:before="0"/>
              <w:rPr>
                <w:sz w:val="26"/>
                <w:rtl/>
              </w:rPr>
            </w:pPr>
            <w:r>
              <w:rPr>
                <w:rFonts w:hint="cs"/>
                <w:sz w:val="26"/>
                <w:rtl/>
              </w:rPr>
              <w:t>(ב)</w:t>
            </w:r>
            <w:r>
              <w:rPr>
                <w:rFonts w:hint="cs"/>
                <w:sz w:val="26"/>
                <w:rtl/>
              </w:rPr>
              <w:tab/>
              <w:t>אישור או שינוי של מסלולי הטבות שאינם מסלולים ישנים ואינם כוללים השתתפות מימונית ישירה של גורם תעשייתי בעבור מחקר במוסדות להשכלה גבוהה או בעבור מחקר במרכזי מחקר ופיתוח אזוריים הנתמכים על ידי משרד המדע הטכנולוגיה והחלל, טעון תיאום עם שר המדע הטכנולוגיה והחלל בטרם ייכנס לתוקף.</w:t>
            </w:r>
          </w:p>
        </w:tc>
      </w:tr>
      <w:tr w:rsidR="00BF4529" w14:paraId="18AA192D" w14:textId="77777777" w:rsidTr="00BF4529">
        <w:trPr>
          <w:cantSplit/>
        </w:trPr>
        <w:tc>
          <w:tcPr>
            <w:tcW w:w="1871" w:type="dxa"/>
            <w:tcMar>
              <w:top w:w="91" w:type="dxa"/>
              <w:left w:w="0" w:type="dxa"/>
              <w:bottom w:w="91" w:type="dxa"/>
              <w:right w:w="0" w:type="dxa"/>
            </w:tcMar>
          </w:tcPr>
          <w:p w14:paraId="7917BE88"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1EF55C39"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45DFB113" w14:textId="77777777" w:rsidR="00BF4529" w:rsidRDefault="00BF4529" w:rsidP="00BF4529">
            <w:pPr>
              <w:pStyle w:val="TableInnerSideHeading"/>
              <w:spacing w:before="0"/>
              <w:jc w:val="left"/>
              <w:rPr>
                <w:sz w:val="26"/>
                <w:rtl/>
              </w:rPr>
            </w:pPr>
            <w:r>
              <w:rPr>
                <w:rFonts w:hint="cs"/>
                <w:sz w:val="26"/>
                <w:rtl/>
              </w:rPr>
              <w:t>שותפות בשותפות מוגבלת</w:t>
            </w:r>
          </w:p>
        </w:tc>
        <w:tc>
          <w:tcPr>
            <w:tcW w:w="624" w:type="dxa"/>
            <w:tcMar>
              <w:top w:w="91" w:type="dxa"/>
              <w:left w:w="0" w:type="dxa"/>
              <w:bottom w:w="91" w:type="dxa"/>
              <w:right w:w="0" w:type="dxa"/>
            </w:tcMar>
            <w:hideMark/>
          </w:tcPr>
          <w:p w14:paraId="319912D9" w14:textId="77777777" w:rsidR="00BF4529" w:rsidRDefault="00BF4529" w:rsidP="00BF4529">
            <w:pPr>
              <w:pStyle w:val="TableText"/>
              <w:spacing w:before="0"/>
              <w:rPr>
                <w:sz w:val="26"/>
                <w:rtl/>
              </w:rPr>
            </w:pPr>
            <w:r>
              <w:rPr>
                <w:rFonts w:hint="cs"/>
                <w:sz w:val="26"/>
                <w:rtl/>
              </w:rPr>
              <w:t>15לח.</w:t>
            </w:r>
          </w:p>
        </w:tc>
        <w:tc>
          <w:tcPr>
            <w:tcW w:w="4650" w:type="dxa"/>
            <w:gridSpan w:val="3"/>
            <w:tcMar>
              <w:top w:w="91" w:type="dxa"/>
              <w:left w:w="0" w:type="dxa"/>
              <w:bottom w:w="91" w:type="dxa"/>
              <w:right w:w="0" w:type="dxa"/>
            </w:tcMar>
            <w:hideMark/>
          </w:tcPr>
          <w:p w14:paraId="5874ECB7" w14:textId="77777777" w:rsidR="00BF4529" w:rsidRDefault="00BF4529" w:rsidP="00BF4529">
            <w:pPr>
              <w:pStyle w:val="TableBlock"/>
              <w:spacing w:before="0"/>
              <w:rPr>
                <w:sz w:val="26"/>
                <w:rtl/>
              </w:rPr>
            </w:pPr>
            <w:r>
              <w:rPr>
                <w:rFonts w:hint="cs"/>
                <w:sz w:val="26"/>
                <w:rtl/>
              </w:rPr>
              <w:t>(א)</w:t>
            </w:r>
            <w:r>
              <w:rPr>
                <w:rFonts w:hint="cs"/>
                <w:sz w:val="26"/>
                <w:rtl/>
              </w:rPr>
              <w:tab/>
              <w:t>הרשות רשאית, במסגרת הפעלת מסלולי הטבות, להיות שותפה בשותפות מוגבלת, ובלבד שהתקיימו כל אלה:</w:t>
            </w:r>
          </w:p>
        </w:tc>
      </w:tr>
      <w:tr w:rsidR="00BF4529" w14:paraId="44CD069F" w14:textId="77777777" w:rsidTr="00BF4529">
        <w:trPr>
          <w:cantSplit/>
        </w:trPr>
        <w:tc>
          <w:tcPr>
            <w:tcW w:w="1871" w:type="dxa"/>
            <w:tcMar>
              <w:top w:w="91" w:type="dxa"/>
              <w:left w:w="0" w:type="dxa"/>
              <w:bottom w:w="91" w:type="dxa"/>
              <w:right w:w="0" w:type="dxa"/>
            </w:tcMar>
          </w:tcPr>
          <w:p w14:paraId="50948E0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E1911E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D0E50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EFC94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08E9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E93B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29301E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CBC09B4" w14:textId="77777777" w:rsidR="00BF4529" w:rsidRDefault="00BF4529" w:rsidP="00BF4529">
            <w:pPr>
              <w:pStyle w:val="TableBlock"/>
              <w:spacing w:before="0"/>
              <w:rPr>
                <w:sz w:val="26"/>
                <w:rtl/>
              </w:rPr>
            </w:pPr>
            <w:r>
              <w:rPr>
                <w:rFonts w:hint="cs"/>
                <w:sz w:val="26"/>
                <w:rtl/>
              </w:rPr>
              <w:t>(1)</w:t>
            </w:r>
            <w:r>
              <w:rPr>
                <w:rFonts w:hint="cs"/>
                <w:sz w:val="26"/>
                <w:rtl/>
              </w:rPr>
              <w:tab/>
              <w:t>הרשות תהיה שותף מוגבל;</w:t>
            </w:r>
          </w:p>
        </w:tc>
      </w:tr>
      <w:tr w:rsidR="00BF4529" w14:paraId="7BAA7DC2" w14:textId="77777777" w:rsidTr="00BF4529">
        <w:trPr>
          <w:cantSplit/>
        </w:trPr>
        <w:tc>
          <w:tcPr>
            <w:tcW w:w="1871" w:type="dxa"/>
            <w:tcMar>
              <w:top w:w="91" w:type="dxa"/>
              <w:left w:w="0" w:type="dxa"/>
              <w:bottom w:w="91" w:type="dxa"/>
              <w:right w:w="0" w:type="dxa"/>
            </w:tcMar>
          </w:tcPr>
          <w:p w14:paraId="0883DF8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21EDE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B02D1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BF202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414C9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624F1B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59A25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3B4D70A" w14:textId="77777777" w:rsidR="00BF4529" w:rsidRDefault="00BF4529" w:rsidP="00BF4529">
            <w:pPr>
              <w:pStyle w:val="TableBlock"/>
              <w:spacing w:before="0"/>
              <w:rPr>
                <w:sz w:val="26"/>
                <w:rtl/>
              </w:rPr>
            </w:pPr>
            <w:r>
              <w:rPr>
                <w:rFonts w:hint="cs"/>
                <w:sz w:val="26"/>
                <w:rtl/>
              </w:rPr>
              <w:t>(2)</w:t>
            </w:r>
            <w:r>
              <w:rPr>
                <w:rFonts w:hint="cs"/>
                <w:sz w:val="26"/>
                <w:rtl/>
              </w:rPr>
              <w:tab/>
              <w:t>השותפות תהיה רשומה בישראל;</w:t>
            </w:r>
          </w:p>
        </w:tc>
      </w:tr>
      <w:tr w:rsidR="00BF4529" w14:paraId="6BC28F63" w14:textId="77777777" w:rsidTr="00BF4529">
        <w:trPr>
          <w:cantSplit/>
        </w:trPr>
        <w:tc>
          <w:tcPr>
            <w:tcW w:w="1871" w:type="dxa"/>
            <w:tcMar>
              <w:top w:w="91" w:type="dxa"/>
              <w:left w:w="0" w:type="dxa"/>
              <w:bottom w:w="91" w:type="dxa"/>
              <w:right w:w="0" w:type="dxa"/>
            </w:tcMar>
          </w:tcPr>
          <w:p w14:paraId="56A787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40C7F4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7B2CD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75207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6BF4B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98B9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0E3801"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8875B34" w14:textId="77777777" w:rsidR="00BF4529" w:rsidRDefault="00BF4529" w:rsidP="00BF4529">
            <w:pPr>
              <w:pStyle w:val="TableBlock"/>
              <w:spacing w:before="0"/>
              <w:rPr>
                <w:sz w:val="26"/>
                <w:rtl/>
              </w:rPr>
            </w:pPr>
            <w:r>
              <w:rPr>
                <w:rFonts w:hint="cs"/>
                <w:sz w:val="26"/>
                <w:rtl/>
              </w:rPr>
              <w:t>(3)</w:t>
            </w:r>
            <w:r>
              <w:rPr>
                <w:rFonts w:hint="cs"/>
                <w:sz w:val="26"/>
                <w:rtl/>
              </w:rPr>
              <w:tab/>
              <w:t>הדין שיחול על השותפות יהיה הדין הישראלי;</w:t>
            </w:r>
          </w:p>
        </w:tc>
      </w:tr>
      <w:tr w:rsidR="00BF4529" w14:paraId="6AD56955" w14:textId="77777777" w:rsidTr="00BF4529">
        <w:trPr>
          <w:cantSplit/>
        </w:trPr>
        <w:tc>
          <w:tcPr>
            <w:tcW w:w="1871" w:type="dxa"/>
            <w:tcMar>
              <w:top w:w="91" w:type="dxa"/>
              <w:left w:w="0" w:type="dxa"/>
              <w:bottom w:w="91" w:type="dxa"/>
              <w:right w:w="0" w:type="dxa"/>
            </w:tcMar>
          </w:tcPr>
          <w:p w14:paraId="2203BD5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4831CC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F4C3C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D07AB4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433BB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5651F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9347F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F3BF93C" w14:textId="77777777" w:rsidR="00BF4529" w:rsidRDefault="00BF4529" w:rsidP="00BF4529">
            <w:pPr>
              <w:pStyle w:val="TableBlock"/>
              <w:spacing w:before="0"/>
              <w:rPr>
                <w:sz w:val="26"/>
                <w:rtl/>
              </w:rPr>
            </w:pPr>
            <w:r>
              <w:rPr>
                <w:rFonts w:hint="cs"/>
                <w:sz w:val="26"/>
                <w:rtl/>
              </w:rPr>
              <w:t>(4)</w:t>
            </w:r>
            <w:r>
              <w:rPr>
                <w:rFonts w:hint="cs"/>
                <w:sz w:val="26"/>
                <w:rtl/>
              </w:rPr>
              <w:tab/>
              <w:t xml:space="preserve">לא יהיה דירקטור, נושא משרה ובעל שליטה בשותף הכללי או חבר בשותפות – </w:t>
            </w:r>
          </w:p>
        </w:tc>
      </w:tr>
      <w:tr w:rsidR="00BF4529" w14:paraId="318D1ACB" w14:textId="77777777" w:rsidTr="00BF4529">
        <w:trPr>
          <w:cantSplit/>
        </w:trPr>
        <w:tc>
          <w:tcPr>
            <w:tcW w:w="1871" w:type="dxa"/>
            <w:tcMar>
              <w:top w:w="91" w:type="dxa"/>
              <w:left w:w="0" w:type="dxa"/>
              <w:bottom w:w="91" w:type="dxa"/>
              <w:right w:w="0" w:type="dxa"/>
            </w:tcMar>
          </w:tcPr>
          <w:p w14:paraId="1836C98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8DD3BC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4BC4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AEB56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71B40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13CC8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993C8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B46580"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2FA6EADE" w14:textId="77777777" w:rsidR="00BF4529" w:rsidRDefault="00BF4529" w:rsidP="00BF4529">
            <w:pPr>
              <w:pStyle w:val="TableBlock"/>
              <w:spacing w:before="0"/>
              <w:rPr>
                <w:sz w:val="26"/>
                <w:rtl/>
              </w:rPr>
            </w:pPr>
            <w:r>
              <w:rPr>
                <w:rFonts w:hint="cs"/>
                <w:sz w:val="26"/>
                <w:rtl/>
              </w:rPr>
              <w:t>(א)</w:t>
            </w:r>
            <w:r>
              <w:rPr>
                <w:rFonts w:hint="cs"/>
                <w:sz w:val="26"/>
                <w:rtl/>
              </w:rPr>
              <w:tab/>
              <w:t>מי שהורשע בעבירה שמפאת מהותה, חומרתה או נסיבותיה אין הוא ראוי, לדעת השרים, להיות בעל תפקיד כאמור בשותפות עם תאגיד שהוקם בחוק, או מי שתלוי ועומד נגדו הליך פלילי בשל עבירה כאמור;</w:t>
            </w:r>
          </w:p>
        </w:tc>
      </w:tr>
      <w:tr w:rsidR="00BF4529" w14:paraId="349A6740" w14:textId="77777777" w:rsidTr="00BF4529">
        <w:trPr>
          <w:cantSplit/>
        </w:trPr>
        <w:tc>
          <w:tcPr>
            <w:tcW w:w="1871" w:type="dxa"/>
            <w:tcMar>
              <w:top w:w="91" w:type="dxa"/>
              <w:left w:w="0" w:type="dxa"/>
              <w:bottom w:w="91" w:type="dxa"/>
              <w:right w:w="0" w:type="dxa"/>
            </w:tcMar>
          </w:tcPr>
          <w:p w14:paraId="0D49B6E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FFAE85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AFB6A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FE2FB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78F7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FC8B8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68D43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A3462F"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24C85610" w14:textId="77777777" w:rsidR="00BF4529" w:rsidRDefault="00BF4529" w:rsidP="00BF4529">
            <w:pPr>
              <w:pStyle w:val="TableBlock"/>
              <w:spacing w:before="0"/>
              <w:rPr>
                <w:sz w:val="26"/>
                <w:rtl/>
              </w:rPr>
            </w:pPr>
            <w:r>
              <w:rPr>
                <w:rFonts w:hint="cs"/>
                <w:sz w:val="26"/>
                <w:rtl/>
              </w:rPr>
              <w:t>(ב)</w:t>
            </w:r>
            <w:r>
              <w:rPr>
                <w:rFonts w:hint="cs"/>
                <w:sz w:val="26"/>
                <w:rtl/>
              </w:rPr>
              <w:tab/>
              <w:t>מי שהשרים, בהתייעצות עם היועץ המשפטי לממשלה, סבורים כי נפל פגם בכשירותו או במהימנותו.</w:t>
            </w:r>
          </w:p>
        </w:tc>
      </w:tr>
      <w:tr w:rsidR="00BF4529" w14:paraId="50C74CFA" w14:textId="77777777" w:rsidTr="00BF4529">
        <w:trPr>
          <w:cantSplit/>
        </w:trPr>
        <w:tc>
          <w:tcPr>
            <w:tcW w:w="1871" w:type="dxa"/>
            <w:tcMar>
              <w:top w:w="91" w:type="dxa"/>
              <w:left w:w="0" w:type="dxa"/>
              <w:bottom w:w="91" w:type="dxa"/>
              <w:right w:w="0" w:type="dxa"/>
            </w:tcMar>
          </w:tcPr>
          <w:p w14:paraId="2277C80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840D2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9DF7B3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D8789B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3BAC79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878F5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E940D19" w14:textId="77777777" w:rsidR="00BF4529" w:rsidRDefault="00BF4529" w:rsidP="00BF4529">
            <w:pPr>
              <w:pStyle w:val="TableBlock"/>
              <w:spacing w:before="0"/>
              <w:rPr>
                <w:sz w:val="26"/>
                <w:rtl/>
              </w:rPr>
            </w:pPr>
            <w:r>
              <w:rPr>
                <w:rFonts w:hint="cs"/>
                <w:sz w:val="26"/>
                <w:rtl/>
              </w:rPr>
              <w:t>(ב)</w:t>
            </w:r>
            <w:r>
              <w:rPr>
                <w:rFonts w:hint="cs"/>
                <w:sz w:val="26"/>
                <w:rtl/>
              </w:rPr>
              <w:tab/>
              <w:t>הרשות רשאית, במסגרת הפעלת מסלולי הטבות, להיות בעלת החזקות בשותף כללי בשותפות מוגבלת, באישור ראש הרשות, הממונה על התקציבים במשרד האוצר והחשב הכללי במשרד האוצר, ובלבד שהתקיימו בשותפות כל התנאים האמורים בסעיף קטן (א)(2) עד (4) וכן כל אלה:</w:t>
            </w:r>
          </w:p>
        </w:tc>
      </w:tr>
      <w:tr w:rsidR="00BF4529" w14:paraId="29D5276D" w14:textId="77777777" w:rsidTr="00BF4529">
        <w:trPr>
          <w:cantSplit/>
        </w:trPr>
        <w:tc>
          <w:tcPr>
            <w:tcW w:w="1871" w:type="dxa"/>
            <w:tcMar>
              <w:top w:w="91" w:type="dxa"/>
              <w:left w:w="0" w:type="dxa"/>
              <w:bottom w:w="91" w:type="dxa"/>
              <w:right w:w="0" w:type="dxa"/>
            </w:tcMar>
          </w:tcPr>
          <w:p w14:paraId="08E0E4F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6BBCE6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DE987D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0C9E0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16DCA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1C3E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8724EA"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FA00B10" w14:textId="77777777" w:rsidR="00BF4529" w:rsidRDefault="00BF4529" w:rsidP="00BF4529">
            <w:pPr>
              <w:pStyle w:val="TableBlock"/>
              <w:spacing w:before="0"/>
              <w:rPr>
                <w:sz w:val="26"/>
                <w:rtl/>
              </w:rPr>
            </w:pPr>
            <w:r>
              <w:rPr>
                <w:rFonts w:hint="cs"/>
                <w:sz w:val="26"/>
                <w:rtl/>
              </w:rPr>
              <w:t>(1)</w:t>
            </w:r>
            <w:r>
              <w:rPr>
                <w:rFonts w:hint="cs"/>
                <w:sz w:val="26"/>
                <w:rtl/>
              </w:rPr>
              <w:tab/>
              <w:t>הרשות לא תהיה בעלת שליטה בשותף הכללי, לא תחזיק במחצית או יותר מכוח ההצבעה באסיפה הכללית שלו ולא תהיה לה הזכות למנות מחצית או יותר ממספר הדירקטורים בו;</w:t>
            </w:r>
          </w:p>
        </w:tc>
      </w:tr>
      <w:tr w:rsidR="00BF4529" w14:paraId="24C938FF" w14:textId="77777777" w:rsidTr="00BF4529">
        <w:trPr>
          <w:cantSplit/>
        </w:trPr>
        <w:tc>
          <w:tcPr>
            <w:tcW w:w="1871" w:type="dxa"/>
            <w:tcMar>
              <w:top w:w="91" w:type="dxa"/>
              <w:left w:w="0" w:type="dxa"/>
              <w:bottom w:w="91" w:type="dxa"/>
              <w:right w:w="0" w:type="dxa"/>
            </w:tcMar>
          </w:tcPr>
          <w:p w14:paraId="7156466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5D8CEE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85CE1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D3FB9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BCFE8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D7C76E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E94B5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2FB1107" w14:textId="77777777" w:rsidR="00BF4529" w:rsidRDefault="00BF4529" w:rsidP="00BF4529">
            <w:pPr>
              <w:pStyle w:val="TableBlock"/>
              <w:spacing w:before="0"/>
              <w:rPr>
                <w:sz w:val="26"/>
                <w:rtl/>
              </w:rPr>
            </w:pPr>
            <w:r>
              <w:rPr>
                <w:rFonts w:hint="cs"/>
                <w:sz w:val="26"/>
                <w:rtl/>
              </w:rPr>
              <w:t>(2)</w:t>
            </w:r>
            <w:r>
              <w:rPr>
                <w:rFonts w:hint="cs"/>
                <w:sz w:val="26"/>
                <w:rtl/>
              </w:rPr>
              <w:tab/>
            </w:r>
            <w:r>
              <w:rPr>
                <w:rFonts w:hint="cs"/>
                <w:spacing w:val="-4"/>
                <w:sz w:val="26"/>
                <w:rtl/>
              </w:rPr>
              <w:t>היתה לרשות זכות למינוי דירקטור מטעמה בשותף הכללי כאמור, ימונה הדירקטור בידי המועצה לאחר התייעצות עם הוועדה לבדיקת מינויים כהגדרתה בחוק החברות הממשלתיות; על הדירקטור מטעם הרשות יחולו ההוראות לפי פרק ג' לחוק החברות הממשלתיות, בשינויים המחויבים;</w:t>
            </w:r>
          </w:p>
        </w:tc>
      </w:tr>
      <w:tr w:rsidR="00BF4529" w14:paraId="21E7B7EE" w14:textId="77777777" w:rsidTr="00BF4529">
        <w:trPr>
          <w:cantSplit/>
        </w:trPr>
        <w:tc>
          <w:tcPr>
            <w:tcW w:w="1871" w:type="dxa"/>
            <w:tcMar>
              <w:top w:w="91" w:type="dxa"/>
              <w:left w:w="0" w:type="dxa"/>
              <w:bottom w:w="91" w:type="dxa"/>
              <w:right w:w="0" w:type="dxa"/>
            </w:tcMar>
          </w:tcPr>
          <w:p w14:paraId="569C676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938A3C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F0DC3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3C332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82E9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369D4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A3BD9F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526F090" w14:textId="77777777" w:rsidR="00BF4529" w:rsidRDefault="00BF4529" w:rsidP="00BF4529">
            <w:pPr>
              <w:pStyle w:val="TableBlock"/>
              <w:spacing w:before="0"/>
              <w:rPr>
                <w:sz w:val="26"/>
                <w:rtl/>
              </w:rPr>
            </w:pPr>
            <w:r>
              <w:rPr>
                <w:rFonts w:hint="cs"/>
                <w:sz w:val="26"/>
                <w:rtl/>
              </w:rPr>
              <w:t>(3)</w:t>
            </w:r>
            <w:r>
              <w:rPr>
                <w:rFonts w:hint="cs"/>
                <w:sz w:val="26"/>
                <w:rtl/>
              </w:rPr>
              <w:tab/>
              <w:t>הרשות תהיה רשאית לדרוש מדירקטור מטעמה בשותף הכללי, מידע ומסמכים בענייני השותפות.</w:t>
            </w:r>
          </w:p>
        </w:tc>
      </w:tr>
      <w:tr w:rsidR="00BF4529" w14:paraId="1F89ED68" w14:textId="77777777" w:rsidTr="00BF4529">
        <w:trPr>
          <w:cantSplit/>
        </w:trPr>
        <w:tc>
          <w:tcPr>
            <w:tcW w:w="1871" w:type="dxa"/>
            <w:tcMar>
              <w:top w:w="91" w:type="dxa"/>
              <w:left w:w="0" w:type="dxa"/>
              <w:bottom w:w="91" w:type="dxa"/>
              <w:right w:w="0" w:type="dxa"/>
            </w:tcMar>
          </w:tcPr>
          <w:p w14:paraId="5187E35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529CE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FF2901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8F847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7D9EAE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165F30"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B4E8D27" w14:textId="77777777" w:rsidR="00BF4529" w:rsidRDefault="00BF4529" w:rsidP="00BF4529">
            <w:pPr>
              <w:pStyle w:val="TableBlock"/>
              <w:spacing w:before="0"/>
              <w:rPr>
                <w:sz w:val="26"/>
                <w:rtl/>
              </w:rPr>
            </w:pPr>
            <w:r>
              <w:rPr>
                <w:rFonts w:hint="cs"/>
                <w:sz w:val="26"/>
                <w:rtl/>
              </w:rPr>
              <w:t>(ג)</w:t>
            </w:r>
            <w:r>
              <w:rPr>
                <w:rFonts w:hint="cs"/>
                <w:sz w:val="26"/>
                <w:rtl/>
              </w:rPr>
              <w:tab/>
              <w:t xml:space="preserve">ביקשה הרשות להפעיל מסלול הטבות שבמסגרתו תהפוך לשותף מוגבל או לבעלת החזקות בשותף כללי כאמור בסעיף זה, יחולו לגביו כל אלה: </w:t>
            </w:r>
          </w:p>
        </w:tc>
      </w:tr>
      <w:tr w:rsidR="00BF4529" w14:paraId="400ED3DE" w14:textId="77777777" w:rsidTr="00BF4529">
        <w:trPr>
          <w:cantSplit/>
          <w:trHeight w:val="60"/>
        </w:trPr>
        <w:tc>
          <w:tcPr>
            <w:tcW w:w="1871" w:type="dxa"/>
          </w:tcPr>
          <w:p w14:paraId="09657943" w14:textId="77777777" w:rsidR="00BF4529" w:rsidRDefault="00BF4529" w:rsidP="00BF4529">
            <w:pPr>
              <w:pStyle w:val="TableSideHeading"/>
              <w:spacing w:before="0"/>
              <w:jc w:val="left"/>
              <w:rPr>
                <w:rtl/>
              </w:rPr>
            </w:pPr>
          </w:p>
        </w:tc>
        <w:tc>
          <w:tcPr>
            <w:tcW w:w="624" w:type="dxa"/>
          </w:tcPr>
          <w:p w14:paraId="14E9C7F3" w14:textId="77777777" w:rsidR="00BF4529" w:rsidRDefault="00BF4529" w:rsidP="00BF4529">
            <w:pPr>
              <w:pStyle w:val="TableText"/>
              <w:spacing w:before="0"/>
            </w:pPr>
          </w:p>
        </w:tc>
        <w:tc>
          <w:tcPr>
            <w:tcW w:w="624" w:type="dxa"/>
          </w:tcPr>
          <w:p w14:paraId="67A86920" w14:textId="77777777" w:rsidR="00BF4529" w:rsidRDefault="00BF4529" w:rsidP="00BF4529">
            <w:pPr>
              <w:pStyle w:val="TableText"/>
              <w:spacing w:before="0"/>
            </w:pPr>
          </w:p>
        </w:tc>
        <w:tc>
          <w:tcPr>
            <w:tcW w:w="624" w:type="dxa"/>
          </w:tcPr>
          <w:p w14:paraId="42D5E523" w14:textId="77777777" w:rsidR="00BF4529" w:rsidRDefault="00BF4529" w:rsidP="00BF4529">
            <w:pPr>
              <w:pStyle w:val="TableText"/>
              <w:spacing w:before="0"/>
            </w:pPr>
          </w:p>
        </w:tc>
        <w:tc>
          <w:tcPr>
            <w:tcW w:w="624" w:type="dxa"/>
          </w:tcPr>
          <w:p w14:paraId="22C45ADD" w14:textId="77777777" w:rsidR="00BF4529" w:rsidRDefault="00BF4529" w:rsidP="00BF4529">
            <w:pPr>
              <w:pStyle w:val="TableText"/>
              <w:spacing w:before="0"/>
            </w:pPr>
          </w:p>
        </w:tc>
        <w:tc>
          <w:tcPr>
            <w:tcW w:w="624" w:type="dxa"/>
          </w:tcPr>
          <w:p w14:paraId="61DEA062" w14:textId="77777777" w:rsidR="00BF4529" w:rsidRDefault="00BF4529" w:rsidP="00BF4529">
            <w:pPr>
              <w:pStyle w:val="TableText"/>
              <w:spacing w:before="0"/>
            </w:pPr>
          </w:p>
        </w:tc>
        <w:tc>
          <w:tcPr>
            <w:tcW w:w="624" w:type="dxa"/>
          </w:tcPr>
          <w:p w14:paraId="34BBB01C" w14:textId="77777777" w:rsidR="00BF4529" w:rsidRDefault="00BF4529" w:rsidP="00BF4529">
            <w:pPr>
              <w:pStyle w:val="TableText"/>
              <w:spacing w:before="0"/>
            </w:pPr>
          </w:p>
        </w:tc>
        <w:tc>
          <w:tcPr>
            <w:tcW w:w="4026" w:type="dxa"/>
            <w:gridSpan w:val="2"/>
            <w:hideMark/>
          </w:tcPr>
          <w:p w14:paraId="1F5FFA37" w14:textId="77777777" w:rsidR="00BF4529" w:rsidRDefault="00BF4529" w:rsidP="00BF4529">
            <w:pPr>
              <w:pStyle w:val="TableBlock"/>
              <w:spacing w:before="0"/>
            </w:pPr>
            <w:r>
              <w:rPr>
                <w:rFonts w:hint="cs"/>
                <w:rtl/>
              </w:rPr>
              <w:t>(1)</w:t>
            </w:r>
            <w:r>
              <w:rPr>
                <w:rFonts w:hint="cs"/>
                <w:rtl/>
              </w:rPr>
              <w:tab/>
            </w:r>
            <w:r>
              <w:rPr>
                <w:rFonts w:hint="cs"/>
                <w:sz w:val="26"/>
                <w:rtl/>
              </w:rPr>
              <w:t>הרשות תמסור הודעה על כך להתאחדות התעשיינים, לגופים מרכזיים נוספים בתעשייה הנוגעת למסלול ההטבות שקבעה המועצה ולגופים כאמור הפועלים גם בתחום קרנות הון סיכון, ואלה יוכלו להעביר לרשות את עמדתם בתוך 14 ימים מיום מקבלת הודעת הרשות כאמור; הועברו לרשות כאמור עמדות הגופים האמורים, יובאו לפני המועצה והשרים בטרם יקבלו החלטה בעניין;</w:t>
            </w:r>
          </w:p>
        </w:tc>
      </w:tr>
      <w:tr w:rsidR="00BF4529" w14:paraId="3B5117E9" w14:textId="77777777" w:rsidTr="00BF4529">
        <w:trPr>
          <w:cantSplit/>
          <w:trHeight w:val="60"/>
        </w:trPr>
        <w:tc>
          <w:tcPr>
            <w:tcW w:w="1871" w:type="dxa"/>
          </w:tcPr>
          <w:p w14:paraId="13E2B4DB" w14:textId="77777777" w:rsidR="00BF4529" w:rsidRDefault="00BF4529" w:rsidP="00BF4529">
            <w:pPr>
              <w:pStyle w:val="TableSideHeading"/>
              <w:spacing w:before="0"/>
              <w:jc w:val="left"/>
              <w:rPr>
                <w:rtl/>
              </w:rPr>
            </w:pPr>
          </w:p>
        </w:tc>
        <w:tc>
          <w:tcPr>
            <w:tcW w:w="624" w:type="dxa"/>
          </w:tcPr>
          <w:p w14:paraId="7B40FACA" w14:textId="77777777" w:rsidR="00BF4529" w:rsidRDefault="00BF4529" w:rsidP="00BF4529">
            <w:pPr>
              <w:pStyle w:val="TableText"/>
              <w:spacing w:before="0"/>
              <w:rPr>
                <w:rtl/>
              </w:rPr>
            </w:pPr>
          </w:p>
        </w:tc>
        <w:tc>
          <w:tcPr>
            <w:tcW w:w="624" w:type="dxa"/>
          </w:tcPr>
          <w:p w14:paraId="06E2114C" w14:textId="77777777" w:rsidR="00BF4529" w:rsidRDefault="00BF4529" w:rsidP="00BF4529">
            <w:pPr>
              <w:pStyle w:val="TableText"/>
              <w:spacing w:before="0"/>
            </w:pPr>
          </w:p>
        </w:tc>
        <w:tc>
          <w:tcPr>
            <w:tcW w:w="624" w:type="dxa"/>
          </w:tcPr>
          <w:p w14:paraId="29BE321B" w14:textId="77777777" w:rsidR="00BF4529" w:rsidRDefault="00BF4529" w:rsidP="00BF4529">
            <w:pPr>
              <w:pStyle w:val="TableText"/>
              <w:spacing w:before="0"/>
            </w:pPr>
          </w:p>
        </w:tc>
        <w:tc>
          <w:tcPr>
            <w:tcW w:w="624" w:type="dxa"/>
          </w:tcPr>
          <w:p w14:paraId="0094F0B5" w14:textId="77777777" w:rsidR="00BF4529" w:rsidRDefault="00BF4529" w:rsidP="00BF4529">
            <w:pPr>
              <w:pStyle w:val="TableText"/>
              <w:spacing w:before="0"/>
            </w:pPr>
          </w:p>
        </w:tc>
        <w:tc>
          <w:tcPr>
            <w:tcW w:w="624" w:type="dxa"/>
          </w:tcPr>
          <w:p w14:paraId="6CE2FA63" w14:textId="77777777" w:rsidR="00BF4529" w:rsidRDefault="00BF4529" w:rsidP="00BF4529">
            <w:pPr>
              <w:pStyle w:val="TableText"/>
              <w:spacing w:before="0"/>
            </w:pPr>
          </w:p>
        </w:tc>
        <w:tc>
          <w:tcPr>
            <w:tcW w:w="624" w:type="dxa"/>
          </w:tcPr>
          <w:p w14:paraId="5AAC8F5E" w14:textId="77777777" w:rsidR="00BF4529" w:rsidRDefault="00BF4529" w:rsidP="00BF4529">
            <w:pPr>
              <w:pStyle w:val="TableText"/>
              <w:spacing w:before="0"/>
            </w:pPr>
          </w:p>
        </w:tc>
        <w:tc>
          <w:tcPr>
            <w:tcW w:w="4026" w:type="dxa"/>
            <w:gridSpan w:val="2"/>
            <w:hideMark/>
          </w:tcPr>
          <w:p w14:paraId="2904E1A4" w14:textId="77777777" w:rsidR="00BF4529" w:rsidRDefault="00BF4529" w:rsidP="00BF4529">
            <w:pPr>
              <w:pStyle w:val="TableBlock"/>
              <w:spacing w:before="0"/>
            </w:pPr>
            <w:r>
              <w:rPr>
                <w:rFonts w:hint="cs"/>
                <w:rtl/>
              </w:rPr>
              <w:t>(2)</w:t>
            </w:r>
            <w:r>
              <w:rPr>
                <w:rFonts w:hint="cs"/>
                <w:rtl/>
              </w:rPr>
              <w:tab/>
              <w:t>התקציב למסלול ההטבות האמור יהיה תוספת לתקציב הרשות כפי שאושר בחוק התקציב השנתי לאותה שנה;</w:t>
            </w:r>
          </w:p>
        </w:tc>
      </w:tr>
      <w:tr w:rsidR="00BF4529" w14:paraId="32B9295E" w14:textId="77777777" w:rsidTr="00BF4529">
        <w:trPr>
          <w:cantSplit/>
          <w:trHeight w:val="60"/>
        </w:trPr>
        <w:tc>
          <w:tcPr>
            <w:tcW w:w="1871" w:type="dxa"/>
          </w:tcPr>
          <w:p w14:paraId="310F1C7D" w14:textId="77777777" w:rsidR="00BF4529" w:rsidRDefault="00BF4529" w:rsidP="00BF4529">
            <w:pPr>
              <w:pStyle w:val="TableSideHeading"/>
              <w:spacing w:before="0"/>
              <w:jc w:val="left"/>
              <w:rPr>
                <w:rtl/>
              </w:rPr>
            </w:pPr>
          </w:p>
        </w:tc>
        <w:tc>
          <w:tcPr>
            <w:tcW w:w="624" w:type="dxa"/>
          </w:tcPr>
          <w:p w14:paraId="2BC4AEE5" w14:textId="77777777" w:rsidR="00BF4529" w:rsidRDefault="00BF4529" w:rsidP="00BF4529">
            <w:pPr>
              <w:pStyle w:val="TableText"/>
              <w:spacing w:before="0"/>
              <w:rPr>
                <w:rtl/>
              </w:rPr>
            </w:pPr>
          </w:p>
        </w:tc>
        <w:tc>
          <w:tcPr>
            <w:tcW w:w="624" w:type="dxa"/>
          </w:tcPr>
          <w:p w14:paraId="3376459C" w14:textId="77777777" w:rsidR="00BF4529" w:rsidRDefault="00BF4529" w:rsidP="00BF4529">
            <w:pPr>
              <w:pStyle w:val="TableText"/>
              <w:spacing w:before="0"/>
            </w:pPr>
          </w:p>
        </w:tc>
        <w:tc>
          <w:tcPr>
            <w:tcW w:w="624" w:type="dxa"/>
          </w:tcPr>
          <w:p w14:paraId="5B5930E9" w14:textId="77777777" w:rsidR="00BF4529" w:rsidRDefault="00BF4529" w:rsidP="00BF4529">
            <w:pPr>
              <w:pStyle w:val="TableText"/>
              <w:spacing w:before="0"/>
            </w:pPr>
          </w:p>
        </w:tc>
        <w:tc>
          <w:tcPr>
            <w:tcW w:w="624" w:type="dxa"/>
          </w:tcPr>
          <w:p w14:paraId="07B6402D" w14:textId="77777777" w:rsidR="00BF4529" w:rsidRDefault="00BF4529" w:rsidP="00BF4529">
            <w:pPr>
              <w:pStyle w:val="TableText"/>
              <w:spacing w:before="0"/>
            </w:pPr>
          </w:p>
        </w:tc>
        <w:tc>
          <w:tcPr>
            <w:tcW w:w="624" w:type="dxa"/>
          </w:tcPr>
          <w:p w14:paraId="75C8B68A" w14:textId="77777777" w:rsidR="00BF4529" w:rsidRDefault="00BF4529" w:rsidP="00BF4529">
            <w:pPr>
              <w:pStyle w:val="TableText"/>
              <w:spacing w:before="0"/>
            </w:pPr>
          </w:p>
        </w:tc>
        <w:tc>
          <w:tcPr>
            <w:tcW w:w="624" w:type="dxa"/>
          </w:tcPr>
          <w:p w14:paraId="300FD52E" w14:textId="77777777" w:rsidR="00BF4529" w:rsidRDefault="00BF4529" w:rsidP="00BF4529">
            <w:pPr>
              <w:pStyle w:val="TableText"/>
              <w:spacing w:before="0"/>
            </w:pPr>
          </w:p>
        </w:tc>
        <w:tc>
          <w:tcPr>
            <w:tcW w:w="4026" w:type="dxa"/>
            <w:gridSpan w:val="2"/>
            <w:hideMark/>
          </w:tcPr>
          <w:p w14:paraId="6A7201BA" w14:textId="77777777" w:rsidR="00BF4529" w:rsidRDefault="00BF4529" w:rsidP="00BF4529">
            <w:pPr>
              <w:pStyle w:val="TableBlock"/>
              <w:spacing w:before="0"/>
            </w:pPr>
            <w:r>
              <w:rPr>
                <w:rFonts w:hint="cs"/>
                <w:rtl/>
              </w:rPr>
              <w:t>(3)</w:t>
            </w:r>
            <w:r>
              <w:rPr>
                <w:rFonts w:hint="cs"/>
                <w:rtl/>
              </w:rPr>
              <w:tab/>
              <w:t>סך התקציב למסלול ההטבות כאמור בשנה נתונה לא יעלה על 10 אחוזים מסך תקציב ההרשאה של הרשות שבחוק התקציב השנתי לאותה שנה; על אף האמור, ככל שלא ניתנה תוספת בשיעור האמור בשנתיים שקדמו לאותה שנה או שניתנה תוספת כאמור אך לא נוצלה באחת מאותן שנים, ניתן יהיה להקצות תוספת תקציב למסלול הטבות כאמור בפסקה (2) בסכום מצטבר עד לסך התקציבים שניתן היה להקצות בכל אחת מאותן שנים ולא נוצלו כאמור.</w:t>
            </w:r>
          </w:p>
        </w:tc>
      </w:tr>
      <w:tr w:rsidR="00BF4529" w14:paraId="14AA8F63" w14:textId="77777777" w:rsidTr="00BF4529">
        <w:trPr>
          <w:cantSplit/>
        </w:trPr>
        <w:tc>
          <w:tcPr>
            <w:tcW w:w="1871" w:type="dxa"/>
            <w:tcMar>
              <w:top w:w="91" w:type="dxa"/>
              <w:left w:w="0" w:type="dxa"/>
              <w:bottom w:w="91" w:type="dxa"/>
              <w:right w:w="0" w:type="dxa"/>
            </w:tcMar>
          </w:tcPr>
          <w:p w14:paraId="0474CB1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FA050A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42F6F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08B1C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98EF8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62A6F93"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5075090" w14:textId="77777777" w:rsidR="00BF4529" w:rsidRDefault="00BF4529" w:rsidP="00BF4529">
            <w:pPr>
              <w:pStyle w:val="TableBlock"/>
              <w:spacing w:before="0"/>
              <w:rPr>
                <w:sz w:val="26"/>
                <w:rtl/>
              </w:rPr>
            </w:pPr>
            <w:r>
              <w:rPr>
                <w:rFonts w:hint="cs"/>
                <w:sz w:val="26"/>
                <w:rtl/>
              </w:rPr>
              <w:t>(ד)</w:t>
            </w:r>
            <w:r>
              <w:rPr>
                <w:rFonts w:hint="cs"/>
                <w:sz w:val="26"/>
                <w:rtl/>
              </w:rPr>
              <w:tab/>
              <w:t>המגבלה על רכישת מניות בידי הרשות כאמור בסעיף 5א(א)(3), לא תחול לעניין שותפות לפי סעיף זה.</w:t>
            </w:r>
          </w:p>
        </w:tc>
      </w:tr>
      <w:tr w:rsidR="00BF4529" w14:paraId="0820BB70" w14:textId="77777777" w:rsidTr="00BF4529">
        <w:trPr>
          <w:cantSplit/>
        </w:trPr>
        <w:tc>
          <w:tcPr>
            <w:tcW w:w="1871" w:type="dxa"/>
            <w:tcMar>
              <w:top w:w="91" w:type="dxa"/>
              <w:left w:w="0" w:type="dxa"/>
              <w:bottom w:w="91" w:type="dxa"/>
              <w:right w:w="0" w:type="dxa"/>
            </w:tcMar>
          </w:tcPr>
          <w:p w14:paraId="6E4B921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430875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C5391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2B5C4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7FE97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2CFDC8"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210C349" w14:textId="77777777" w:rsidR="00BF4529" w:rsidRDefault="00BF4529" w:rsidP="00BF4529">
            <w:pPr>
              <w:pStyle w:val="TableBlock"/>
              <w:spacing w:before="0"/>
              <w:rPr>
                <w:sz w:val="26"/>
                <w:rtl/>
              </w:rPr>
            </w:pPr>
            <w:r>
              <w:rPr>
                <w:rFonts w:hint="cs"/>
                <w:sz w:val="26"/>
                <w:rtl/>
              </w:rPr>
              <w:t>(ה)</w:t>
            </w:r>
            <w:r>
              <w:rPr>
                <w:rFonts w:hint="cs"/>
                <w:sz w:val="26"/>
                <w:rtl/>
              </w:rPr>
              <w:tab/>
              <w:t>לעניין מכירת החזקות הרשות בשותפות המוגבלת, בין החזקותיה כשותפה מוגבלת ובין החזקותיה בשותף הכללי, יחולו הוראות אלה:</w:t>
            </w:r>
          </w:p>
        </w:tc>
      </w:tr>
      <w:tr w:rsidR="00BF4529" w14:paraId="4CF699D6" w14:textId="77777777" w:rsidTr="00BF4529">
        <w:trPr>
          <w:cantSplit/>
        </w:trPr>
        <w:tc>
          <w:tcPr>
            <w:tcW w:w="1871" w:type="dxa"/>
            <w:tcMar>
              <w:top w:w="91" w:type="dxa"/>
              <w:left w:w="0" w:type="dxa"/>
              <w:bottom w:w="91" w:type="dxa"/>
              <w:right w:w="0" w:type="dxa"/>
            </w:tcMar>
          </w:tcPr>
          <w:p w14:paraId="6AC36B2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5F2FBE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B7B2D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5523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3CB1F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8502E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CC9F5A"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909EDDA" w14:textId="77777777" w:rsidR="00BF4529" w:rsidRDefault="00BF4529" w:rsidP="00BF4529">
            <w:pPr>
              <w:pStyle w:val="TableBlock"/>
              <w:spacing w:before="0"/>
              <w:rPr>
                <w:sz w:val="26"/>
                <w:rtl/>
              </w:rPr>
            </w:pPr>
            <w:r>
              <w:rPr>
                <w:rFonts w:hint="cs"/>
                <w:sz w:val="26"/>
                <w:rtl/>
              </w:rPr>
              <w:t>(1)</w:t>
            </w:r>
            <w:r>
              <w:rPr>
                <w:rFonts w:hint="cs"/>
                <w:sz w:val="26"/>
                <w:rtl/>
              </w:rPr>
              <w:tab/>
              <w:t>החלטה על מכירה כאמור תתקבל בידי ועדת הנכסים של הרשות, באישור המועצה;</w:t>
            </w:r>
          </w:p>
        </w:tc>
      </w:tr>
      <w:tr w:rsidR="00BF4529" w14:paraId="310DF3D1" w14:textId="77777777" w:rsidTr="00BF4529">
        <w:trPr>
          <w:cantSplit/>
        </w:trPr>
        <w:tc>
          <w:tcPr>
            <w:tcW w:w="1871" w:type="dxa"/>
            <w:tcMar>
              <w:top w:w="91" w:type="dxa"/>
              <w:left w:w="0" w:type="dxa"/>
              <w:bottom w:w="91" w:type="dxa"/>
              <w:right w:w="0" w:type="dxa"/>
            </w:tcMar>
          </w:tcPr>
          <w:p w14:paraId="2B78982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C731D1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2ECE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B1D6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7A3CA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759E5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488157"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196CB9C" w14:textId="77777777" w:rsidR="00BF4529" w:rsidRDefault="00BF4529" w:rsidP="00BF4529">
            <w:pPr>
              <w:pStyle w:val="TableBlock"/>
              <w:spacing w:before="0"/>
              <w:rPr>
                <w:sz w:val="26"/>
                <w:rtl/>
              </w:rPr>
            </w:pPr>
            <w:r>
              <w:rPr>
                <w:rFonts w:hint="cs"/>
                <w:sz w:val="26"/>
                <w:rtl/>
              </w:rPr>
              <w:t>(2)</w:t>
            </w:r>
            <w:r>
              <w:rPr>
                <w:rFonts w:hint="cs"/>
                <w:sz w:val="26"/>
                <w:rtl/>
              </w:rPr>
              <w:tab/>
              <w:t>הליך המכירה יהיה תחרותי, שוויוני ושקוף, אלא אם כן נקבעו בהסכם השותפות הוראות המעניקות יתרונות לשותף הכללי או לשותף מוגבל אחר.</w:t>
            </w:r>
          </w:p>
        </w:tc>
      </w:tr>
      <w:tr w:rsidR="00BF4529" w14:paraId="3AB84215" w14:textId="77777777" w:rsidTr="00BF4529">
        <w:trPr>
          <w:cantSplit/>
        </w:trPr>
        <w:tc>
          <w:tcPr>
            <w:tcW w:w="1871" w:type="dxa"/>
            <w:tcMar>
              <w:top w:w="91" w:type="dxa"/>
              <w:left w:w="0" w:type="dxa"/>
              <w:bottom w:w="91" w:type="dxa"/>
              <w:right w:w="0" w:type="dxa"/>
            </w:tcMar>
          </w:tcPr>
          <w:p w14:paraId="7F4F721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5D8BC0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B2A3D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E43A77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7CB44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F1D1A81"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2A8E935E" w14:textId="77777777" w:rsidR="00BF4529" w:rsidRDefault="00BF4529" w:rsidP="00BF4529">
            <w:pPr>
              <w:pStyle w:val="TableBlock"/>
              <w:spacing w:before="0"/>
              <w:rPr>
                <w:sz w:val="26"/>
                <w:rtl/>
              </w:rPr>
            </w:pPr>
            <w:r>
              <w:rPr>
                <w:rFonts w:hint="cs"/>
                <w:sz w:val="26"/>
                <w:rtl/>
              </w:rPr>
              <w:t>(ו)</w:t>
            </w:r>
            <w:r>
              <w:rPr>
                <w:rFonts w:hint="cs"/>
                <w:sz w:val="26"/>
                <w:rtl/>
              </w:rPr>
              <w:tab/>
              <w:t>בסעיף זה, "שותף כללי", "שותף מוגבל", "שותפות מוגבלת" – כמשמעותם בפקודת השותפויות [נוסח חדש], התשל"ה–1975‏</w:t>
            </w:r>
            <w:r>
              <w:rPr>
                <w:rStyle w:val="ab"/>
                <w:rFonts w:hAnsi="HadasaMFO"/>
                <w:sz w:val="26"/>
                <w:rtl/>
              </w:rPr>
              <w:footnoteReference w:id="21"/>
            </w:r>
            <w:r>
              <w:rPr>
                <w:rFonts w:hint="cs"/>
                <w:sz w:val="26"/>
                <w:rtl/>
              </w:rPr>
              <w:t>.</w:t>
            </w:r>
          </w:p>
        </w:tc>
      </w:tr>
      <w:tr w:rsidR="00BF4529" w14:paraId="5854ABDC" w14:textId="77777777" w:rsidTr="00BF4529">
        <w:trPr>
          <w:cantSplit/>
        </w:trPr>
        <w:tc>
          <w:tcPr>
            <w:tcW w:w="1871" w:type="dxa"/>
            <w:tcMar>
              <w:top w:w="91" w:type="dxa"/>
              <w:left w:w="0" w:type="dxa"/>
              <w:bottom w:w="91" w:type="dxa"/>
              <w:right w:w="0" w:type="dxa"/>
            </w:tcMar>
          </w:tcPr>
          <w:p w14:paraId="49CBFDA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CF3B06"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6182DF7" w14:textId="77777777" w:rsidR="00BF4529" w:rsidRDefault="00BF4529" w:rsidP="00BF4529">
            <w:pPr>
              <w:pStyle w:val="TableInnerSideHeading"/>
              <w:spacing w:before="0"/>
              <w:jc w:val="left"/>
              <w:rPr>
                <w:sz w:val="26"/>
                <w:rtl/>
              </w:rPr>
            </w:pPr>
            <w:r>
              <w:rPr>
                <w:rFonts w:hint="cs"/>
                <w:sz w:val="26"/>
                <w:rtl/>
              </w:rPr>
              <w:t>הסדרים לעניין הבעלות על הידע</w:t>
            </w:r>
          </w:p>
        </w:tc>
        <w:tc>
          <w:tcPr>
            <w:tcW w:w="624" w:type="dxa"/>
            <w:tcMar>
              <w:top w:w="91" w:type="dxa"/>
              <w:left w:w="0" w:type="dxa"/>
              <w:bottom w:w="91" w:type="dxa"/>
              <w:right w:w="0" w:type="dxa"/>
            </w:tcMar>
            <w:hideMark/>
          </w:tcPr>
          <w:p w14:paraId="18A8664D" w14:textId="77777777" w:rsidR="00BF4529" w:rsidRDefault="00BF4529" w:rsidP="00BF4529">
            <w:pPr>
              <w:pStyle w:val="TableText"/>
              <w:spacing w:before="0"/>
              <w:rPr>
                <w:sz w:val="26"/>
                <w:rtl/>
              </w:rPr>
            </w:pPr>
            <w:r>
              <w:rPr>
                <w:rFonts w:hint="cs"/>
                <w:sz w:val="26"/>
                <w:rtl/>
              </w:rPr>
              <w:t>15לט.</w:t>
            </w:r>
          </w:p>
        </w:tc>
        <w:tc>
          <w:tcPr>
            <w:tcW w:w="4650" w:type="dxa"/>
            <w:gridSpan w:val="3"/>
            <w:tcMar>
              <w:top w:w="91" w:type="dxa"/>
              <w:left w:w="0" w:type="dxa"/>
              <w:bottom w:w="91" w:type="dxa"/>
              <w:right w:w="0" w:type="dxa"/>
            </w:tcMar>
            <w:hideMark/>
          </w:tcPr>
          <w:p w14:paraId="0F695E55" w14:textId="77777777" w:rsidR="00BF4529" w:rsidRDefault="00BF4529" w:rsidP="00BF4529">
            <w:pPr>
              <w:pStyle w:val="TableBlock"/>
              <w:spacing w:before="0"/>
              <w:rPr>
                <w:sz w:val="26"/>
                <w:rtl/>
              </w:rPr>
            </w:pPr>
            <w:r>
              <w:rPr>
                <w:rFonts w:hint="cs"/>
                <w:sz w:val="26"/>
                <w:rtl/>
              </w:rPr>
              <w:t>(א)</w:t>
            </w:r>
            <w:r>
              <w:rPr>
                <w:rFonts w:hint="cs"/>
                <w:sz w:val="26"/>
                <w:rtl/>
              </w:rPr>
              <w:tab/>
              <w:t xml:space="preserve">המועצה רשאית לקבוע במסגרת מסלולי ההטבות כל הסדר בנוגע לדרישות בעלות על ידע וזכויות הנובעות ממנו, לרבות זכויות קניין רוחני. </w:t>
            </w:r>
          </w:p>
        </w:tc>
      </w:tr>
      <w:tr w:rsidR="00BF4529" w14:paraId="74E2BBA1" w14:textId="77777777" w:rsidTr="00BF4529">
        <w:trPr>
          <w:cantSplit/>
        </w:trPr>
        <w:tc>
          <w:tcPr>
            <w:tcW w:w="1871" w:type="dxa"/>
            <w:tcMar>
              <w:top w:w="91" w:type="dxa"/>
              <w:left w:w="0" w:type="dxa"/>
              <w:bottom w:w="91" w:type="dxa"/>
              <w:right w:w="0" w:type="dxa"/>
            </w:tcMar>
          </w:tcPr>
          <w:p w14:paraId="4351ED9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9157FF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8DA2D9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5131EE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94FD6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CA137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1A5974CE" w14:textId="74B4E3DF" w:rsidR="00BF4529" w:rsidRDefault="00BF4529" w:rsidP="00BF4529">
            <w:pPr>
              <w:pStyle w:val="TableBlock"/>
              <w:spacing w:before="0"/>
              <w:rPr>
                <w:sz w:val="26"/>
                <w:rtl/>
              </w:rPr>
            </w:pPr>
            <w:r>
              <w:rPr>
                <w:rFonts w:hint="cs"/>
                <w:sz w:val="26"/>
                <w:rtl/>
              </w:rPr>
              <w:t>(ב)</w:t>
            </w:r>
            <w:r>
              <w:rPr>
                <w:rFonts w:hint="cs"/>
                <w:sz w:val="26"/>
                <w:rtl/>
              </w:rPr>
              <w:tab/>
              <w:t>בקביעת הסדרים כאמור בסעיף קטן (א),</w:t>
            </w:r>
            <w:r w:rsidR="004B3434">
              <w:rPr>
                <w:rFonts w:hint="cs"/>
                <w:sz w:val="26"/>
                <w:rtl/>
              </w:rPr>
              <w:t xml:space="preserve"> </w:t>
            </w:r>
            <w:r>
              <w:rPr>
                <w:rFonts w:hint="cs"/>
                <w:sz w:val="26"/>
                <w:rtl/>
              </w:rPr>
              <w:t>תינתן עדיפות גבוהה להסדר שלפיו מקבל האישור כאמור בסעיף 17(ד) (בחוק זה – מקבל ההטבה) יידרש להיות בעלים בידע ובזכויות הנובעות ממנו, לרבות זכויות הקניין הרוחני, או להסדר שבו תיקבע דרישה כי הידע והזכויות הנובעות ממנו, לרבות זכויות הקניין הרוחני, יהיו בבעלות תאגיד שהתאגד בישראל; קבעה המועצה הסדר כאמור, רשאית היא לקבוע את היקף הבעלות שתידרש ממקבל ההטבה או מהתאגיד כאמור ואת התנאים להעברתה לאחר בישראל או מחוצה לה, ואף לעניין זה תינתן עדיפות גבוהה להסדרים המבטיחים שהבעלות בידע או בזכויות הנובעות ממנו כאמור ייוותרו בידי אדם בישראל.</w:t>
            </w:r>
          </w:p>
        </w:tc>
      </w:tr>
      <w:tr w:rsidR="00BF4529" w14:paraId="65A83C77" w14:textId="77777777" w:rsidTr="00BF4529">
        <w:trPr>
          <w:cantSplit/>
        </w:trPr>
        <w:tc>
          <w:tcPr>
            <w:tcW w:w="1871" w:type="dxa"/>
            <w:tcMar>
              <w:top w:w="91" w:type="dxa"/>
              <w:left w:w="0" w:type="dxa"/>
              <w:bottom w:w="91" w:type="dxa"/>
              <w:right w:w="0" w:type="dxa"/>
            </w:tcMar>
          </w:tcPr>
          <w:p w14:paraId="3945038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7A6200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26696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BA77B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2A5B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09F88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890CA27" w14:textId="77777777" w:rsidR="00BF4529" w:rsidRDefault="00BF4529" w:rsidP="00BF4529">
            <w:pPr>
              <w:pStyle w:val="TableBlock"/>
              <w:spacing w:before="0"/>
              <w:rPr>
                <w:sz w:val="26"/>
                <w:rtl/>
              </w:rPr>
            </w:pPr>
            <w:r>
              <w:rPr>
                <w:rFonts w:hint="cs"/>
                <w:sz w:val="26"/>
                <w:rtl/>
              </w:rPr>
              <w:t>(ג)</w:t>
            </w:r>
            <w:r>
              <w:rPr>
                <w:rFonts w:hint="cs"/>
                <w:sz w:val="26"/>
                <w:rtl/>
              </w:rPr>
              <w:tab/>
              <w:t xml:space="preserve">בקביעת הסדרים כאמור בסעיף קטן (א) בנוגע למסלולים המפורטים להלן, לא יחולו הוראות סעיף קטן (ב) וקביעת ההסדרים תהיה טעונה התייעצות עם המועצה להשכלה גבוהה: </w:t>
            </w:r>
          </w:p>
        </w:tc>
      </w:tr>
      <w:tr w:rsidR="00BF4529" w14:paraId="01E25CDC" w14:textId="77777777" w:rsidTr="00BF4529">
        <w:trPr>
          <w:cantSplit/>
        </w:trPr>
        <w:tc>
          <w:tcPr>
            <w:tcW w:w="1871" w:type="dxa"/>
            <w:tcMar>
              <w:top w:w="91" w:type="dxa"/>
              <w:left w:w="0" w:type="dxa"/>
              <w:bottom w:w="91" w:type="dxa"/>
              <w:right w:w="0" w:type="dxa"/>
            </w:tcMar>
          </w:tcPr>
          <w:p w14:paraId="02249CA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199F9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AFCC7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6C24C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CC640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252F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695E031"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EC68B7E" w14:textId="77777777" w:rsidR="00BF4529" w:rsidRDefault="00BF4529" w:rsidP="00BF4529">
            <w:pPr>
              <w:pStyle w:val="TableBlock"/>
              <w:spacing w:before="0"/>
              <w:rPr>
                <w:sz w:val="26"/>
                <w:rtl/>
              </w:rPr>
            </w:pPr>
            <w:r>
              <w:rPr>
                <w:rFonts w:hint="cs"/>
                <w:sz w:val="26"/>
                <w:rtl/>
              </w:rPr>
              <w:t>(1)</w:t>
            </w:r>
            <w:r>
              <w:rPr>
                <w:rFonts w:hint="cs"/>
                <w:sz w:val="26"/>
                <w:rtl/>
              </w:rPr>
              <w:tab/>
              <w:t xml:space="preserve">מסלולי הטבות שאינם מסלולים ישנים, המיועדים בעיקר לתכניות המבוססות על מתן הרשאה או רישיון לשימוש בתוצרי פעילות חדשנות טכנולוגית מטעם מוסד להשכלה גבוהה; </w:t>
            </w:r>
          </w:p>
        </w:tc>
      </w:tr>
      <w:tr w:rsidR="00BF4529" w14:paraId="676A09E8" w14:textId="77777777" w:rsidTr="00BF4529">
        <w:trPr>
          <w:cantSplit/>
        </w:trPr>
        <w:tc>
          <w:tcPr>
            <w:tcW w:w="1871" w:type="dxa"/>
            <w:tcMar>
              <w:top w:w="91" w:type="dxa"/>
              <w:left w:w="0" w:type="dxa"/>
              <w:bottom w:w="91" w:type="dxa"/>
              <w:right w:w="0" w:type="dxa"/>
            </w:tcMar>
          </w:tcPr>
          <w:p w14:paraId="64110F9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D90832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054C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24E43C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8BF1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AA866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F3678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32D66EEB" w14:textId="77777777" w:rsidR="00BF4529" w:rsidRDefault="00BF4529" w:rsidP="00BF4529">
            <w:pPr>
              <w:pStyle w:val="TableBlock"/>
              <w:spacing w:before="0"/>
              <w:rPr>
                <w:sz w:val="26"/>
                <w:rtl/>
              </w:rPr>
            </w:pPr>
            <w:r>
              <w:rPr>
                <w:rFonts w:hint="cs"/>
                <w:sz w:val="26"/>
                <w:rtl/>
              </w:rPr>
              <w:t>(2)</w:t>
            </w:r>
            <w:r>
              <w:rPr>
                <w:rFonts w:hint="cs"/>
                <w:sz w:val="26"/>
                <w:rtl/>
              </w:rPr>
              <w:tab/>
              <w:t>מסלול חוק המו"פ, לעניין תכניות המבוססות על מתן הרשאה או רישיון כאמור בפסקה (1).</w:t>
            </w:r>
          </w:p>
        </w:tc>
      </w:tr>
      <w:tr w:rsidR="00BF4529" w14:paraId="66A52E1B" w14:textId="77777777" w:rsidTr="00BF4529">
        <w:trPr>
          <w:cantSplit/>
        </w:trPr>
        <w:tc>
          <w:tcPr>
            <w:tcW w:w="1871" w:type="dxa"/>
            <w:tcMar>
              <w:top w:w="91" w:type="dxa"/>
              <w:left w:w="0" w:type="dxa"/>
              <w:bottom w:w="91" w:type="dxa"/>
              <w:right w:w="0" w:type="dxa"/>
            </w:tcMar>
          </w:tcPr>
          <w:p w14:paraId="6A0AEFA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097F8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11ED6F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29351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2E5B2A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02A21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D10C011" w14:textId="77777777" w:rsidR="00BF4529" w:rsidRDefault="00BF4529" w:rsidP="00BF4529">
            <w:pPr>
              <w:pStyle w:val="TableBlock"/>
              <w:spacing w:before="0"/>
              <w:rPr>
                <w:sz w:val="26"/>
                <w:rtl/>
              </w:rPr>
            </w:pPr>
            <w:r>
              <w:rPr>
                <w:rFonts w:hint="cs"/>
                <w:sz w:val="26"/>
                <w:rtl/>
              </w:rPr>
              <w:t>(ד)</w:t>
            </w:r>
            <w:r>
              <w:rPr>
                <w:rFonts w:hint="cs"/>
                <w:sz w:val="26"/>
                <w:rtl/>
              </w:rPr>
              <w:tab/>
              <w:t xml:space="preserve">הוראות סעיף קטן (ב) לא יחולו בקביעת הסדרים כאמור בסעיף קטן (א) – </w:t>
            </w:r>
          </w:p>
        </w:tc>
      </w:tr>
      <w:tr w:rsidR="00BF4529" w14:paraId="14BFF60C" w14:textId="77777777" w:rsidTr="00BF4529">
        <w:trPr>
          <w:cantSplit/>
        </w:trPr>
        <w:tc>
          <w:tcPr>
            <w:tcW w:w="1871" w:type="dxa"/>
            <w:tcMar>
              <w:top w:w="91" w:type="dxa"/>
              <w:left w:w="0" w:type="dxa"/>
              <w:bottom w:w="91" w:type="dxa"/>
              <w:right w:w="0" w:type="dxa"/>
            </w:tcMar>
          </w:tcPr>
          <w:p w14:paraId="69E6B69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2F8D26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AD38D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6ABE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828081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CA0C0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3B531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AEE5858" w14:textId="77777777" w:rsidR="00BF4529" w:rsidRDefault="00BF4529" w:rsidP="00BF4529">
            <w:pPr>
              <w:pStyle w:val="TableBlock"/>
              <w:spacing w:before="0"/>
              <w:rPr>
                <w:sz w:val="26"/>
                <w:rtl/>
              </w:rPr>
            </w:pPr>
            <w:r>
              <w:rPr>
                <w:rFonts w:hint="cs"/>
                <w:sz w:val="26"/>
                <w:rtl/>
              </w:rPr>
              <w:t>(1)</w:t>
            </w:r>
            <w:r>
              <w:rPr>
                <w:rFonts w:hint="cs"/>
                <w:sz w:val="26"/>
                <w:rtl/>
              </w:rPr>
              <w:tab/>
              <w:t>בנוגע למסלולי הטבות שאינם מסלולים ישנים, המיועדים בעיקר לתכניות המבוססות על מתן הרשאה או רישיון לשימוש בתוצר פעילות חדשנות טכנולוגית מטעם בתי חולים, תאגידי בריאות כהגדרתם בסעיף 21 לחוק יסודות התקציב או מינהל המחקר החקלאי;</w:t>
            </w:r>
          </w:p>
        </w:tc>
      </w:tr>
      <w:tr w:rsidR="00BF4529" w14:paraId="43193AA1" w14:textId="77777777" w:rsidTr="00BF4529">
        <w:trPr>
          <w:cantSplit/>
        </w:trPr>
        <w:tc>
          <w:tcPr>
            <w:tcW w:w="1871" w:type="dxa"/>
            <w:tcMar>
              <w:top w:w="91" w:type="dxa"/>
              <w:left w:w="0" w:type="dxa"/>
              <w:bottom w:w="91" w:type="dxa"/>
              <w:right w:w="0" w:type="dxa"/>
            </w:tcMar>
          </w:tcPr>
          <w:p w14:paraId="234EE82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52DDA9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26CCC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8BFCC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6C9D7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E24CF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0AEFB64"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3EF017F" w14:textId="77777777" w:rsidR="00BF4529" w:rsidRDefault="00BF4529" w:rsidP="00BF4529">
            <w:pPr>
              <w:pStyle w:val="TableBlock"/>
              <w:spacing w:before="0"/>
              <w:rPr>
                <w:sz w:val="26"/>
                <w:rtl/>
              </w:rPr>
            </w:pPr>
            <w:r>
              <w:rPr>
                <w:rFonts w:hint="cs"/>
                <w:sz w:val="26"/>
                <w:rtl/>
              </w:rPr>
              <w:t>(2)</w:t>
            </w:r>
            <w:r>
              <w:rPr>
                <w:rFonts w:hint="cs"/>
                <w:sz w:val="26"/>
                <w:rtl/>
              </w:rPr>
              <w:tab/>
              <w:t>בנוגע למסלול חוק המו"פ, לעניין תכניות שמבוססות על מתן הרשאה או רישיון כאמור בפסקה (1).</w:t>
            </w:r>
          </w:p>
        </w:tc>
      </w:tr>
      <w:tr w:rsidR="00BF4529" w14:paraId="49A3C5B3" w14:textId="77777777" w:rsidTr="00BF4529">
        <w:trPr>
          <w:cantSplit/>
        </w:trPr>
        <w:tc>
          <w:tcPr>
            <w:tcW w:w="1871" w:type="dxa"/>
            <w:tcMar>
              <w:top w:w="91" w:type="dxa"/>
              <w:left w:w="0" w:type="dxa"/>
              <w:bottom w:w="91" w:type="dxa"/>
              <w:right w:w="0" w:type="dxa"/>
            </w:tcMar>
          </w:tcPr>
          <w:p w14:paraId="39EB15FE" w14:textId="77777777" w:rsidR="00BF4529" w:rsidRDefault="00BF4529" w:rsidP="00BF4529">
            <w:pPr>
              <w:pStyle w:val="TableSideHeading"/>
              <w:spacing w:before="0"/>
              <w:jc w:val="left"/>
              <w:rPr>
                <w:sz w:val="26"/>
                <w:highlight w:val="green"/>
                <w:rtl/>
              </w:rPr>
            </w:pPr>
          </w:p>
        </w:tc>
        <w:tc>
          <w:tcPr>
            <w:tcW w:w="624" w:type="dxa"/>
            <w:tcMar>
              <w:top w:w="91" w:type="dxa"/>
              <w:left w:w="0" w:type="dxa"/>
              <w:bottom w:w="91" w:type="dxa"/>
              <w:right w:w="0" w:type="dxa"/>
            </w:tcMar>
          </w:tcPr>
          <w:p w14:paraId="0AB79382"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3FA29AB9" w14:textId="77777777" w:rsidR="00BF4529" w:rsidRDefault="00BF4529" w:rsidP="00BF4529">
            <w:pPr>
              <w:pStyle w:val="TableInnerSideHeading"/>
              <w:spacing w:before="0"/>
              <w:jc w:val="left"/>
              <w:rPr>
                <w:sz w:val="26"/>
                <w:rtl/>
              </w:rPr>
            </w:pPr>
            <w:r>
              <w:rPr>
                <w:rFonts w:hint="cs"/>
                <w:sz w:val="26"/>
                <w:rtl/>
              </w:rPr>
              <w:t>הסדרים לעניין העברת הידע לאחר בישראל</w:t>
            </w:r>
          </w:p>
        </w:tc>
        <w:tc>
          <w:tcPr>
            <w:tcW w:w="624" w:type="dxa"/>
            <w:tcMar>
              <w:top w:w="91" w:type="dxa"/>
              <w:left w:w="0" w:type="dxa"/>
              <w:bottom w:w="91" w:type="dxa"/>
              <w:right w:w="0" w:type="dxa"/>
            </w:tcMar>
            <w:hideMark/>
          </w:tcPr>
          <w:p w14:paraId="5C168365" w14:textId="77777777" w:rsidR="00BF4529" w:rsidRDefault="00BF4529" w:rsidP="00BF4529">
            <w:pPr>
              <w:pStyle w:val="TableText"/>
              <w:spacing w:before="0"/>
              <w:rPr>
                <w:sz w:val="26"/>
                <w:rtl/>
              </w:rPr>
            </w:pPr>
            <w:r>
              <w:rPr>
                <w:rFonts w:hint="cs"/>
                <w:sz w:val="26"/>
                <w:rtl/>
              </w:rPr>
              <w:t>15מ.</w:t>
            </w:r>
          </w:p>
        </w:tc>
        <w:tc>
          <w:tcPr>
            <w:tcW w:w="4650" w:type="dxa"/>
            <w:gridSpan w:val="3"/>
            <w:tcMar>
              <w:top w:w="91" w:type="dxa"/>
              <w:left w:w="0" w:type="dxa"/>
              <w:bottom w:w="91" w:type="dxa"/>
              <w:right w:w="0" w:type="dxa"/>
            </w:tcMar>
            <w:hideMark/>
          </w:tcPr>
          <w:p w14:paraId="66BBB1E0" w14:textId="77777777" w:rsidR="00BF4529" w:rsidRDefault="00BF4529" w:rsidP="00BF4529">
            <w:pPr>
              <w:pStyle w:val="TableBlock"/>
              <w:spacing w:before="0"/>
              <w:rPr>
                <w:sz w:val="26"/>
                <w:rtl/>
              </w:rPr>
            </w:pPr>
            <w:r>
              <w:rPr>
                <w:rFonts w:hint="cs"/>
                <w:sz w:val="26"/>
                <w:rtl/>
              </w:rPr>
              <w:t xml:space="preserve">קבעה המועצה לגבי מסלול הטבות, הוראות לעניין דרישת בעלות על ידע וזכויות הנובעות ממנו, לרבות זכויות קניין רוחני, רשאית היא לקבוע כי הבעלים כאמור רשאי להעבירם לאחר בישראל, לרבות חשיפת הידע או גילויו לגורם אחר, ובלבד שיחולו על מקבל הידע והזכויות הנובעות ממנו, לרבות זכויות הקניין הרוחני, החובות החלות על הבעלים טרם העברתם כאמור, לפי חוק זה או לפי הוראות שקבעה המועצה, לפי העניין. </w:t>
            </w:r>
          </w:p>
        </w:tc>
      </w:tr>
      <w:tr w:rsidR="00BF4529" w14:paraId="75A6D16A" w14:textId="77777777" w:rsidTr="00BF4529">
        <w:trPr>
          <w:cantSplit/>
        </w:trPr>
        <w:tc>
          <w:tcPr>
            <w:tcW w:w="1871" w:type="dxa"/>
            <w:tcMar>
              <w:top w:w="91" w:type="dxa"/>
              <w:left w:w="0" w:type="dxa"/>
              <w:bottom w:w="91" w:type="dxa"/>
              <w:right w:w="0" w:type="dxa"/>
            </w:tcMar>
          </w:tcPr>
          <w:p w14:paraId="2AE4506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3EC3F61"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6948312C" w14:textId="77777777" w:rsidR="00BF4529" w:rsidRDefault="00BF4529" w:rsidP="00BF4529">
            <w:pPr>
              <w:pStyle w:val="TableInnerSideHeading"/>
              <w:spacing w:before="0"/>
              <w:jc w:val="left"/>
              <w:rPr>
                <w:sz w:val="26"/>
                <w:rtl/>
              </w:rPr>
            </w:pPr>
            <w:r>
              <w:rPr>
                <w:rFonts w:hint="cs"/>
                <w:sz w:val="26"/>
                <w:rtl/>
              </w:rPr>
              <w:t>העברת ידע אל מחוץ לישראל</w:t>
            </w:r>
          </w:p>
        </w:tc>
        <w:tc>
          <w:tcPr>
            <w:tcW w:w="624" w:type="dxa"/>
            <w:tcMar>
              <w:top w:w="91" w:type="dxa"/>
              <w:left w:w="0" w:type="dxa"/>
              <w:bottom w:w="91" w:type="dxa"/>
              <w:right w:w="0" w:type="dxa"/>
            </w:tcMar>
            <w:hideMark/>
          </w:tcPr>
          <w:p w14:paraId="11934306" w14:textId="77777777" w:rsidR="00BF4529" w:rsidRDefault="00BF4529" w:rsidP="00BF4529">
            <w:pPr>
              <w:pStyle w:val="TableText"/>
              <w:spacing w:before="0"/>
              <w:ind w:right="0"/>
              <w:rPr>
                <w:sz w:val="26"/>
                <w:rtl/>
              </w:rPr>
            </w:pPr>
            <w:r>
              <w:rPr>
                <w:rFonts w:hint="cs"/>
                <w:sz w:val="26"/>
                <w:rtl/>
              </w:rPr>
              <w:t>15מא.</w:t>
            </w:r>
          </w:p>
        </w:tc>
        <w:tc>
          <w:tcPr>
            <w:tcW w:w="4650" w:type="dxa"/>
            <w:gridSpan w:val="3"/>
            <w:tcMar>
              <w:top w:w="91" w:type="dxa"/>
              <w:left w:w="0" w:type="dxa"/>
              <w:bottom w:w="91" w:type="dxa"/>
              <w:right w:w="0" w:type="dxa"/>
            </w:tcMar>
            <w:hideMark/>
          </w:tcPr>
          <w:p w14:paraId="597EEF15" w14:textId="77777777" w:rsidR="00BF4529" w:rsidRDefault="00BF4529" w:rsidP="00BF4529">
            <w:pPr>
              <w:pStyle w:val="TableBlock"/>
              <w:spacing w:before="0"/>
              <w:rPr>
                <w:spacing w:val="-2"/>
                <w:rtl/>
              </w:rPr>
            </w:pPr>
            <w:r>
              <w:rPr>
                <w:rFonts w:hint="cs"/>
                <w:spacing w:val="-2"/>
                <w:rtl/>
              </w:rPr>
              <w:t>(א)</w:t>
            </w:r>
            <w:r>
              <w:rPr>
                <w:rFonts w:hint="cs"/>
                <w:spacing w:val="-2"/>
                <w:rtl/>
              </w:rPr>
              <w:tab/>
              <w:t>בלי לגרוע מהעדיפות שעל המועצה לתת להסדרים שיבטיחו את הבעלות בידע ובזכויות הנובעות ממנו בידי אדם בישראל בהתאם להוראות 15לט, קבעה המועצה לגבי מסלול הטבות, הוראות לעניין דרישת בעלות על ידע וזכויות הנובעות ממנו, לרבות זכויות קניין רוחני, רשאית היא, בין השאר –</w:t>
            </w:r>
          </w:p>
        </w:tc>
      </w:tr>
      <w:tr w:rsidR="00BF4529" w14:paraId="54B2EA5B" w14:textId="77777777" w:rsidTr="00BF4529">
        <w:trPr>
          <w:cantSplit/>
        </w:trPr>
        <w:tc>
          <w:tcPr>
            <w:tcW w:w="1871" w:type="dxa"/>
            <w:tcMar>
              <w:top w:w="91" w:type="dxa"/>
              <w:left w:w="0" w:type="dxa"/>
              <w:bottom w:w="91" w:type="dxa"/>
              <w:right w:w="0" w:type="dxa"/>
            </w:tcMar>
          </w:tcPr>
          <w:p w14:paraId="1BBCD914" w14:textId="77777777" w:rsidR="00BF4529" w:rsidRDefault="00BF4529" w:rsidP="00BF4529">
            <w:pPr>
              <w:pStyle w:val="TableSideHeading"/>
              <w:spacing w:before="0"/>
              <w:jc w:val="left"/>
              <w:rPr>
                <w:spacing w:val="0"/>
                <w:sz w:val="26"/>
                <w:rtl/>
              </w:rPr>
            </w:pPr>
          </w:p>
        </w:tc>
        <w:tc>
          <w:tcPr>
            <w:tcW w:w="624" w:type="dxa"/>
            <w:tcMar>
              <w:top w:w="91" w:type="dxa"/>
              <w:left w:w="0" w:type="dxa"/>
              <w:bottom w:w="91" w:type="dxa"/>
              <w:right w:w="0" w:type="dxa"/>
            </w:tcMar>
          </w:tcPr>
          <w:p w14:paraId="36E09A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198B51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68A38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B55456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5493C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B7045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0C2DD0E0" w14:textId="77777777" w:rsidR="00BF4529" w:rsidRDefault="00BF4529" w:rsidP="00BF4529">
            <w:pPr>
              <w:pStyle w:val="TableBlock"/>
              <w:spacing w:before="0"/>
              <w:rPr>
                <w:sz w:val="26"/>
                <w:rtl/>
              </w:rPr>
            </w:pPr>
            <w:r>
              <w:rPr>
                <w:rFonts w:hint="cs"/>
                <w:sz w:val="26"/>
                <w:rtl/>
              </w:rPr>
              <w:t>(1)</w:t>
            </w:r>
            <w:r>
              <w:rPr>
                <w:rFonts w:hint="cs"/>
                <w:sz w:val="26"/>
                <w:rtl/>
              </w:rPr>
              <w:tab/>
              <w:t>לקבוע הסדרים לעניין מתן אישור להעברת הידע וזכויות הנובעות ממנו, לרבות זכויות קניין רוחני, לאחר מחוץ לישראל;</w:t>
            </w:r>
          </w:p>
        </w:tc>
      </w:tr>
      <w:tr w:rsidR="00BF4529" w14:paraId="3E19EFB7" w14:textId="77777777" w:rsidTr="00BF4529">
        <w:trPr>
          <w:cantSplit/>
        </w:trPr>
        <w:tc>
          <w:tcPr>
            <w:tcW w:w="1871" w:type="dxa"/>
            <w:tcMar>
              <w:top w:w="91" w:type="dxa"/>
              <w:left w:w="0" w:type="dxa"/>
              <w:bottom w:w="91" w:type="dxa"/>
              <w:right w:w="0" w:type="dxa"/>
            </w:tcMar>
          </w:tcPr>
          <w:p w14:paraId="6ED57BC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EF954A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E319E0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893D9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0C1CF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7C05D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9DDC637"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C0A3181" w14:textId="77777777" w:rsidR="00BF4529" w:rsidRDefault="00BF4529" w:rsidP="00BF4529">
            <w:pPr>
              <w:pStyle w:val="TableBlock"/>
              <w:spacing w:before="0"/>
              <w:rPr>
                <w:sz w:val="26"/>
                <w:rtl/>
              </w:rPr>
            </w:pPr>
            <w:r>
              <w:rPr>
                <w:rFonts w:hint="cs"/>
                <w:sz w:val="26"/>
                <w:rtl/>
              </w:rPr>
              <w:t>(2)</w:t>
            </w:r>
            <w:r>
              <w:rPr>
                <w:rFonts w:hint="cs"/>
                <w:sz w:val="26"/>
                <w:rtl/>
              </w:rPr>
              <w:tab/>
              <w:t>לקבוע הסדרים לעניין מתן אישור לתת הרשאה או רישיון מאת מקבל ההטבה לגורם מחוץ לישראל, לשימוש או לניצול הידע וזכויות הנובעות ממנו, לרבות זכויות קניין רוחני, ובכלל זה תשלום למדינה בשל מתן ההרשאה או הרישיון כאמור;</w:t>
            </w:r>
          </w:p>
        </w:tc>
      </w:tr>
      <w:tr w:rsidR="00BF4529" w14:paraId="1EE3B965" w14:textId="77777777" w:rsidTr="00BF4529">
        <w:trPr>
          <w:cantSplit/>
        </w:trPr>
        <w:tc>
          <w:tcPr>
            <w:tcW w:w="1871" w:type="dxa"/>
            <w:tcMar>
              <w:top w:w="91" w:type="dxa"/>
              <w:left w:w="0" w:type="dxa"/>
              <w:bottom w:w="91" w:type="dxa"/>
              <w:right w:w="0" w:type="dxa"/>
            </w:tcMar>
          </w:tcPr>
          <w:p w14:paraId="040E0EC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A58E2B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FDA5A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C99D9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8B0599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6AC41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AF24B8D"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C4930D8" w14:textId="77777777" w:rsidR="00BF4529" w:rsidRDefault="00BF4529" w:rsidP="00BF4529">
            <w:pPr>
              <w:pStyle w:val="TableBlock"/>
              <w:spacing w:before="0"/>
              <w:rPr>
                <w:sz w:val="26"/>
                <w:rtl/>
              </w:rPr>
            </w:pPr>
            <w:r>
              <w:rPr>
                <w:rFonts w:hint="cs"/>
                <w:sz w:val="26"/>
                <w:rtl/>
              </w:rPr>
              <w:t>(3)</w:t>
            </w:r>
            <w:r>
              <w:rPr>
                <w:rFonts w:hint="cs"/>
                <w:sz w:val="26"/>
                <w:rtl/>
              </w:rPr>
              <w:tab/>
              <w:t>לקבוע הסדרים לעניין מתן אישור לחשיפת הידע או לגילויו, לגורם אחר מחוץ לישראל;</w:t>
            </w:r>
          </w:p>
        </w:tc>
      </w:tr>
      <w:tr w:rsidR="00BF4529" w14:paraId="4D60B059" w14:textId="77777777" w:rsidTr="00BF4529">
        <w:trPr>
          <w:cantSplit/>
        </w:trPr>
        <w:tc>
          <w:tcPr>
            <w:tcW w:w="1871" w:type="dxa"/>
            <w:tcMar>
              <w:top w:w="91" w:type="dxa"/>
              <w:left w:w="0" w:type="dxa"/>
              <w:bottom w:w="91" w:type="dxa"/>
              <w:right w:w="0" w:type="dxa"/>
            </w:tcMar>
          </w:tcPr>
          <w:p w14:paraId="214C12F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E8034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78154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D4A09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C2218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0177F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646FB6"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0A1E744F" w14:textId="77777777" w:rsidR="00BF4529" w:rsidRDefault="00BF4529" w:rsidP="00BF4529">
            <w:pPr>
              <w:pStyle w:val="TableBlock"/>
              <w:spacing w:before="0"/>
              <w:rPr>
                <w:sz w:val="26"/>
                <w:rtl/>
              </w:rPr>
            </w:pPr>
            <w:r>
              <w:rPr>
                <w:rFonts w:hint="cs"/>
                <w:sz w:val="26"/>
                <w:rtl/>
              </w:rPr>
              <w:t>(4)</w:t>
            </w:r>
            <w:r>
              <w:rPr>
                <w:rFonts w:hint="cs"/>
                <w:sz w:val="26"/>
                <w:rtl/>
              </w:rPr>
              <w:tab/>
              <w:t>להסמיך ועדת מחקר, לעניין ההסדרים כאמור בפסקאות (1) עד (3) –</w:t>
            </w:r>
          </w:p>
        </w:tc>
      </w:tr>
      <w:tr w:rsidR="00BF4529" w14:paraId="2399840F" w14:textId="77777777" w:rsidTr="00BF4529">
        <w:trPr>
          <w:cantSplit/>
        </w:trPr>
        <w:tc>
          <w:tcPr>
            <w:tcW w:w="1871" w:type="dxa"/>
            <w:tcMar>
              <w:top w:w="91" w:type="dxa"/>
              <w:left w:w="0" w:type="dxa"/>
              <w:bottom w:w="91" w:type="dxa"/>
              <w:right w:w="0" w:type="dxa"/>
            </w:tcMar>
          </w:tcPr>
          <w:p w14:paraId="115A224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9E1860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DFE05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AF022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F1D4F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2835F1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E4F0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F965DD"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13C5BABC" w14:textId="77777777" w:rsidR="00BF4529" w:rsidRDefault="00BF4529" w:rsidP="00BF4529">
            <w:pPr>
              <w:pStyle w:val="TableBlock"/>
              <w:spacing w:before="0"/>
              <w:rPr>
                <w:sz w:val="26"/>
                <w:rtl/>
              </w:rPr>
            </w:pPr>
            <w:r>
              <w:rPr>
                <w:rFonts w:hint="cs"/>
                <w:sz w:val="26"/>
                <w:rtl/>
              </w:rPr>
              <w:t>(א)</w:t>
            </w:r>
            <w:r>
              <w:rPr>
                <w:rFonts w:hint="cs"/>
                <w:sz w:val="26"/>
                <w:rtl/>
              </w:rPr>
              <w:tab/>
              <w:t>לקבל החלטה בנוגע לאישור בקשות להעברת ידע וזכויות הנובעות ממנו, לרבות זכויות קניין רוחני, על פי תכנית מאושרת, שאינו המוצר שפותח במסגרת אותה תכנית, ובלבד שלא תאשר ועדת המחקר העברה כאמור מחוץ לישראל, במסלולים המתאימים, אלא במקרים מיוחדים ומנימוקים שיירשמו;</w:t>
            </w:r>
          </w:p>
        </w:tc>
      </w:tr>
      <w:tr w:rsidR="00BF4529" w14:paraId="1212BC8D" w14:textId="77777777" w:rsidTr="00BF4529">
        <w:trPr>
          <w:cantSplit/>
        </w:trPr>
        <w:tc>
          <w:tcPr>
            <w:tcW w:w="1871" w:type="dxa"/>
            <w:tcMar>
              <w:top w:w="91" w:type="dxa"/>
              <w:left w:w="0" w:type="dxa"/>
              <w:bottom w:w="91" w:type="dxa"/>
              <w:right w:w="0" w:type="dxa"/>
            </w:tcMar>
          </w:tcPr>
          <w:p w14:paraId="536BEB0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E24FCA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BFD95F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6E21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03767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5E52A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3936DE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9EB689F"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2719565C" w14:textId="77777777" w:rsidR="00BF4529" w:rsidRDefault="00BF4529" w:rsidP="00BF4529">
            <w:pPr>
              <w:pStyle w:val="TableBlock"/>
              <w:spacing w:before="0"/>
              <w:rPr>
                <w:sz w:val="26"/>
                <w:rtl/>
              </w:rPr>
            </w:pPr>
            <w:r>
              <w:rPr>
                <w:rFonts w:hint="cs"/>
                <w:sz w:val="26"/>
                <w:rtl/>
              </w:rPr>
              <w:t>(ב)</w:t>
            </w:r>
            <w:r>
              <w:rPr>
                <w:rFonts w:hint="cs"/>
                <w:sz w:val="26"/>
                <w:rtl/>
              </w:rPr>
              <w:tab/>
              <w:t>להסדיר את החישוב ואת אופן התשלום בעד האישור כאמור בפסקאות (1) עד (3), שיבוצע במזומן, אלא אם כן קבעה המועצה הוראות אחרות לעניין זה בהוראות מסלול ההטבות, לרבות הוראות המאפשרות העברת ידע שלא כנגד תשלום;</w:t>
            </w:r>
          </w:p>
        </w:tc>
      </w:tr>
      <w:tr w:rsidR="00BF4529" w14:paraId="3128BE73" w14:textId="77777777" w:rsidTr="00BF4529">
        <w:trPr>
          <w:cantSplit/>
        </w:trPr>
        <w:tc>
          <w:tcPr>
            <w:tcW w:w="1871" w:type="dxa"/>
            <w:tcMar>
              <w:top w:w="91" w:type="dxa"/>
              <w:left w:w="0" w:type="dxa"/>
              <w:bottom w:w="91" w:type="dxa"/>
              <w:right w:w="0" w:type="dxa"/>
            </w:tcMar>
          </w:tcPr>
          <w:p w14:paraId="73D8186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42C330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AF76A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66D07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580DE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1ABC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CAD03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7AC1AD"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0464FC1E" w14:textId="77777777" w:rsidR="00BF4529" w:rsidRDefault="00BF4529" w:rsidP="00BF4529">
            <w:pPr>
              <w:pStyle w:val="TableBlock"/>
              <w:spacing w:before="0"/>
              <w:rPr>
                <w:sz w:val="26"/>
                <w:rtl/>
              </w:rPr>
            </w:pPr>
            <w:r>
              <w:rPr>
                <w:rFonts w:hint="cs"/>
                <w:sz w:val="26"/>
                <w:rtl/>
              </w:rPr>
              <w:t>(ג)</w:t>
            </w:r>
            <w:r>
              <w:rPr>
                <w:rFonts w:hint="cs"/>
                <w:sz w:val="26"/>
                <w:rtl/>
              </w:rPr>
              <w:tab/>
              <w:t>לקבוע הוראות לעניין הסכום המרבי שישלם מקבל ההטבה בעד האישור כאמור בפסקאות (1) עד (3);</w:t>
            </w:r>
          </w:p>
        </w:tc>
      </w:tr>
      <w:tr w:rsidR="00BF4529" w14:paraId="1D2448A3" w14:textId="77777777" w:rsidTr="00BF4529">
        <w:trPr>
          <w:cantSplit/>
        </w:trPr>
        <w:tc>
          <w:tcPr>
            <w:tcW w:w="1871" w:type="dxa"/>
            <w:tcMar>
              <w:top w:w="91" w:type="dxa"/>
              <w:left w:w="0" w:type="dxa"/>
              <w:bottom w:w="91" w:type="dxa"/>
              <w:right w:w="0" w:type="dxa"/>
            </w:tcMar>
          </w:tcPr>
          <w:p w14:paraId="031F1A6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B4550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D2043A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D1497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FB6F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4E15C3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9B467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EAAAE2" w14:textId="77777777" w:rsidR="00BF4529" w:rsidRDefault="00BF4529" w:rsidP="00BF4529">
            <w:pPr>
              <w:pStyle w:val="TableText"/>
              <w:spacing w:before="0"/>
              <w:rPr>
                <w:sz w:val="26"/>
                <w:rtl/>
              </w:rPr>
            </w:pPr>
          </w:p>
        </w:tc>
        <w:tc>
          <w:tcPr>
            <w:tcW w:w="3402" w:type="dxa"/>
            <w:tcMar>
              <w:top w:w="91" w:type="dxa"/>
              <w:left w:w="0" w:type="dxa"/>
              <w:bottom w:w="91" w:type="dxa"/>
              <w:right w:w="0" w:type="dxa"/>
            </w:tcMar>
            <w:hideMark/>
          </w:tcPr>
          <w:p w14:paraId="2CAA524E" w14:textId="77777777" w:rsidR="00BF4529" w:rsidRDefault="00BF4529" w:rsidP="00BF4529">
            <w:pPr>
              <w:pStyle w:val="TableBlock"/>
              <w:spacing w:before="0"/>
              <w:rPr>
                <w:sz w:val="26"/>
                <w:rtl/>
              </w:rPr>
            </w:pPr>
            <w:r>
              <w:rPr>
                <w:rFonts w:hint="cs"/>
                <w:sz w:val="26"/>
                <w:rtl/>
              </w:rPr>
              <w:t>(ד)</w:t>
            </w:r>
            <w:r>
              <w:rPr>
                <w:rFonts w:hint="cs"/>
                <w:sz w:val="26"/>
                <w:rtl/>
              </w:rPr>
              <w:tab/>
              <w:t>לקבוע הוראות בנוגע לתשלום במקרים של פירוק מחמת חדלות פירעון או כינוס נכסים של מקבל ההטבה;</w:t>
            </w:r>
          </w:p>
        </w:tc>
      </w:tr>
      <w:tr w:rsidR="00BF4529" w14:paraId="2D4C2570" w14:textId="77777777" w:rsidTr="00BF4529">
        <w:trPr>
          <w:cantSplit/>
        </w:trPr>
        <w:tc>
          <w:tcPr>
            <w:tcW w:w="1871" w:type="dxa"/>
            <w:tcMar>
              <w:top w:w="91" w:type="dxa"/>
              <w:left w:w="0" w:type="dxa"/>
              <w:bottom w:w="91" w:type="dxa"/>
              <w:right w:w="0" w:type="dxa"/>
            </w:tcMar>
          </w:tcPr>
          <w:p w14:paraId="140367F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1B72A0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D4C9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039939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BE0AF1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A938D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F6F1F1"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7AC6FDB" w14:textId="77777777" w:rsidR="00BF4529" w:rsidRDefault="00BF4529" w:rsidP="00BF4529">
            <w:pPr>
              <w:pStyle w:val="TableBlock"/>
              <w:spacing w:before="0"/>
              <w:rPr>
                <w:sz w:val="26"/>
                <w:rtl/>
              </w:rPr>
            </w:pPr>
            <w:r>
              <w:rPr>
                <w:rFonts w:hint="cs"/>
                <w:sz w:val="26"/>
                <w:rtl/>
              </w:rPr>
              <w:t>(5)</w:t>
            </w:r>
            <w:r>
              <w:rPr>
                <w:rFonts w:hint="cs"/>
                <w:sz w:val="26"/>
                <w:rtl/>
              </w:rPr>
              <w:tab/>
              <w:t>לקבוע כי אם לא שולם תשלום כאמור בפסקה (4), ייווספו עליו הפרשי הצמדה וריבית כהגדרתם בחוק פסיקת ריבית והצמדה, התשכ"א–1961‏</w:t>
            </w:r>
            <w:r>
              <w:rPr>
                <w:rStyle w:val="ab"/>
                <w:rFonts w:hAnsi="HadasaMFO"/>
                <w:sz w:val="26"/>
                <w:rtl/>
              </w:rPr>
              <w:footnoteReference w:id="22"/>
            </w:r>
            <w:r>
              <w:rPr>
                <w:rFonts w:hint="cs"/>
                <w:sz w:val="26"/>
                <w:rtl/>
              </w:rPr>
              <w:t>.</w:t>
            </w:r>
          </w:p>
        </w:tc>
      </w:tr>
      <w:tr w:rsidR="00BF4529" w14:paraId="6A017F3D" w14:textId="77777777" w:rsidTr="00BF4529">
        <w:trPr>
          <w:cantSplit/>
        </w:trPr>
        <w:tc>
          <w:tcPr>
            <w:tcW w:w="1871" w:type="dxa"/>
            <w:tcMar>
              <w:top w:w="91" w:type="dxa"/>
              <w:left w:w="0" w:type="dxa"/>
              <w:bottom w:w="91" w:type="dxa"/>
              <w:right w:w="0" w:type="dxa"/>
            </w:tcMar>
          </w:tcPr>
          <w:p w14:paraId="5D44FD5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AB819F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3CA1D3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BD0593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2FB8BB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2AD0A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509472B6" w14:textId="77777777" w:rsidR="00BF4529" w:rsidRDefault="00BF4529" w:rsidP="00BF4529">
            <w:pPr>
              <w:pStyle w:val="TableBlock"/>
              <w:spacing w:before="0"/>
              <w:rPr>
                <w:sz w:val="26"/>
                <w:rtl/>
              </w:rPr>
            </w:pPr>
            <w:r>
              <w:rPr>
                <w:rFonts w:hint="cs"/>
                <w:sz w:val="26"/>
                <w:rtl/>
              </w:rPr>
              <w:t>(ב)</w:t>
            </w:r>
            <w:r>
              <w:rPr>
                <w:rFonts w:hint="cs"/>
                <w:sz w:val="26"/>
                <w:rtl/>
              </w:rPr>
              <w:tab/>
              <w:t>כל סכומי התשלומים שישולמו לפי סעיף זה ישמשו לעידוד ולקידום חדשנות טכנולוגית בתעשייה.</w:t>
            </w:r>
          </w:p>
        </w:tc>
      </w:tr>
      <w:tr w:rsidR="00BF4529" w14:paraId="6AB1E27D" w14:textId="77777777" w:rsidTr="00BF4529">
        <w:trPr>
          <w:cantSplit/>
        </w:trPr>
        <w:tc>
          <w:tcPr>
            <w:tcW w:w="1871" w:type="dxa"/>
            <w:tcMar>
              <w:top w:w="91" w:type="dxa"/>
              <w:left w:w="0" w:type="dxa"/>
              <w:bottom w:w="91" w:type="dxa"/>
              <w:right w:w="0" w:type="dxa"/>
            </w:tcMar>
          </w:tcPr>
          <w:p w14:paraId="567B402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15998D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4A886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75F34F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7F39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C23B1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F618180" w14:textId="77777777" w:rsidR="00BF4529" w:rsidRDefault="00BF4529" w:rsidP="00BF4529">
            <w:pPr>
              <w:pStyle w:val="TableBlock"/>
              <w:spacing w:before="0"/>
              <w:rPr>
                <w:sz w:val="26"/>
                <w:rtl/>
              </w:rPr>
            </w:pPr>
            <w:r>
              <w:rPr>
                <w:rFonts w:hint="cs"/>
                <w:sz w:val="26"/>
                <w:rtl/>
              </w:rPr>
              <w:t>(ג)</w:t>
            </w:r>
            <w:r>
              <w:rPr>
                <w:rFonts w:hint="cs"/>
                <w:sz w:val="26"/>
                <w:rtl/>
              </w:rPr>
              <w:tab/>
              <w:t>על גביית תשלום כאמור בסעיף זה יחולו הוראות סעיף 21(ד).</w:t>
            </w:r>
          </w:p>
        </w:tc>
      </w:tr>
      <w:tr w:rsidR="00BF4529" w14:paraId="47E25749" w14:textId="77777777" w:rsidTr="00BF4529">
        <w:trPr>
          <w:cantSplit/>
        </w:trPr>
        <w:tc>
          <w:tcPr>
            <w:tcW w:w="1871" w:type="dxa"/>
            <w:tcMar>
              <w:top w:w="91" w:type="dxa"/>
              <w:left w:w="0" w:type="dxa"/>
              <w:bottom w:w="91" w:type="dxa"/>
              <w:right w:w="0" w:type="dxa"/>
            </w:tcMar>
          </w:tcPr>
          <w:p w14:paraId="454AD13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24821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33C69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15693B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16D3C1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A797D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67A2B76" w14:textId="77777777" w:rsidR="00BF4529" w:rsidRDefault="00BF4529" w:rsidP="00BF4529">
            <w:pPr>
              <w:pStyle w:val="TableBlock"/>
              <w:spacing w:before="0"/>
              <w:rPr>
                <w:sz w:val="26"/>
                <w:rtl/>
              </w:rPr>
            </w:pPr>
            <w:r>
              <w:rPr>
                <w:rFonts w:hint="cs"/>
                <w:sz w:val="26"/>
                <w:rtl/>
              </w:rPr>
              <w:t>(ד)</w:t>
            </w:r>
            <w:r>
              <w:rPr>
                <w:rFonts w:hint="cs"/>
                <w:sz w:val="26"/>
                <w:rtl/>
              </w:rPr>
              <w:tab/>
              <w:t>קבעה המועצה הסדרים למתן אישור להעברת הידע והזכויות הנובעות ממנו, לרבות זכויות קנין רוחני, לפי הוראות סעיף קטן (א)(1), לא יועברו הידע או הזכויות כאמור מחוץ לישראל אלא לאחר עמידה בתנאי האישור שניתן להנחת דעתה של ועדת המחקר.</w:t>
            </w:r>
          </w:p>
        </w:tc>
      </w:tr>
      <w:tr w:rsidR="00BF4529" w14:paraId="19C08AB5" w14:textId="77777777" w:rsidTr="00BF4529">
        <w:trPr>
          <w:cantSplit/>
        </w:trPr>
        <w:tc>
          <w:tcPr>
            <w:tcW w:w="1871" w:type="dxa"/>
            <w:tcMar>
              <w:top w:w="91" w:type="dxa"/>
              <w:left w:w="0" w:type="dxa"/>
              <w:bottom w:w="91" w:type="dxa"/>
              <w:right w:w="0" w:type="dxa"/>
            </w:tcMar>
          </w:tcPr>
          <w:p w14:paraId="513B6A7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F6FC34C"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DA42EAD" w14:textId="77777777" w:rsidR="00BF4529" w:rsidRDefault="00BF4529" w:rsidP="00BF4529">
            <w:pPr>
              <w:pStyle w:val="TableInnerSideHeading"/>
              <w:spacing w:before="0"/>
              <w:jc w:val="left"/>
              <w:rPr>
                <w:sz w:val="26"/>
                <w:rtl/>
              </w:rPr>
            </w:pPr>
            <w:r>
              <w:rPr>
                <w:rFonts w:hint="cs"/>
                <w:sz w:val="26"/>
                <w:rtl/>
              </w:rPr>
              <w:t>הסדרים לעניין</w:t>
            </w:r>
            <w:r>
              <w:rPr>
                <w:rFonts w:hint="cs"/>
                <w:sz w:val="26"/>
                <w:rtl/>
              </w:rPr>
              <w:br/>
              <w:t>ייצור בישראל והעברתו אל</w:t>
            </w:r>
            <w:r>
              <w:rPr>
                <w:rFonts w:hint="cs"/>
                <w:sz w:val="26"/>
                <w:rtl/>
              </w:rPr>
              <w:br/>
              <w:t xml:space="preserve">מחוץ לישראל </w:t>
            </w:r>
          </w:p>
        </w:tc>
        <w:tc>
          <w:tcPr>
            <w:tcW w:w="624" w:type="dxa"/>
            <w:tcMar>
              <w:top w:w="91" w:type="dxa"/>
              <w:left w:w="0" w:type="dxa"/>
              <w:bottom w:w="91" w:type="dxa"/>
              <w:right w:w="0" w:type="dxa"/>
            </w:tcMar>
            <w:hideMark/>
          </w:tcPr>
          <w:p w14:paraId="0E9F6443" w14:textId="77777777" w:rsidR="00BF4529" w:rsidRDefault="00BF4529" w:rsidP="00BF4529">
            <w:pPr>
              <w:pStyle w:val="TableText"/>
              <w:spacing w:before="0"/>
              <w:ind w:right="0"/>
              <w:rPr>
                <w:sz w:val="26"/>
                <w:rtl/>
              </w:rPr>
            </w:pPr>
            <w:r>
              <w:rPr>
                <w:rFonts w:hint="cs"/>
                <w:sz w:val="26"/>
                <w:rtl/>
              </w:rPr>
              <w:t>15מב.</w:t>
            </w:r>
          </w:p>
        </w:tc>
        <w:tc>
          <w:tcPr>
            <w:tcW w:w="4650" w:type="dxa"/>
            <w:gridSpan w:val="3"/>
            <w:tcMar>
              <w:top w:w="91" w:type="dxa"/>
              <w:left w:w="0" w:type="dxa"/>
              <w:bottom w:w="91" w:type="dxa"/>
              <w:right w:w="0" w:type="dxa"/>
            </w:tcMar>
            <w:hideMark/>
          </w:tcPr>
          <w:p w14:paraId="13D627C6" w14:textId="77777777" w:rsidR="00BF4529" w:rsidRDefault="00BF4529" w:rsidP="00BF4529">
            <w:pPr>
              <w:pStyle w:val="TableBlock"/>
              <w:spacing w:before="0"/>
              <w:rPr>
                <w:spacing w:val="-6"/>
                <w:sz w:val="26"/>
                <w:rtl/>
              </w:rPr>
            </w:pPr>
            <w:r>
              <w:rPr>
                <w:rFonts w:hint="cs"/>
                <w:spacing w:val="-6"/>
                <w:sz w:val="26"/>
                <w:rtl/>
              </w:rPr>
              <w:t>המועצה תקבע, ככלל, הסדרים שיש בהם כדי לסייע בשמירה או ביצירה של מקומות עבודה בישראל, אולם רשאית היא במקרים מיוחדים ומנימוקים שיירשמו לקבוע הוראות בנוגע להעברת הייצור אל מחוץ לישראל לגבי מסלול הטבות לעניין –</w:t>
            </w:r>
          </w:p>
        </w:tc>
      </w:tr>
      <w:tr w:rsidR="00BF4529" w14:paraId="0911FACF" w14:textId="77777777" w:rsidTr="00BF4529">
        <w:trPr>
          <w:cantSplit/>
        </w:trPr>
        <w:tc>
          <w:tcPr>
            <w:tcW w:w="1871" w:type="dxa"/>
            <w:tcMar>
              <w:top w:w="91" w:type="dxa"/>
              <w:left w:w="0" w:type="dxa"/>
              <w:bottom w:w="91" w:type="dxa"/>
              <w:right w:w="0" w:type="dxa"/>
            </w:tcMar>
          </w:tcPr>
          <w:p w14:paraId="0A9608F0" w14:textId="77777777" w:rsidR="00BF4529" w:rsidRDefault="00BF4529" w:rsidP="00BF4529">
            <w:pPr>
              <w:pStyle w:val="TableSideHeading"/>
              <w:spacing w:before="0"/>
              <w:jc w:val="left"/>
              <w:rPr>
                <w:spacing w:val="0"/>
                <w:sz w:val="26"/>
                <w:rtl/>
              </w:rPr>
            </w:pPr>
          </w:p>
        </w:tc>
        <w:tc>
          <w:tcPr>
            <w:tcW w:w="624" w:type="dxa"/>
            <w:tcMar>
              <w:top w:w="91" w:type="dxa"/>
              <w:left w:w="0" w:type="dxa"/>
              <w:bottom w:w="91" w:type="dxa"/>
              <w:right w:w="0" w:type="dxa"/>
            </w:tcMar>
          </w:tcPr>
          <w:p w14:paraId="38E1A81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3FA707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9B8831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8982E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700D2B"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9B6135E" w14:textId="77777777" w:rsidR="00BF4529" w:rsidRDefault="00BF4529" w:rsidP="00BF4529">
            <w:pPr>
              <w:pStyle w:val="TableBlock"/>
              <w:spacing w:before="0"/>
              <w:rPr>
                <w:sz w:val="26"/>
                <w:rtl/>
              </w:rPr>
            </w:pPr>
            <w:r>
              <w:rPr>
                <w:rFonts w:hint="cs"/>
                <w:sz w:val="26"/>
                <w:rtl/>
              </w:rPr>
              <w:t>(1)</w:t>
            </w:r>
            <w:r>
              <w:rPr>
                <w:rFonts w:hint="cs"/>
                <w:sz w:val="26"/>
                <w:rtl/>
              </w:rPr>
              <w:tab/>
              <w:t>הסמכת ועדת מחקר, במקרים מיוחדים, לאשר למקבל ההטבה שהגיש בקשה לכך, העברה של ייצור אל מחוץ לישראל או מתן רישיון לייצור של מוצר שפותח במסגרת המסלול או הנובע ממנו מחוץ לישראל;</w:t>
            </w:r>
          </w:p>
        </w:tc>
      </w:tr>
      <w:tr w:rsidR="00BF4529" w14:paraId="0E1284E7" w14:textId="77777777" w:rsidTr="00BF4529">
        <w:trPr>
          <w:cantSplit/>
        </w:trPr>
        <w:tc>
          <w:tcPr>
            <w:tcW w:w="1871" w:type="dxa"/>
            <w:tcMar>
              <w:top w:w="91" w:type="dxa"/>
              <w:left w:w="0" w:type="dxa"/>
              <w:bottom w:w="91" w:type="dxa"/>
              <w:right w:w="0" w:type="dxa"/>
            </w:tcMar>
          </w:tcPr>
          <w:p w14:paraId="11CF7BC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FCBDA4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A80D77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D6C0A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8A8B68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6E60C9"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483C467" w14:textId="77777777" w:rsidR="00BF4529" w:rsidRDefault="00BF4529" w:rsidP="00BF4529">
            <w:pPr>
              <w:pStyle w:val="TableBlock"/>
              <w:spacing w:before="0"/>
              <w:rPr>
                <w:sz w:val="26"/>
                <w:rtl/>
              </w:rPr>
            </w:pPr>
            <w:r>
              <w:rPr>
                <w:rFonts w:hint="cs"/>
                <w:sz w:val="26"/>
                <w:rtl/>
              </w:rPr>
              <w:t>(2)</w:t>
            </w:r>
            <w:r>
              <w:rPr>
                <w:rFonts w:hint="cs"/>
                <w:sz w:val="26"/>
                <w:rtl/>
              </w:rPr>
              <w:tab/>
              <w:t>אופן חישוב התשלום מאת מקבל ההטבה בשל העברת הייצור אל מחוץ לישראל."</w:t>
            </w:r>
          </w:p>
        </w:tc>
      </w:tr>
      <w:tr w:rsidR="00BF4529" w14:paraId="2B2ACF17" w14:textId="77777777" w:rsidTr="00BF4529">
        <w:trPr>
          <w:cantSplit/>
        </w:trPr>
        <w:tc>
          <w:tcPr>
            <w:tcW w:w="1871" w:type="dxa"/>
            <w:tcMar>
              <w:top w:w="91" w:type="dxa"/>
              <w:left w:w="0" w:type="dxa"/>
              <w:bottom w:w="91" w:type="dxa"/>
              <w:right w:w="0" w:type="dxa"/>
            </w:tcMar>
            <w:hideMark/>
          </w:tcPr>
          <w:p w14:paraId="77815174" w14:textId="77777777" w:rsidR="00BF4529" w:rsidRDefault="00BF4529" w:rsidP="00BF4529">
            <w:pPr>
              <w:pStyle w:val="TableSideHeading"/>
              <w:spacing w:before="0"/>
              <w:jc w:val="left"/>
              <w:rPr>
                <w:sz w:val="26"/>
                <w:rtl/>
              </w:rPr>
            </w:pPr>
            <w:r>
              <w:rPr>
                <w:rFonts w:hint="cs"/>
                <w:sz w:val="26"/>
                <w:rtl/>
              </w:rPr>
              <w:t xml:space="preserve">החלפת כותרת </w:t>
            </w:r>
            <w:r>
              <w:rPr>
                <w:rFonts w:hint="cs"/>
                <w:sz w:val="26"/>
                <w:rtl/>
              </w:rPr>
              <w:br/>
              <w:t>פרק ד'</w:t>
            </w:r>
          </w:p>
        </w:tc>
        <w:tc>
          <w:tcPr>
            <w:tcW w:w="624" w:type="dxa"/>
            <w:tcMar>
              <w:top w:w="91" w:type="dxa"/>
              <w:left w:w="0" w:type="dxa"/>
              <w:bottom w:w="91" w:type="dxa"/>
              <w:right w:w="0" w:type="dxa"/>
            </w:tcMar>
            <w:hideMark/>
          </w:tcPr>
          <w:p w14:paraId="371ED08B" w14:textId="77777777" w:rsidR="00BF4529" w:rsidRDefault="00BF4529" w:rsidP="00BF4529">
            <w:pPr>
              <w:pStyle w:val="TableText"/>
              <w:spacing w:before="0"/>
              <w:rPr>
                <w:sz w:val="26"/>
                <w:rtl/>
              </w:rPr>
            </w:pPr>
            <w:r>
              <w:rPr>
                <w:rFonts w:hint="cs"/>
                <w:sz w:val="26"/>
                <w:rtl/>
              </w:rPr>
              <w:t>15.</w:t>
            </w:r>
          </w:p>
        </w:tc>
        <w:tc>
          <w:tcPr>
            <w:tcW w:w="7146" w:type="dxa"/>
            <w:gridSpan w:val="7"/>
            <w:tcMar>
              <w:top w:w="91" w:type="dxa"/>
              <w:left w:w="0" w:type="dxa"/>
              <w:bottom w:w="91" w:type="dxa"/>
              <w:right w:w="0" w:type="dxa"/>
            </w:tcMar>
            <w:hideMark/>
          </w:tcPr>
          <w:p w14:paraId="343332A6" w14:textId="77777777" w:rsidR="00BF4529" w:rsidRDefault="00BF4529" w:rsidP="00BF4529">
            <w:pPr>
              <w:pStyle w:val="TableBlock"/>
              <w:spacing w:before="0"/>
              <w:rPr>
                <w:sz w:val="26"/>
                <w:rtl/>
              </w:rPr>
            </w:pPr>
            <w:r>
              <w:rPr>
                <w:rFonts w:hint="cs"/>
                <w:sz w:val="26"/>
                <w:rtl/>
              </w:rPr>
              <w:t>במקום כותרת פרק ד' לחוק העיקרי יבוא:</w:t>
            </w:r>
          </w:p>
        </w:tc>
      </w:tr>
      <w:tr w:rsidR="00BF4529" w14:paraId="68B70D37" w14:textId="77777777" w:rsidTr="00BF4529">
        <w:trPr>
          <w:cantSplit/>
        </w:trPr>
        <w:tc>
          <w:tcPr>
            <w:tcW w:w="1871" w:type="dxa"/>
            <w:tcMar>
              <w:top w:w="91" w:type="dxa"/>
              <w:left w:w="0" w:type="dxa"/>
              <w:bottom w:w="91" w:type="dxa"/>
              <w:right w:w="0" w:type="dxa"/>
            </w:tcMar>
          </w:tcPr>
          <w:p w14:paraId="2457757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A41C3A6"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7FB8F58" w14:textId="77777777" w:rsidR="00BF4529" w:rsidRDefault="00BF4529" w:rsidP="00BF4529">
            <w:pPr>
              <w:pStyle w:val="TableHead"/>
              <w:spacing w:before="0"/>
              <w:rPr>
                <w:rtl/>
              </w:rPr>
            </w:pPr>
            <w:r>
              <w:rPr>
                <w:rFonts w:hint="cs"/>
                <w:rtl/>
              </w:rPr>
              <w:t>"פרק ד': אישור בקשות למתן הטבות".</w:t>
            </w:r>
          </w:p>
        </w:tc>
      </w:tr>
      <w:tr w:rsidR="00BF4529" w14:paraId="52683A81" w14:textId="77777777" w:rsidTr="00BF4529">
        <w:trPr>
          <w:cantSplit/>
        </w:trPr>
        <w:tc>
          <w:tcPr>
            <w:tcW w:w="1871" w:type="dxa"/>
            <w:tcMar>
              <w:top w:w="91" w:type="dxa"/>
              <w:left w:w="0" w:type="dxa"/>
              <w:bottom w:w="91" w:type="dxa"/>
              <w:right w:w="0" w:type="dxa"/>
            </w:tcMar>
            <w:hideMark/>
          </w:tcPr>
          <w:p w14:paraId="5182E68C" w14:textId="77777777" w:rsidR="00BF4529" w:rsidRDefault="00BF4529" w:rsidP="00BF4529">
            <w:pPr>
              <w:pStyle w:val="TableSideHeading"/>
              <w:spacing w:before="0"/>
              <w:jc w:val="left"/>
              <w:rPr>
                <w:sz w:val="26"/>
                <w:rtl/>
              </w:rPr>
            </w:pPr>
            <w:r>
              <w:rPr>
                <w:rFonts w:hint="cs"/>
                <w:sz w:val="26"/>
                <w:rtl/>
              </w:rPr>
              <w:t>ביטול סעיף 16</w:t>
            </w:r>
          </w:p>
        </w:tc>
        <w:tc>
          <w:tcPr>
            <w:tcW w:w="624" w:type="dxa"/>
            <w:tcMar>
              <w:top w:w="91" w:type="dxa"/>
              <w:left w:w="0" w:type="dxa"/>
              <w:bottom w:w="91" w:type="dxa"/>
              <w:right w:w="0" w:type="dxa"/>
            </w:tcMar>
            <w:hideMark/>
          </w:tcPr>
          <w:p w14:paraId="25D37475" w14:textId="77777777" w:rsidR="00BF4529" w:rsidRDefault="00BF4529" w:rsidP="00BF4529">
            <w:pPr>
              <w:pStyle w:val="TableText"/>
              <w:spacing w:before="0"/>
              <w:rPr>
                <w:sz w:val="26"/>
                <w:rtl/>
              </w:rPr>
            </w:pPr>
            <w:r>
              <w:rPr>
                <w:rFonts w:hint="cs"/>
                <w:sz w:val="26"/>
                <w:rtl/>
              </w:rPr>
              <w:t>16.</w:t>
            </w:r>
          </w:p>
        </w:tc>
        <w:tc>
          <w:tcPr>
            <w:tcW w:w="7146" w:type="dxa"/>
            <w:gridSpan w:val="7"/>
            <w:tcMar>
              <w:top w:w="91" w:type="dxa"/>
              <w:left w:w="0" w:type="dxa"/>
              <w:bottom w:w="91" w:type="dxa"/>
              <w:right w:w="0" w:type="dxa"/>
            </w:tcMar>
            <w:hideMark/>
          </w:tcPr>
          <w:p w14:paraId="3C27800D" w14:textId="77777777" w:rsidR="00BF4529" w:rsidRDefault="00BF4529" w:rsidP="00BF4529">
            <w:pPr>
              <w:pStyle w:val="TableBlock"/>
              <w:spacing w:before="0"/>
              <w:rPr>
                <w:sz w:val="26"/>
                <w:rtl/>
              </w:rPr>
            </w:pPr>
            <w:r>
              <w:rPr>
                <w:rFonts w:hint="cs"/>
                <w:sz w:val="26"/>
                <w:rtl/>
              </w:rPr>
              <w:t>סעיף 16 לחוק העיקרי – בטל.</w:t>
            </w:r>
          </w:p>
        </w:tc>
      </w:tr>
      <w:tr w:rsidR="00BF4529" w14:paraId="7ADE0054" w14:textId="77777777" w:rsidTr="00BF4529">
        <w:trPr>
          <w:cantSplit/>
        </w:trPr>
        <w:tc>
          <w:tcPr>
            <w:tcW w:w="1871" w:type="dxa"/>
            <w:tcMar>
              <w:top w:w="91" w:type="dxa"/>
              <w:left w:w="0" w:type="dxa"/>
              <w:bottom w:w="91" w:type="dxa"/>
              <w:right w:w="0" w:type="dxa"/>
            </w:tcMar>
            <w:hideMark/>
          </w:tcPr>
          <w:p w14:paraId="03994128" w14:textId="77777777" w:rsidR="00BF4529" w:rsidRDefault="00BF4529" w:rsidP="00BF4529">
            <w:pPr>
              <w:pStyle w:val="TableSideHeading"/>
              <w:spacing w:before="0"/>
              <w:jc w:val="left"/>
              <w:rPr>
                <w:sz w:val="26"/>
                <w:rtl/>
              </w:rPr>
            </w:pPr>
            <w:r>
              <w:rPr>
                <w:rFonts w:hint="cs"/>
                <w:sz w:val="26"/>
                <w:rtl/>
              </w:rPr>
              <w:t>הוספת סעיף 16א</w:t>
            </w:r>
          </w:p>
        </w:tc>
        <w:tc>
          <w:tcPr>
            <w:tcW w:w="624" w:type="dxa"/>
            <w:tcMar>
              <w:top w:w="91" w:type="dxa"/>
              <w:left w:w="0" w:type="dxa"/>
              <w:bottom w:w="91" w:type="dxa"/>
              <w:right w:w="0" w:type="dxa"/>
            </w:tcMar>
            <w:hideMark/>
          </w:tcPr>
          <w:p w14:paraId="29654A4A" w14:textId="77777777" w:rsidR="00BF4529" w:rsidRDefault="00BF4529" w:rsidP="00BF4529">
            <w:pPr>
              <w:pStyle w:val="TableText"/>
              <w:spacing w:before="0"/>
              <w:rPr>
                <w:sz w:val="26"/>
                <w:rtl/>
              </w:rPr>
            </w:pPr>
            <w:r>
              <w:rPr>
                <w:rFonts w:hint="cs"/>
                <w:sz w:val="26"/>
                <w:rtl/>
              </w:rPr>
              <w:t>17.</w:t>
            </w:r>
          </w:p>
        </w:tc>
        <w:tc>
          <w:tcPr>
            <w:tcW w:w="7146" w:type="dxa"/>
            <w:gridSpan w:val="7"/>
            <w:tcMar>
              <w:top w:w="91" w:type="dxa"/>
              <w:left w:w="0" w:type="dxa"/>
              <w:bottom w:w="91" w:type="dxa"/>
              <w:right w:w="0" w:type="dxa"/>
            </w:tcMar>
            <w:hideMark/>
          </w:tcPr>
          <w:p w14:paraId="2DDFB98C" w14:textId="77777777" w:rsidR="00BF4529" w:rsidRDefault="00BF4529" w:rsidP="00BF4529">
            <w:pPr>
              <w:pStyle w:val="TableBlock"/>
              <w:spacing w:before="0"/>
              <w:rPr>
                <w:sz w:val="26"/>
                <w:rtl/>
              </w:rPr>
            </w:pPr>
            <w:r>
              <w:rPr>
                <w:rFonts w:hint="cs"/>
                <w:sz w:val="26"/>
                <w:rtl/>
              </w:rPr>
              <w:t>לפני סעיף 17 לחוק העיקרי יבוא:</w:t>
            </w:r>
          </w:p>
        </w:tc>
      </w:tr>
      <w:tr w:rsidR="00BF4529" w14:paraId="2EE44EA9" w14:textId="77777777" w:rsidTr="00BF4529">
        <w:trPr>
          <w:cantSplit/>
        </w:trPr>
        <w:tc>
          <w:tcPr>
            <w:tcW w:w="1871" w:type="dxa"/>
            <w:tcMar>
              <w:top w:w="91" w:type="dxa"/>
              <w:left w:w="0" w:type="dxa"/>
              <w:bottom w:w="91" w:type="dxa"/>
              <w:right w:w="0" w:type="dxa"/>
            </w:tcMar>
          </w:tcPr>
          <w:p w14:paraId="31BF99D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E7E9D29"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A5FFA9E" w14:textId="77777777" w:rsidR="00BF4529" w:rsidRDefault="00BF4529" w:rsidP="00BF4529">
            <w:pPr>
              <w:pStyle w:val="TableInnerSideHeading"/>
              <w:spacing w:before="0"/>
              <w:jc w:val="left"/>
              <w:rPr>
                <w:sz w:val="26"/>
                <w:rtl/>
              </w:rPr>
            </w:pPr>
            <w:r>
              <w:rPr>
                <w:rFonts w:hint="cs"/>
                <w:sz w:val="26"/>
                <w:rtl/>
              </w:rPr>
              <w:t>"סמכויות ועדת מחקר לעניין מבקש הטבה שהוא בעל חוב לרשות</w:t>
            </w:r>
          </w:p>
        </w:tc>
        <w:tc>
          <w:tcPr>
            <w:tcW w:w="624" w:type="dxa"/>
            <w:tcMar>
              <w:top w:w="91" w:type="dxa"/>
              <w:left w:w="0" w:type="dxa"/>
              <w:bottom w:w="91" w:type="dxa"/>
              <w:right w:w="0" w:type="dxa"/>
            </w:tcMar>
            <w:hideMark/>
          </w:tcPr>
          <w:p w14:paraId="4F1E7F9A" w14:textId="77777777" w:rsidR="00BF4529" w:rsidRDefault="00BF4529" w:rsidP="00BF4529">
            <w:pPr>
              <w:pStyle w:val="TableText"/>
              <w:spacing w:before="0"/>
              <w:rPr>
                <w:sz w:val="26"/>
                <w:rtl/>
              </w:rPr>
            </w:pPr>
            <w:r>
              <w:rPr>
                <w:rFonts w:hint="cs"/>
                <w:sz w:val="26"/>
                <w:rtl/>
              </w:rPr>
              <w:t>16א.</w:t>
            </w:r>
          </w:p>
        </w:tc>
        <w:tc>
          <w:tcPr>
            <w:tcW w:w="4650" w:type="dxa"/>
            <w:gridSpan w:val="3"/>
            <w:tcMar>
              <w:top w:w="91" w:type="dxa"/>
              <w:left w:w="0" w:type="dxa"/>
              <w:bottom w:w="91" w:type="dxa"/>
              <w:right w:w="0" w:type="dxa"/>
            </w:tcMar>
            <w:hideMark/>
          </w:tcPr>
          <w:p w14:paraId="601208B1" w14:textId="77777777" w:rsidR="00BF4529" w:rsidRDefault="00BF4529" w:rsidP="00BF4529">
            <w:pPr>
              <w:pStyle w:val="TableBlock"/>
              <w:spacing w:before="0"/>
              <w:rPr>
                <w:sz w:val="26"/>
                <w:rtl/>
              </w:rPr>
            </w:pPr>
            <w:r>
              <w:rPr>
                <w:rFonts w:hint="cs"/>
                <w:sz w:val="26"/>
                <w:rtl/>
              </w:rPr>
              <w:t>(א)</w:t>
            </w:r>
            <w:r>
              <w:rPr>
                <w:rFonts w:hint="cs"/>
                <w:sz w:val="26"/>
                <w:rtl/>
              </w:rPr>
              <w:tab/>
              <w:t>חב מבקש הטבה חוב חלוט לרשות והוא מסרב לשלמו, רשאית ועדת מחקר –</w:t>
            </w:r>
          </w:p>
        </w:tc>
      </w:tr>
      <w:tr w:rsidR="00BF4529" w14:paraId="09F5BBE5" w14:textId="77777777" w:rsidTr="00BF4529">
        <w:trPr>
          <w:cantSplit/>
        </w:trPr>
        <w:tc>
          <w:tcPr>
            <w:tcW w:w="1871" w:type="dxa"/>
            <w:tcMar>
              <w:top w:w="91" w:type="dxa"/>
              <w:left w:w="0" w:type="dxa"/>
              <w:bottom w:w="91" w:type="dxa"/>
              <w:right w:w="0" w:type="dxa"/>
            </w:tcMar>
          </w:tcPr>
          <w:p w14:paraId="07AA7381" w14:textId="77777777" w:rsidR="00BF4529" w:rsidRDefault="00BF4529" w:rsidP="00BF4529">
            <w:pPr>
              <w:pStyle w:val="TableSideHeading"/>
              <w:spacing w:before="0"/>
              <w:ind w:right="0"/>
              <w:jc w:val="left"/>
              <w:rPr>
                <w:sz w:val="26"/>
                <w:rtl/>
              </w:rPr>
            </w:pPr>
          </w:p>
        </w:tc>
        <w:tc>
          <w:tcPr>
            <w:tcW w:w="624" w:type="dxa"/>
            <w:tcMar>
              <w:top w:w="91" w:type="dxa"/>
              <w:left w:w="0" w:type="dxa"/>
              <w:bottom w:w="91" w:type="dxa"/>
              <w:right w:w="0" w:type="dxa"/>
            </w:tcMar>
          </w:tcPr>
          <w:p w14:paraId="311DC1A1" w14:textId="77777777" w:rsidR="00BF4529" w:rsidRDefault="00BF4529" w:rsidP="00BF4529">
            <w:pPr>
              <w:pStyle w:val="TableText"/>
              <w:spacing w:before="0"/>
              <w:ind w:right="0"/>
              <w:rPr>
                <w:sz w:val="26"/>
                <w:rtl/>
              </w:rPr>
            </w:pPr>
          </w:p>
        </w:tc>
        <w:tc>
          <w:tcPr>
            <w:tcW w:w="624" w:type="dxa"/>
          </w:tcPr>
          <w:p w14:paraId="5D9A05F1"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78E2E130"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32E5EB32" w14:textId="77777777" w:rsidR="00BF4529" w:rsidRDefault="00BF4529" w:rsidP="00BF4529">
            <w:pPr>
              <w:pStyle w:val="TableText"/>
              <w:spacing w:before="0"/>
              <w:ind w:right="0"/>
              <w:rPr>
                <w:sz w:val="26"/>
                <w:rtl/>
              </w:rPr>
            </w:pPr>
          </w:p>
        </w:tc>
        <w:tc>
          <w:tcPr>
            <w:tcW w:w="624" w:type="dxa"/>
            <w:tcMar>
              <w:top w:w="91" w:type="dxa"/>
              <w:left w:w="0" w:type="dxa"/>
              <w:bottom w:w="91" w:type="dxa"/>
              <w:right w:w="0" w:type="dxa"/>
            </w:tcMar>
          </w:tcPr>
          <w:p w14:paraId="397CA146" w14:textId="77777777" w:rsidR="00BF4529" w:rsidRDefault="00BF4529" w:rsidP="00BF4529">
            <w:pPr>
              <w:pStyle w:val="TableBlock"/>
              <w:spacing w:before="0"/>
              <w:rPr>
                <w:rtl/>
              </w:rPr>
            </w:pPr>
          </w:p>
        </w:tc>
        <w:tc>
          <w:tcPr>
            <w:tcW w:w="624" w:type="dxa"/>
          </w:tcPr>
          <w:p w14:paraId="7D43D889" w14:textId="77777777" w:rsidR="00BF4529" w:rsidRDefault="00BF4529" w:rsidP="00BF4529">
            <w:pPr>
              <w:pStyle w:val="TableText"/>
              <w:spacing w:before="0"/>
              <w:ind w:right="0"/>
              <w:rPr>
                <w:rtl/>
              </w:rPr>
            </w:pPr>
          </w:p>
        </w:tc>
        <w:tc>
          <w:tcPr>
            <w:tcW w:w="4026" w:type="dxa"/>
            <w:gridSpan w:val="2"/>
            <w:hideMark/>
          </w:tcPr>
          <w:p w14:paraId="2ED7055E" w14:textId="77777777" w:rsidR="00BF4529" w:rsidRDefault="00BF4529" w:rsidP="00BF4529">
            <w:pPr>
              <w:pStyle w:val="TableText"/>
              <w:spacing w:before="0"/>
              <w:ind w:right="0"/>
              <w:rPr>
                <w:rtl/>
              </w:rPr>
            </w:pPr>
            <w:r>
              <w:rPr>
                <w:rFonts w:hint="cs"/>
                <w:sz w:val="26"/>
                <w:rtl/>
              </w:rPr>
              <w:t>(1)</w:t>
            </w:r>
            <w:r>
              <w:rPr>
                <w:rFonts w:hint="cs"/>
                <w:sz w:val="26"/>
                <w:rtl/>
              </w:rPr>
              <w:tab/>
              <w:t>שלא לדון בבקשתו של המבקש לקבלת הטבה;</w:t>
            </w:r>
          </w:p>
        </w:tc>
      </w:tr>
      <w:tr w:rsidR="00BF4529" w14:paraId="4CF077E2" w14:textId="77777777" w:rsidTr="00BF4529">
        <w:trPr>
          <w:cantSplit/>
        </w:trPr>
        <w:tc>
          <w:tcPr>
            <w:tcW w:w="1871" w:type="dxa"/>
            <w:tcMar>
              <w:top w:w="91" w:type="dxa"/>
              <w:left w:w="0" w:type="dxa"/>
              <w:bottom w:w="91" w:type="dxa"/>
              <w:right w:w="0" w:type="dxa"/>
            </w:tcMar>
          </w:tcPr>
          <w:p w14:paraId="3336046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A52BBF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015AC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03732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65A59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F8E667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FD2664"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EB69149" w14:textId="77777777" w:rsidR="00BF4529" w:rsidRDefault="00BF4529" w:rsidP="00BF4529">
            <w:pPr>
              <w:pStyle w:val="TableBlock"/>
              <w:spacing w:before="0"/>
              <w:rPr>
                <w:sz w:val="26"/>
                <w:rtl/>
              </w:rPr>
            </w:pPr>
            <w:r>
              <w:rPr>
                <w:rFonts w:hint="cs"/>
                <w:sz w:val="26"/>
                <w:rtl/>
              </w:rPr>
              <w:t>(2)</w:t>
            </w:r>
            <w:r>
              <w:rPr>
                <w:rFonts w:hint="cs"/>
                <w:sz w:val="26"/>
                <w:rtl/>
              </w:rPr>
              <w:tab/>
              <w:t xml:space="preserve">לדון בבקשתו של המבקש לקבלת הטבה, ואם אישרה את בקשתו למתן ההטבה – לעכב את מתן ההטבה או לדרוש בטוחה להבטחת תשלום החוב בהתאם להוראות סעיף קטן (ב). </w:t>
            </w:r>
          </w:p>
        </w:tc>
      </w:tr>
      <w:tr w:rsidR="00BF4529" w14:paraId="0A1A5E47" w14:textId="77777777" w:rsidTr="00BF4529">
        <w:trPr>
          <w:cantSplit/>
        </w:trPr>
        <w:tc>
          <w:tcPr>
            <w:tcW w:w="1871" w:type="dxa"/>
            <w:tcMar>
              <w:top w:w="91" w:type="dxa"/>
              <w:left w:w="0" w:type="dxa"/>
              <w:bottom w:w="91" w:type="dxa"/>
              <w:right w:w="0" w:type="dxa"/>
            </w:tcMar>
          </w:tcPr>
          <w:p w14:paraId="4033F53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452155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09A1D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891A86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6F5D9A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0AC710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3279EA32" w14:textId="77777777" w:rsidR="00BF4529" w:rsidRDefault="00BF4529" w:rsidP="00BF4529">
            <w:pPr>
              <w:pStyle w:val="TableBlock"/>
              <w:spacing w:before="0"/>
              <w:rPr>
                <w:sz w:val="26"/>
                <w:rtl/>
              </w:rPr>
            </w:pPr>
            <w:r>
              <w:rPr>
                <w:rFonts w:hint="cs"/>
                <w:sz w:val="26"/>
                <w:rtl/>
              </w:rPr>
              <w:t>(ב)</w:t>
            </w:r>
            <w:r>
              <w:rPr>
                <w:rFonts w:hint="cs"/>
                <w:sz w:val="26"/>
                <w:rtl/>
              </w:rPr>
              <w:tab/>
              <w:t>חב מבקש הטבה לרשות חוב, שתלוי ועומד לגביו הליך בבית משפט, והחוב לא שולם עד למועד הדיון בבקשה למתן ההטבה, תדון ועדת המחקר בבקשה; אישרה ועדת המחקר את הבקשה למתן ההטבה כאמור, רשאית היא לעכב את מתן הטבה או לדרוש בטוחה להבטחת תשלום החוב כתנאי למתן ההטבה, ובלבד שהתקיימו כל אלה:</w:t>
            </w:r>
          </w:p>
        </w:tc>
      </w:tr>
      <w:tr w:rsidR="00BF4529" w14:paraId="1E9468EA" w14:textId="77777777" w:rsidTr="00BF4529">
        <w:trPr>
          <w:cantSplit/>
        </w:trPr>
        <w:tc>
          <w:tcPr>
            <w:tcW w:w="1871" w:type="dxa"/>
            <w:tcMar>
              <w:top w:w="91" w:type="dxa"/>
              <w:left w:w="0" w:type="dxa"/>
              <w:bottom w:w="91" w:type="dxa"/>
              <w:right w:w="0" w:type="dxa"/>
            </w:tcMar>
          </w:tcPr>
          <w:p w14:paraId="309F82A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264886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D2A12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7E249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4FC97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F0D50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329AF4F"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137390C" w14:textId="77777777" w:rsidR="00BF4529" w:rsidRDefault="00BF4529" w:rsidP="00BF4529">
            <w:pPr>
              <w:pStyle w:val="TableBlock"/>
              <w:spacing w:before="0"/>
              <w:rPr>
                <w:sz w:val="26"/>
                <w:rtl/>
              </w:rPr>
            </w:pPr>
            <w:r>
              <w:rPr>
                <w:rFonts w:hint="cs"/>
                <w:sz w:val="26"/>
                <w:rtl/>
              </w:rPr>
              <w:t>(1)</w:t>
            </w:r>
            <w:r>
              <w:rPr>
                <w:rFonts w:hint="cs"/>
                <w:sz w:val="26"/>
                <w:rtl/>
              </w:rPr>
              <w:tab/>
              <w:t>עיכוב ההטבה או התנאתה בבטוחה כאמור יהיו רק עד להכרעה בהליך האמור, ואם הוכרע בהליך כי על מבקש ההטבה לשלם את החוב, כולו או חלקו – עד לביצוע התשלום כאמור;</w:t>
            </w:r>
          </w:p>
        </w:tc>
      </w:tr>
      <w:tr w:rsidR="00BF4529" w14:paraId="01454F95" w14:textId="77777777" w:rsidTr="00BF4529">
        <w:trPr>
          <w:cantSplit/>
        </w:trPr>
        <w:tc>
          <w:tcPr>
            <w:tcW w:w="1871" w:type="dxa"/>
            <w:tcMar>
              <w:top w:w="91" w:type="dxa"/>
              <w:left w:w="0" w:type="dxa"/>
              <w:bottom w:w="91" w:type="dxa"/>
              <w:right w:w="0" w:type="dxa"/>
            </w:tcMar>
          </w:tcPr>
          <w:p w14:paraId="3E898D8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E0780E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0E930B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FE3CD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71AB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3BDBC7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0F50285"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26E6C81" w14:textId="77777777" w:rsidR="00BF4529" w:rsidRDefault="00BF4529" w:rsidP="00BF4529">
            <w:pPr>
              <w:pStyle w:val="TableBlock"/>
              <w:spacing w:before="0"/>
              <w:rPr>
                <w:sz w:val="26"/>
                <w:rtl/>
              </w:rPr>
            </w:pPr>
            <w:r>
              <w:rPr>
                <w:rFonts w:hint="cs"/>
                <w:sz w:val="26"/>
                <w:rtl/>
              </w:rPr>
              <w:t>(2)</w:t>
            </w:r>
            <w:r>
              <w:rPr>
                <w:rFonts w:hint="cs"/>
                <w:sz w:val="26"/>
                <w:rtl/>
              </w:rPr>
              <w:tab/>
              <w:t>גובה ההטבה המעוכבת וגובה הבטוחה שנדרשה כאמור, לא יעלו על גובה החוב.</w:t>
            </w:r>
          </w:p>
        </w:tc>
      </w:tr>
      <w:tr w:rsidR="00BF4529" w14:paraId="030FC994" w14:textId="77777777" w:rsidTr="00BF4529">
        <w:trPr>
          <w:cantSplit/>
        </w:trPr>
        <w:tc>
          <w:tcPr>
            <w:tcW w:w="1871" w:type="dxa"/>
            <w:tcMar>
              <w:top w:w="91" w:type="dxa"/>
              <w:left w:w="0" w:type="dxa"/>
              <w:bottom w:w="91" w:type="dxa"/>
              <w:right w:w="0" w:type="dxa"/>
            </w:tcMar>
          </w:tcPr>
          <w:p w14:paraId="5B0ABBE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5D67BC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57932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AB6184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CE9AC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F14EAEE"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085AB76" w14:textId="77777777" w:rsidR="00BF4529" w:rsidRDefault="00BF4529" w:rsidP="00BF4529">
            <w:pPr>
              <w:pStyle w:val="TableBlock"/>
              <w:spacing w:before="0"/>
              <w:rPr>
                <w:sz w:val="26"/>
                <w:rtl/>
              </w:rPr>
            </w:pPr>
            <w:r>
              <w:rPr>
                <w:rFonts w:hint="cs"/>
                <w:sz w:val="26"/>
                <w:rtl/>
              </w:rPr>
              <w:t>(ג)</w:t>
            </w:r>
            <w:r>
              <w:rPr>
                <w:rFonts w:hint="cs"/>
                <w:sz w:val="26"/>
                <w:rtl/>
              </w:rPr>
              <w:tab/>
              <w:t>שילם מבקש הטבה חוב חלוט כאמור בפסקאות (2) או (3) להגדרה "חוב חלוט", לא יהיה בכך כדי לפגוע בסעדים או בזכויות העומדים לרשותו לגבי חוב ששילם כאמור.</w:t>
            </w:r>
          </w:p>
        </w:tc>
      </w:tr>
      <w:tr w:rsidR="00BF4529" w14:paraId="0E3F580C" w14:textId="77777777" w:rsidTr="00BF4529">
        <w:trPr>
          <w:cantSplit/>
        </w:trPr>
        <w:tc>
          <w:tcPr>
            <w:tcW w:w="1871" w:type="dxa"/>
            <w:tcMar>
              <w:top w:w="91" w:type="dxa"/>
              <w:left w:w="0" w:type="dxa"/>
              <w:bottom w:w="91" w:type="dxa"/>
              <w:right w:w="0" w:type="dxa"/>
            </w:tcMar>
          </w:tcPr>
          <w:p w14:paraId="0FB4E1F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94DD19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6D9CC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24C78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0841B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2CDED0F"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410C41A6" w14:textId="77777777" w:rsidR="00BF4529" w:rsidRDefault="00BF4529" w:rsidP="00BF4529">
            <w:pPr>
              <w:pStyle w:val="TableBlock"/>
              <w:spacing w:before="0"/>
              <w:rPr>
                <w:sz w:val="26"/>
                <w:rtl/>
              </w:rPr>
            </w:pPr>
            <w:r>
              <w:rPr>
                <w:rFonts w:hint="cs"/>
                <w:sz w:val="26"/>
                <w:rtl/>
              </w:rPr>
              <w:t>(ד)</w:t>
            </w:r>
            <w:r>
              <w:rPr>
                <w:rFonts w:hint="cs"/>
                <w:sz w:val="26"/>
                <w:rtl/>
              </w:rPr>
              <w:tab/>
              <w:t>בסעיף זה, "חוב חלוט" – כל אחד מאלה:</w:t>
            </w:r>
          </w:p>
        </w:tc>
      </w:tr>
      <w:tr w:rsidR="00BF4529" w14:paraId="4B070FDA" w14:textId="77777777" w:rsidTr="00BF4529">
        <w:trPr>
          <w:cantSplit/>
        </w:trPr>
        <w:tc>
          <w:tcPr>
            <w:tcW w:w="1871" w:type="dxa"/>
            <w:tcMar>
              <w:top w:w="91" w:type="dxa"/>
              <w:left w:w="0" w:type="dxa"/>
              <w:bottom w:w="91" w:type="dxa"/>
              <w:right w:w="0" w:type="dxa"/>
            </w:tcMar>
          </w:tcPr>
          <w:p w14:paraId="2F21769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CE409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09199C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C46F5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6EFF12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E029CD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489943"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1D2C640D" w14:textId="77777777" w:rsidR="00BF4529" w:rsidRDefault="00BF4529" w:rsidP="00BF4529">
            <w:pPr>
              <w:pStyle w:val="TableBlock"/>
              <w:spacing w:before="0"/>
              <w:rPr>
                <w:sz w:val="26"/>
                <w:rtl/>
              </w:rPr>
            </w:pPr>
            <w:r>
              <w:rPr>
                <w:rFonts w:hint="cs"/>
                <w:sz w:val="26"/>
                <w:rtl/>
              </w:rPr>
              <w:t>(1)</w:t>
            </w:r>
            <w:r>
              <w:rPr>
                <w:rFonts w:hint="cs"/>
                <w:sz w:val="26"/>
                <w:rtl/>
              </w:rPr>
              <w:tab/>
              <w:t>חוב שלא ניתן להגיש לגביו ערעור;</w:t>
            </w:r>
          </w:p>
        </w:tc>
      </w:tr>
      <w:tr w:rsidR="00BF4529" w14:paraId="31A79CF9" w14:textId="77777777" w:rsidTr="00BF4529">
        <w:trPr>
          <w:cantSplit/>
        </w:trPr>
        <w:tc>
          <w:tcPr>
            <w:tcW w:w="1871" w:type="dxa"/>
            <w:tcMar>
              <w:top w:w="91" w:type="dxa"/>
              <w:left w:w="0" w:type="dxa"/>
              <w:bottom w:w="91" w:type="dxa"/>
              <w:right w:w="0" w:type="dxa"/>
            </w:tcMar>
          </w:tcPr>
          <w:p w14:paraId="68F802D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D91305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F7813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32438F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FAA922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B6D3D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EAA75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2A239213" w14:textId="77777777" w:rsidR="00BF4529" w:rsidRDefault="00BF4529" w:rsidP="00BF4529">
            <w:pPr>
              <w:pStyle w:val="TableBlock"/>
              <w:spacing w:before="0"/>
              <w:rPr>
                <w:sz w:val="26"/>
                <w:rtl/>
              </w:rPr>
            </w:pPr>
            <w:r>
              <w:rPr>
                <w:rFonts w:hint="cs"/>
                <w:sz w:val="26"/>
                <w:rtl/>
              </w:rPr>
              <w:t>(2)</w:t>
            </w:r>
            <w:r>
              <w:rPr>
                <w:rFonts w:hint="cs"/>
                <w:sz w:val="26"/>
                <w:rtl/>
              </w:rPr>
              <w:tab/>
              <w:t xml:space="preserve">חוב שלא שולם בתוך 90 ימים מיום משלוח דרישת תשלום בכתב לגביו בידי הרשות, ובלבד שלא קיים לגביו הליך תלוי ועומד; </w:t>
            </w:r>
          </w:p>
        </w:tc>
      </w:tr>
      <w:tr w:rsidR="00BF4529" w14:paraId="20540406" w14:textId="77777777" w:rsidTr="00BF4529">
        <w:trPr>
          <w:cantSplit/>
        </w:trPr>
        <w:tc>
          <w:tcPr>
            <w:tcW w:w="1871" w:type="dxa"/>
            <w:tcMar>
              <w:top w:w="91" w:type="dxa"/>
              <w:left w:w="0" w:type="dxa"/>
              <w:bottom w:w="91" w:type="dxa"/>
              <w:right w:w="0" w:type="dxa"/>
            </w:tcMar>
          </w:tcPr>
          <w:p w14:paraId="063DCD8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C02A26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1D855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391235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206689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AE6957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B00A357"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52870191" w14:textId="77777777" w:rsidR="00BF4529" w:rsidRDefault="00BF4529" w:rsidP="00BF4529">
            <w:pPr>
              <w:pStyle w:val="TableBlock"/>
              <w:spacing w:before="0"/>
              <w:rPr>
                <w:sz w:val="26"/>
                <w:rtl/>
              </w:rPr>
            </w:pPr>
            <w:r>
              <w:rPr>
                <w:rFonts w:hint="cs"/>
                <w:sz w:val="26"/>
                <w:rtl/>
              </w:rPr>
              <w:t>(3)</w:t>
            </w:r>
            <w:r>
              <w:rPr>
                <w:rFonts w:hint="cs"/>
                <w:sz w:val="26"/>
                <w:rtl/>
              </w:rPr>
              <w:tab/>
              <w:t>היה הליך תלוי ועומד לגבי חלק מחוב שלא שולם כאמור בפסקה (2) – חלק החוב שאינו שנוי במחלוקת."</w:t>
            </w:r>
          </w:p>
        </w:tc>
      </w:tr>
      <w:tr w:rsidR="00BF4529" w14:paraId="02B8639C" w14:textId="77777777" w:rsidTr="00BF4529">
        <w:trPr>
          <w:cantSplit/>
        </w:trPr>
        <w:tc>
          <w:tcPr>
            <w:tcW w:w="1871" w:type="dxa"/>
            <w:tcMar>
              <w:top w:w="91" w:type="dxa"/>
              <w:left w:w="0" w:type="dxa"/>
              <w:bottom w:w="91" w:type="dxa"/>
              <w:right w:w="0" w:type="dxa"/>
            </w:tcMar>
            <w:hideMark/>
          </w:tcPr>
          <w:p w14:paraId="522B26AE" w14:textId="77777777" w:rsidR="00BF4529" w:rsidRDefault="00BF4529" w:rsidP="00BF4529">
            <w:pPr>
              <w:pStyle w:val="TableSideHeading"/>
              <w:spacing w:before="0"/>
              <w:jc w:val="left"/>
              <w:rPr>
                <w:sz w:val="26"/>
                <w:rtl/>
              </w:rPr>
            </w:pPr>
            <w:r>
              <w:rPr>
                <w:rFonts w:hint="cs"/>
                <w:sz w:val="26"/>
                <w:rtl/>
              </w:rPr>
              <w:t>תיקון סעיף 17</w:t>
            </w:r>
          </w:p>
        </w:tc>
        <w:tc>
          <w:tcPr>
            <w:tcW w:w="624" w:type="dxa"/>
            <w:tcMar>
              <w:top w:w="91" w:type="dxa"/>
              <w:left w:w="0" w:type="dxa"/>
              <w:bottom w:w="91" w:type="dxa"/>
              <w:right w:w="0" w:type="dxa"/>
            </w:tcMar>
            <w:hideMark/>
          </w:tcPr>
          <w:p w14:paraId="5C77CC82" w14:textId="77777777" w:rsidR="00BF4529" w:rsidRDefault="00BF4529" w:rsidP="00BF4529">
            <w:pPr>
              <w:pStyle w:val="TableText"/>
              <w:spacing w:before="0"/>
              <w:rPr>
                <w:sz w:val="26"/>
                <w:rtl/>
              </w:rPr>
            </w:pPr>
            <w:r>
              <w:rPr>
                <w:rFonts w:hint="cs"/>
                <w:sz w:val="26"/>
                <w:rtl/>
              </w:rPr>
              <w:t>18.</w:t>
            </w:r>
          </w:p>
        </w:tc>
        <w:tc>
          <w:tcPr>
            <w:tcW w:w="7146" w:type="dxa"/>
            <w:gridSpan w:val="7"/>
            <w:tcMar>
              <w:top w:w="91" w:type="dxa"/>
              <w:left w:w="0" w:type="dxa"/>
              <w:bottom w:w="91" w:type="dxa"/>
              <w:right w:w="0" w:type="dxa"/>
            </w:tcMar>
            <w:hideMark/>
          </w:tcPr>
          <w:p w14:paraId="7AED7542" w14:textId="77777777" w:rsidR="00BF4529" w:rsidRDefault="00BF4529" w:rsidP="00BF4529">
            <w:pPr>
              <w:pStyle w:val="TableBlock"/>
              <w:spacing w:before="0"/>
              <w:rPr>
                <w:sz w:val="26"/>
                <w:rtl/>
              </w:rPr>
            </w:pPr>
            <w:r>
              <w:rPr>
                <w:rFonts w:hint="cs"/>
                <w:sz w:val="26"/>
                <w:rtl/>
              </w:rPr>
              <w:t xml:space="preserve">בסעיף 17 לחוק העיקרי – </w:t>
            </w:r>
          </w:p>
        </w:tc>
      </w:tr>
      <w:tr w:rsidR="00BF4529" w14:paraId="1530B928" w14:textId="77777777" w:rsidTr="00BF4529">
        <w:trPr>
          <w:cantSplit/>
        </w:trPr>
        <w:tc>
          <w:tcPr>
            <w:tcW w:w="1871" w:type="dxa"/>
            <w:tcMar>
              <w:top w:w="91" w:type="dxa"/>
              <w:left w:w="0" w:type="dxa"/>
              <w:bottom w:w="91" w:type="dxa"/>
              <w:right w:w="0" w:type="dxa"/>
            </w:tcMar>
          </w:tcPr>
          <w:p w14:paraId="76D20A3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2E00407"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7077C1A" w14:textId="77777777" w:rsidR="00BF4529" w:rsidRDefault="00BF4529" w:rsidP="00BF4529">
            <w:pPr>
              <w:pStyle w:val="TableBlock"/>
              <w:spacing w:before="0"/>
              <w:rPr>
                <w:sz w:val="26"/>
                <w:rtl/>
              </w:rPr>
            </w:pPr>
            <w:r>
              <w:rPr>
                <w:rFonts w:hint="cs"/>
                <w:sz w:val="26"/>
                <w:rtl/>
              </w:rPr>
              <w:t>(1)</w:t>
            </w:r>
            <w:r>
              <w:rPr>
                <w:rFonts w:hint="cs"/>
                <w:sz w:val="26"/>
                <w:rtl/>
              </w:rPr>
              <w:tab/>
              <w:t>סעיפים קטנים (א) עד (ג) – בטלים;</w:t>
            </w:r>
          </w:p>
        </w:tc>
      </w:tr>
      <w:tr w:rsidR="00BF4529" w14:paraId="30890D00" w14:textId="77777777" w:rsidTr="00BF4529">
        <w:trPr>
          <w:cantSplit/>
        </w:trPr>
        <w:tc>
          <w:tcPr>
            <w:tcW w:w="1871" w:type="dxa"/>
            <w:tcMar>
              <w:top w:w="91" w:type="dxa"/>
              <w:left w:w="0" w:type="dxa"/>
              <w:bottom w:w="91" w:type="dxa"/>
              <w:right w:w="0" w:type="dxa"/>
            </w:tcMar>
          </w:tcPr>
          <w:p w14:paraId="093BE07E"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91FF4A6"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9F96AF5" w14:textId="77777777" w:rsidR="00BF4529" w:rsidRDefault="00BF4529" w:rsidP="00BF4529">
            <w:pPr>
              <w:pStyle w:val="TableBlock"/>
              <w:spacing w:before="0"/>
              <w:rPr>
                <w:sz w:val="26"/>
                <w:rtl/>
              </w:rPr>
            </w:pPr>
            <w:r>
              <w:rPr>
                <w:rFonts w:hint="cs"/>
                <w:sz w:val="26"/>
                <w:rtl/>
              </w:rPr>
              <w:t>(2)</w:t>
            </w:r>
            <w:r>
              <w:rPr>
                <w:rFonts w:hint="cs"/>
                <w:sz w:val="26"/>
                <w:rtl/>
              </w:rPr>
              <w:tab/>
              <w:t>בסעיפים קטנים (ד) ו-(ה), בכל מקום, במקום "ראש המינהל" יבוא "המנהל הכללי של הרשות".</w:t>
            </w:r>
          </w:p>
        </w:tc>
      </w:tr>
      <w:tr w:rsidR="00BF4529" w14:paraId="68CFFA42" w14:textId="77777777" w:rsidTr="00BF4529">
        <w:trPr>
          <w:cantSplit/>
        </w:trPr>
        <w:tc>
          <w:tcPr>
            <w:tcW w:w="1871" w:type="dxa"/>
            <w:tcMar>
              <w:top w:w="91" w:type="dxa"/>
              <w:left w:w="0" w:type="dxa"/>
              <w:bottom w:w="91" w:type="dxa"/>
              <w:right w:w="0" w:type="dxa"/>
            </w:tcMar>
            <w:hideMark/>
          </w:tcPr>
          <w:p w14:paraId="14C4843B" w14:textId="77777777" w:rsidR="00BF4529" w:rsidRDefault="00BF4529" w:rsidP="00BF4529">
            <w:pPr>
              <w:pStyle w:val="TableSideHeading"/>
              <w:spacing w:before="0"/>
              <w:jc w:val="left"/>
              <w:rPr>
                <w:sz w:val="26"/>
                <w:rtl/>
              </w:rPr>
            </w:pPr>
            <w:r>
              <w:rPr>
                <w:rFonts w:hint="cs"/>
                <w:sz w:val="26"/>
                <w:rtl/>
              </w:rPr>
              <w:t>תיקון סעיף 18</w:t>
            </w:r>
          </w:p>
        </w:tc>
        <w:tc>
          <w:tcPr>
            <w:tcW w:w="624" w:type="dxa"/>
            <w:tcMar>
              <w:top w:w="91" w:type="dxa"/>
              <w:left w:w="0" w:type="dxa"/>
              <w:bottom w:w="91" w:type="dxa"/>
              <w:right w:w="0" w:type="dxa"/>
            </w:tcMar>
            <w:hideMark/>
          </w:tcPr>
          <w:p w14:paraId="52118CFF" w14:textId="77777777" w:rsidR="00BF4529" w:rsidRDefault="00BF4529" w:rsidP="00BF4529">
            <w:pPr>
              <w:pStyle w:val="TableText"/>
              <w:spacing w:before="0"/>
              <w:rPr>
                <w:sz w:val="26"/>
                <w:rtl/>
              </w:rPr>
            </w:pPr>
            <w:r>
              <w:rPr>
                <w:rFonts w:hint="cs"/>
                <w:sz w:val="26"/>
                <w:rtl/>
              </w:rPr>
              <w:t>19.</w:t>
            </w:r>
          </w:p>
        </w:tc>
        <w:tc>
          <w:tcPr>
            <w:tcW w:w="7146" w:type="dxa"/>
            <w:gridSpan w:val="7"/>
            <w:tcMar>
              <w:top w:w="91" w:type="dxa"/>
              <w:left w:w="0" w:type="dxa"/>
              <w:bottom w:w="91" w:type="dxa"/>
              <w:right w:w="0" w:type="dxa"/>
            </w:tcMar>
            <w:hideMark/>
          </w:tcPr>
          <w:p w14:paraId="065AEA02" w14:textId="77777777" w:rsidR="00BF4529" w:rsidRDefault="00BF4529" w:rsidP="00BF4529">
            <w:pPr>
              <w:pStyle w:val="TableBlock"/>
              <w:spacing w:before="0"/>
              <w:rPr>
                <w:sz w:val="26"/>
                <w:rtl/>
              </w:rPr>
            </w:pPr>
            <w:r>
              <w:rPr>
                <w:rFonts w:hint="cs"/>
                <w:sz w:val="26"/>
                <w:rtl/>
              </w:rPr>
              <w:t>בסעיף 18 לחוק העיקרי –</w:t>
            </w:r>
          </w:p>
        </w:tc>
      </w:tr>
      <w:tr w:rsidR="00BF4529" w14:paraId="64EFDA09" w14:textId="77777777" w:rsidTr="00BF4529">
        <w:trPr>
          <w:cantSplit/>
        </w:trPr>
        <w:tc>
          <w:tcPr>
            <w:tcW w:w="1871" w:type="dxa"/>
            <w:tcMar>
              <w:top w:w="91" w:type="dxa"/>
              <w:left w:w="0" w:type="dxa"/>
              <w:bottom w:w="91" w:type="dxa"/>
              <w:right w:w="0" w:type="dxa"/>
            </w:tcMar>
          </w:tcPr>
          <w:p w14:paraId="0DC0A44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26AD34B"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738B11F" w14:textId="77777777" w:rsidR="00BF4529" w:rsidRDefault="00BF4529" w:rsidP="00BF4529">
            <w:pPr>
              <w:pStyle w:val="TableBlock"/>
              <w:spacing w:before="0"/>
              <w:rPr>
                <w:sz w:val="26"/>
                <w:rtl/>
              </w:rPr>
            </w:pPr>
            <w:r>
              <w:rPr>
                <w:rFonts w:hint="cs"/>
                <w:sz w:val="26"/>
                <w:rtl/>
              </w:rPr>
              <w:t>(1)</w:t>
            </w:r>
            <w:r>
              <w:rPr>
                <w:rFonts w:hint="cs"/>
                <w:sz w:val="26"/>
                <w:rtl/>
              </w:rPr>
              <w:tab/>
              <w:t>בסעיף קטן (א), הקטע החל במילים "מבחינת תוכן" עד המילים "בחינה אחרת" – יימחק;</w:t>
            </w:r>
          </w:p>
        </w:tc>
      </w:tr>
      <w:tr w:rsidR="00BF4529" w14:paraId="5454E08F" w14:textId="77777777" w:rsidTr="00BF4529">
        <w:trPr>
          <w:cantSplit/>
        </w:trPr>
        <w:tc>
          <w:tcPr>
            <w:tcW w:w="1871" w:type="dxa"/>
            <w:tcMar>
              <w:top w:w="91" w:type="dxa"/>
              <w:left w:w="0" w:type="dxa"/>
              <w:bottom w:w="91" w:type="dxa"/>
              <w:right w:w="0" w:type="dxa"/>
            </w:tcMar>
          </w:tcPr>
          <w:p w14:paraId="608C7B1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859EEF4"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7D30CDD2" w14:textId="77777777" w:rsidR="00BF4529" w:rsidRDefault="00BF4529" w:rsidP="00BF4529">
            <w:pPr>
              <w:pStyle w:val="TableBlock"/>
              <w:spacing w:before="0"/>
              <w:rPr>
                <w:sz w:val="26"/>
                <w:rtl/>
              </w:rPr>
            </w:pPr>
            <w:r>
              <w:rPr>
                <w:rFonts w:hint="cs"/>
                <w:sz w:val="26"/>
                <w:rtl/>
              </w:rPr>
              <w:t>(2)</w:t>
            </w:r>
            <w:r>
              <w:rPr>
                <w:rFonts w:hint="cs"/>
                <w:sz w:val="26"/>
                <w:rtl/>
              </w:rPr>
              <w:tab/>
              <w:t>בסעיף קטן (א1), בכל מקום, במקום "ברשומות" יבוא "באתר האינטרנט של הרשות";</w:t>
            </w:r>
          </w:p>
        </w:tc>
      </w:tr>
      <w:tr w:rsidR="00BF4529" w14:paraId="0EE55761" w14:textId="77777777" w:rsidTr="00BF4529">
        <w:trPr>
          <w:cantSplit/>
        </w:trPr>
        <w:tc>
          <w:tcPr>
            <w:tcW w:w="1871" w:type="dxa"/>
            <w:tcMar>
              <w:top w:w="91" w:type="dxa"/>
              <w:left w:w="0" w:type="dxa"/>
              <w:bottom w:w="91" w:type="dxa"/>
              <w:right w:w="0" w:type="dxa"/>
            </w:tcMar>
          </w:tcPr>
          <w:p w14:paraId="57379DB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BAB9363"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041FF20" w14:textId="77777777" w:rsidR="00BF4529" w:rsidRDefault="00BF4529" w:rsidP="00BF4529">
            <w:pPr>
              <w:pStyle w:val="TableBlock"/>
              <w:spacing w:before="0"/>
              <w:rPr>
                <w:sz w:val="26"/>
                <w:rtl/>
              </w:rPr>
            </w:pPr>
            <w:r>
              <w:rPr>
                <w:rFonts w:hint="cs"/>
                <w:sz w:val="26"/>
                <w:rtl/>
              </w:rPr>
              <w:t>(3)</w:t>
            </w:r>
            <w:r>
              <w:rPr>
                <w:rFonts w:hint="cs"/>
                <w:sz w:val="26"/>
                <w:rtl/>
              </w:rPr>
              <w:tab/>
              <w:t>בסעיף קטן (א2), ברישה, במקום "לראש המינהל" יבוא "לראש הרשות";</w:t>
            </w:r>
          </w:p>
        </w:tc>
      </w:tr>
      <w:tr w:rsidR="00BF4529" w14:paraId="2313C35B" w14:textId="77777777" w:rsidTr="00BF4529">
        <w:trPr>
          <w:cantSplit/>
        </w:trPr>
        <w:tc>
          <w:tcPr>
            <w:tcW w:w="1871" w:type="dxa"/>
            <w:tcMar>
              <w:top w:w="91" w:type="dxa"/>
              <w:left w:w="0" w:type="dxa"/>
              <w:bottom w:w="91" w:type="dxa"/>
              <w:right w:w="0" w:type="dxa"/>
            </w:tcMar>
          </w:tcPr>
          <w:p w14:paraId="0F55D52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ADF9D8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FABF647" w14:textId="77777777" w:rsidR="00BF4529" w:rsidRDefault="00BF4529" w:rsidP="00BF4529">
            <w:pPr>
              <w:pStyle w:val="TableBlock"/>
              <w:spacing w:before="0"/>
              <w:rPr>
                <w:sz w:val="26"/>
                <w:rtl/>
              </w:rPr>
            </w:pPr>
            <w:r>
              <w:rPr>
                <w:rFonts w:hint="cs"/>
                <w:sz w:val="26"/>
                <w:rtl/>
              </w:rPr>
              <w:t>(4)</w:t>
            </w:r>
            <w:r>
              <w:rPr>
                <w:rFonts w:hint="cs"/>
                <w:sz w:val="26"/>
                <w:rtl/>
              </w:rPr>
              <w:tab/>
              <w:t>סעיפים קטנים (ב) עד (ג) – בטלים.</w:t>
            </w:r>
          </w:p>
        </w:tc>
      </w:tr>
      <w:tr w:rsidR="00BF4529" w14:paraId="52983867" w14:textId="77777777" w:rsidTr="00BF4529">
        <w:trPr>
          <w:cantSplit/>
        </w:trPr>
        <w:tc>
          <w:tcPr>
            <w:tcW w:w="1871" w:type="dxa"/>
            <w:tcMar>
              <w:top w:w="91" w:type="dxa"/>
              <w:left w:w="0" w:type="dxa"/>
              <w:bottom w:w="91" w:type="dxa"/>
              <w:right w:w="0" w:type="dxa"/>
            </w:tcMar>
            <w:hideMark/>
          </w:tcPr>
          <w:p w14:paraId="483A516D" w14:textId="77777777" w:rsidR="00BF4529" w:rsidRDefault="00BF4529" w:rsidP="00BF4529">
            <w:pPr>
              <w:pStyle w:val="TableSideHeading"/>
              <w:spacing w:before="0"/>
              <w:jc w:val="left"/>
              <w:rPr>
                <w:sz w:val="26"/>
                <w:rtl/>
              </w:rPr>
            </w:pPr>
            <w:r>
              <w:rPr>
                <w:rFonts w:hint="cs"/>
                <w:sz w:val="26"/>
                <w:rtl/>
              </w:rPr>
              <w:t>תיקון סעיף 19</w:t>
            </w:r>
          </w:p>
        </w:tc>
        <w:tc>
          <w:tcPr>
            <w:tcW w:w="624" w:type="dxa"/>
            <w:tcMar>
              <w:top w:w="91" w:type="dxa"/>
              <w:left w:w="0" w:type="dxa"/>
              <w:bottom w:w="91" w:type="dxa"/>
              <w:right w:w="0" w:type="dxa"/>
            </w:tcMar>
            <w:hideMark/>
          </w:tcPr>
          <w:p w14:paraId="00529480" w14:textId="77777777" w:rsidR="00BF4529" w:rsidRDefault="00BF4529" w:rsidP="00BF4529">
            <w:pPr>
              <w:pStyle w:val="TableText"/>
              <w:spacing w:before="0"/>
              <w:rPr>
                <w:sz w:val="26"/>
                <w:rtl/>
              </w:rPr>
            </w:pPr>
            <w:r>
              <w:rPr>
                <w:rFonts w:hint="cs"/>
                <w:sz w:val="26"/>
                <w:rtl/>
              </w:rPr>
              <w:t>20.</w:t>
            </w:r>
          </w:p>
        </w:tc>
        <w:tc>
          <w:tcPr>
            <w:tcW w:w="7146" w:type="dxa"/>
            <w:gridSpan w:val="7"/>
            <w:tcMar>
              <w:top w:w="91" w:type="dxa"/>
              <w:left w:w="0" w:type="dxa"/>
              <w:bottom w:w="91" w:type="dxa"/>
              <w:right w:w="0" w:type="dxa"/>
            </w:tcMar>
            <w:hideMark/>
          </w:tcPr>
          <w:p w14:paraId="7B179411" w14:textId="77777777" w:rsidR="00BF4529" w:rsidRDefault="00BF4529" w:rsidP="00BF4529">
            <w:pPr>
              <w:pStyle w:val="TableBlock"/>
              <w:spacing w:before="0"/>
              <w:rPr>
                <w:sz w:val="26"/>
                <w:rtl/>
              </w:rPr>
            </w:pPr>
            <w:r>
              <w:rPr>
                <w:rFonts w:hint="cs"/>
                <w:sz w:val="26"/>
                <w:rtl/>
              </w:rPr>
              <w:t>בסעיף 19 לחוק העיקרי –</w:t>
            </w:r>
          </w:p>
        </w:tc>
      </w:tr>
      <w:tr w:rsidR="00BF4529" w14:paraId="5F2035F1" w14:textId="77777777" w:rsidTr="00BF4529">
        <w:trPr>
          <w:cantSplit/>
        </w:trPr>
        <w:tc>
          <w:tcPr>
            <w:tcW w:w="1871" w:type="dxa"/>
            <w:tcMar>
              <w:top w:w="91" w:type="dxa"/>
              <w:left w:w="0" w:type="dxa"/>
              <w:bottom w:w="91" w:type="dxa"/>
              <w:right w:w="0" w:type="dxa"/>
            </w:tcMar>
          </w:tcPr>
          <w:p w14:paraId="34B8A2C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A48B010"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1972982" w14:textId="77777777" w:rsidR="00BF4529" w:rsidRDefault="00BF4529" w:rsidP="00BF4529">
            <w:pPr>
              <w:pStyle w:val="TableBlock"/>
              <w:spacing w:before="0"/>
              <w:rPr>
                <w:sz w:val="26"/>
                <w:rtl/>
              </w:rPr>
            </w:pPr>
            <w:r>
              <w:rPr>
                <w:rFonts w:hint="cs"/>
                <w:sz w:val="26"/>
                <w:rtl/>
              </w:rPr>
              <w:t>(1)</w:t>
            </w:r>
            <w:r>
              <w:rPr>
                <w:rFonts w:hint="cs"/>
                <w:sz w:val="26"/>
                <w:rtl/>
              </w:rPr>
              <w:tab/>
              <w:t>סעיף קטן (א) – בטל;</w:t>
            </w:r>
          </w:p>
        </w:tc>
      </w:tr>
      <w:tr w:rsidR="00BF4529" w14:paraId="37180806" w14:textId="77777777" w:rsidTr="00BF4529">
        <w:trPr>
          <w:cantSplit/>
        </w:trPr>
        <w:tc>
          <w:tcPr>
            <w:tcW w:w="1871" w:type="dxa"/>
            <w:tcMar>
              <w:top w:w="91" w:type="dxa"/>
              <w:left w:w="0" w:type="dxa"/>
              <w:bottom w:w="91" w:type="dxa"/>
              <w:right w:w="0" w:type="dxa"/>
            </w:tcMar>
          </w:tcPr>
          <w:p w14:paraId="71C256F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78EF13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1C96AEE" w14:textId="77777777" w:rsidR="00BF4529" w:rsidRDefault="00BF4529" w:rsidP="00BF4529">
            <w:pPr>
              <w:pStyle w:val="TableBlock"/>
              <w:spacing w:before="0"/>
              <w:rPr>
                <w:sz w:val="26"/>
                <w:rtl/>
              </w:rPr>
            </w:pPr>
            <w:r>
              <w:rPr>
                <w:rFonts w:hint="cs"/>
                <w:sz w:val="26"/>
                <w:rtl/>
              </w:rPr>
              <w:t>(2)</w:t>
            </w:r>
            <w:r>
              <w:rPr>
                <w:rFonts w:hint="cs"/>
                <w:sz w:val="26"/>
                <w:rtl/>
              </w:rPr>
              <w:tab/>
              <w:t>בסעיף קטן (א1), ברישה, במקום "התעשיה המסחר והתעסוקה" יבוא "הכלכלה";</w:t>
            </w:r>
          </w:p>
        </w:tc>
      </w:tr>
      <w:tr w:rsidR="00BF4529" w14:paraId="060DC820" w14:textId="77777777" w:rsidTr="00BF4529">
        <w:trPr>
          <w:cantSplit/>
        </w:trPr>
        <w:tc>
          <w:tcPr>
            <w:tcW w:w="1871" w:type="dxa"/>
            <w:tcMar>
              <w:top w:w="91" w:type="dxa"/>
              <w:left w:w="0" w:type="dxa"/>
              <w:bottom w:w="91" w:type="dxa"/>
              <w:right w:w="0" w:type="dxa"/>
            </w:tcMar>
          </w:tcPr>
          <w:p w14:paraId="2FF8A6A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11EDBD0"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7E3B7C4" w14:textId="77777777" w:rsidR="00BF4529" w:rsidRDefault="00BF4529" w:rsidP="00BF4529">
            <w:pPr>
              <w:pStyle w:val="TableBlock"/>
              <w:spacing w:before="0"/>
              <w:rPr>
                <w:sz w:val="26"/>
                <w:rtl/>
              </w:rPr>
            </w:pPr>
            <w:r>
              <w:rPr>
                <w:rFonts w:hint="cs"/>
                <w:sz w:val="26"/>
                <w:rtl/>
              </w:rPr>
              <w:t>(3)</w:t>
            </w:r>
            <w:r>
              <w:rPr>
                <w:rFonts w:hint="cs"/>
                <w:sz w:val="26"/>
                <w:rtl/>
              </w:rPr>
              <w:tab/>
              <w:t>סעיפים קטנים (ב) עד (ג) – בטלים.</w:t>
            </w:r>
          </w:p>
        </w:tc>
      </w:tr>
      <w:tr w:rsidR="00BF4529" w14:paraId="14362F92" w14:textId="77777777" w:rsidTr="00BF4529">
        <w:trPr>
          <w:cantSplit/>
        </w:trPr>
        <w:tc>
          <w:tcPr>
            <w:tcW w:w="1871" w:type="dxa"/>
            <w:tcMar>
              <w:top w:w="91" w:type="dxa"/>
              <w:left w:w="0" w:type="dxa"/>
              <w:bottom w:w="91" w:type="dxa"/>
              <w:right w:w="0" w:type="dxa"/>
            </w:tcMar>
            <w:hideMark/>
          </w:tcPr>
          <w:p w14:paraId="59C33902" w14:textId="77777777" w:rsidR="00BF4529" w:rsidRDefault="00BF4529" w:rsidP="00BF4529">
            <w:pPr>
              <w:pStyle w:val="TableSideHeading"/>
              <w:spacing w:before="0"/>
              <w:jc w:val="left"/>
              <w:rPr>
                <w:sz w:val="26"/>
                <w:rtl/>
              </w:rPr>
            </w:pPr>
            <w:r>
              <w:rPr>
                <w:rFonts w:hint="cs"/>
                <w:sz w:val="26"/>
                <w:rtl/>
              </w:rPr>
              <w:t>ביטול סעיפים</w:t>
            </w:r>
            <w:r>
              <w:rPr>
                <w:rFonts w:hint="cs"/>
                <w:sz w:val="26"/>
                <w:rtl/>
              </w:rPr>
              <w:br/>
              <w:t>19א ו-19ב</w:t>
            </w:r>
          </w:p>
        </w:tc>
        <w:tc>
          <w:tcPr>
            <w:tcW w:w="624" w:type="dxa"/>
            <w:tcMar>
              <w:top w:w="91" w:type="dxa"/>
              <w:left w:w="0" w:type="dxa"/>
              <w:bottom w:w="91" w:type="dxa"/>
              <w:right w:w="0" w:type="dxa"/>
            </w:tcMar>
            <w:hideMark/>
          </w:tcPr>
          <w:p w14:paraId="316EE336" w14:textId="77777777" w:rsidR="00BF4529" w:rsidRDefault="00BF4529" w:rsidP="00BF4529">
            <w:pPr>
              <w:pStyle w:val="TableText"/>
              <w:spacing w:before="0"/>
              <w:rPr>
                <w:sz w:val="26"/>
                <w:rtl/>
              </w:rPr>
            </w:pPr>
            <w:r>
              <w:rPr>
                <w:rFonts w:hint="cs"/>
                <w:sz w:val="26"/>
                <w:rtl/>
              </w:rPr>
              <w:t>21.</w:t>
            </w:r>
          </w:p>
        </w:tc>
        <w:tc>
          <w:tcPr>
            <w:tcW w:w="7146" w:type="dxa"/>
            <w:gridSpan w:val="7"/>
            <w:tcMar>
              <w:top w:w="91" w:type="dxa"/>
              <w:left w:w="0" w:type="dxa"/>
              <w:bottom w:w="91" w:type="dxa"/>
              <w:right w:w="0" w:type="dxa"/>
            </w:tcMar>
            <w:hideMark/>
          </w:tcPr>
          <w:p w14:paraId="060F4E29" w14:textId="77777777" w:rsidR="00BF4529" w:rsidRDefault="00BF4529" w:rsidP="00BF4529">
            <w:pPr>
              <w:pStyle w:val="TableBlock"/>
              <w:spacing w:before="0"/>
              <w:rPr>
                <w:sz w:val="26"/>
                <w:rtl/>
              </w:rPr>
            </w:pPr>
            <w:r>
              <w:rPr>
                <w:rFonts w:hint="cs"/>
                <w:sz w:val="26"/>
                <w:rtl/>
              </w:rPr>
              <w:t>סעיפים 19א ו-19ב לחוק העיקרי – בטלים.</w:t>
            </w:r>
          </w:p>
        </w:tc>
      </w:tr>
      <w:tr w:rsidR="00BF4529" w14:paraId="3AA8B908" w14:textId="77777777" w:rsidTr="00BF4529">
        <w:trPr>
          <w:cantSplit/>
        </w:trPr>
        <w:tc>
          <w:tcPr>
            <w:tcW w:w="1871" w:type="dxa"/>
            <w:tcMar>
              <w:top w:w="91" w:type="dxa"/>
              <w:left w:w="0" w:type="dxa"/>
              <w:bottom w:w="91" w:type="dxa"/>
              <w:right w:w="0" w:type="dxa"/>
            </w:tcMar>
            <w:hideMark/>
          </w:tcPr>
          <w:p w14:paraId="7DCBC21C" w14:textId="77777777" w:rsidR="00BF4529" w:rsidRDefault="00BF4529" w:rsidP="00BF4529">
            <w:pPr>
              <w:pStyle w:val="TableSideHeading"/>
              <w:spacing w:before="0"/>
              <w:jc w:val="left"/>
              <w:rPr>
                <w:sz w:val="26"/>
                <w:rtl/>
              </w:rPr>
            </w:pPr>
            <w:r>
              <w:rPr>
                <w:rFonts w:hint="cs"/>
                <w:sz w:val="26"/>
                <w:rtl/>
              </w:rPr>
              <w:t>החלפת סעיף 20</w:t>
            </w:r>
          </w:p>
        </w:tc>
        <w:tc>
          <w:tcPr>
            <w:tcW w:w="624" w:type="dxa"/>
            <w:tcMar>
              <w:top w:w="91" w:type="dxa"/>
              <w:left w:w="0" w:type="dxa"/>
              <w:bottom w:w="91" w:type="dxa"/>
              <w:right w:w="0" w:type="dxa"/>
            </w:tcMar>
            <w:hideMark/>
          </w:tcPr>
          <w:p w14:paraId="0CE2B6B8" w14:textId="77777777" w:rsidR="00BF4529" w:rsidRDefault="00BF4529" w:rsidP="00BF4529">
            <w:pPr>
              <w:pStyle w:val="TableText"/>
              <w:spacing w:before="0"/>
              <w:rPr>
                <w:sz w:val="26"/>
                <w:rtl/>
              </w:rPr>
            </w:pPr>
            <w:r>
              <w:rPr>
                <w:rFonts w:hint="cs"/>
                <w:sz w:val="26"/>
                <w:rtl/>
              </w:rPr>
              <w:t>22.</w:t>
            </w:r>
          </w:p>
        </w:tc>
        <w:tc>
          <w:tcPr>
            <w:tcW w:w="7146" w:type="dxa"/>
            <w:gridSpan w:val="7"/>
            <w:tcMar>
              <w:top w:w="91" w:type="dxa"/>
              <w:left w:w="0" w:type="dxa"/>
              <w:bottom w:w="91" w:type="dxa"/>
              <w:right w:w="0" w:type="dxa"/>
            </w:tcMar>
            <w:hideMark/>
          </w:tcPr>
          <w:p w14:paraId="70885EC6" w14:textId="77777777" w:rsidR="00BF4529" w:rsidRDefault="00BF4529" w:rsidP="00BF4529">
            <w:pPr>
              <w:pStyle w:val="TableBlock"/>
              <w:spacing w:before="0"/>
              <w:rPr>
                <w:sz w:val="26"/>
                <w:rtl/>
              </w:rPr>
            </w:pPr>
            <w:r>
              <w:rPr>
                <w:rFonts w:hint="cs"/>
                <w:sz w:val="26"/>
                <w:rtl/>
              </w:rPr>
              <w:t>במקום סעיף 20 לחוק העיקרי יבוא:</w:t>
            </w:r>
          </w:p>
        </w:tc>
      </w:tr>
      <w:tr w:rsidR="00BF4529" w14:paraId="4B265A3A" w14:textId="77777777" w:rsidTr="00BF4529">
        <w:trPr>
          <w:cantSplit/>
        </w:trPr>
        <w:tc>
          <w:tcPr>
            <w:tcW w:w="1871" w:type="dxa"/>
            <w:tcMar>
              <w:top w:w="91" w:type="dxa"/>
              <w:left w:w="0" w:type="dxa"/>
              <w:bottom w:w="91" w:type="dxa"/>
              <w:right w:w="0" w:type="dxa"/>
            </w:tcMar>
          </w:tcPr>
          <w:p w14:paraId="75CF3F5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ABE1233"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58CCF27C" w14:textId="77777777" w:rsidR="00BF4529" w:rsidRDefault="00BF4529" w:rsidP="00BF4529">
            <w:pPr>
              <w:pStyle w:val="TableInnerSideHeading"/>
              <w:spacing w:before="0"/>
              <w:jc w:val="left"/>
              <w:rPr>
                <w:sz w:val="26"/>
                <w:rtl/>
              </w:rPr>
            </w:pPr>
            <w:r>
              <w:rPr>
                <w:rFonts w:hint="cs"/>
                <w:sz w:val="26"/>
                <w:rtl/>
              </w:rPr>
              <w:t>"דינים וחשבונות</w:t>
            </w:r>
          </w:p>
        </w:tc>
        <w:tc>
          <w:tcPr>
            <w:tcW w:w="624" w:type="dxa"/>
            <w:tcMar>
              <w:top w:w="91" w:type="dxa"/>
              <w:left w:w="0" w:type="dxa"/>
              <w:bottom w:w="91" w:type="dxa"/>
              <w:right w:w="0" w:type="dxa"/>
            </w:tcMar>
            <w:hideMark/>
          </w:tcPr>
          <w:p w14:paraId="497F7595" w14:textId="77777777" w:rsidR="00BF4529" w:rsidRDefault="00BF4529" w:rsidP="00BF4529">
            <w:pPr>
              <w:pStyle w:val="TableText"/>
              <w:spacing w:before="0"/>
              <w:rPr>
                <w:sz w:val="26"/>
                <w:rtl/>
              </w:rPr>
            </w:pPr>
            <w:r>
              <w:rPr>
                <w:rFonts w:hint="cs"/>
                <w:sz w:val="26"/>
                <w:rtl/>
              </w:rPr>
              <w:t>20.</w:t>
            </w:r>
          </w:p>
        </w:tc>
        <w:tc>
          <w:tcPr>
            <w:tcW w:w="4650" w:type="dxa"/>
            <w:gridSpan w:val="3"/>
            <w:tcMar>
              <w:top w:w="91" w:type="dxa"/>
              <w:left w:w="0" w:type="dxa"/>
              <w:bottom w:w="91" w:type="dxa"/>
              <w:right w:w="0" w:type="dxa"/>
            </w:tcMar>
            <w:hideMark/>
          </w:tcPr>
          <w:p w14:paraId="39CEBC9B" w14:textId="77777777" w:rsidR="00BF4529" w:rsidRDefault="00BF4529" w:rsidP="00BF4529">
            <w:pPr>
              <w:pStyle w:val="TableBlock"/>
              <w:spacing w:before="0"/>
              <w:rPr>
                <w:sz w:val="26"/>
                <w:rtl/>
              </w:rPr>
            </w:pPr>
            <w:r>
              <w:rPr>
                <w:rFonts w:hint="cs"/>
                <w:sz w:val="26"/>
                <w:rtl/>
              </w:rPr>
              <w:t>מקבל הטבה יגיש דין וחשבון על התקדמות הפעילות שאושרה לו ודין חשבון על ההוצאות המאושרות שביצע, והכול במועדים ועל פי נוהל שתקבע ועדת המחקר ושיפורסם באתר האינטרנט של הרשות."</w:t>
            </w:r>
          </w:p>
        </w:tc>
      </w:tr>
      <w:tr w:rsidR="00BF4529" w14:paraId="0775A193" w14:textId="77777777" w:rsidTr="00BF4529">
        <w:trPr>
          <w:cantSplit/>
        </w:trPr>
        <w:tc>
          <w:tcPr>
            <w:tcW w:w="1871" w:type="dxa"/>
            <w:tcMar>
              <w:top w:w="91" w:type="dxa"/>
              <w:left w:w="0" w:type="dxa"/>
              <w:bottom w:w="91" w:type="dxa"/>
              <w:right w:w="0" w:type="dxa"/>
            </w:tcMar>
            <w:hideMark/>
          </w:tcPr>
          <w:p w14:paraId="19604DB2" w14:textId="77777777" w:rsidR="00BF4529" w:rsidRDefault="00BF4529" w:rsidP="00BF4529">
            <w:pPr>
              <w:pStyle w:val="TableSideHeading"/>
              <w:spacing w:before="0"/>
              <w:jc w:val="left"/>
              <w:rPr>
                <w:sz w:val="26"/>
                <w:rtl/>
              </w:rPr>
            </w:pPr>
            <w:r>
              <w:rPr>
                <w:rFonts w:hint="cs"/>
                <w:sz w:val="26"/>
                <w:rtl/>
              </w:rPr>
              <w:t>תיקון סעיף 21</w:t>
            </w:r>
          </w:p>
        </w:tc>
        <w:tc>
          <w:tcPr>
            <w:tcW w:w="624" w:type="dxa"/>
            <w:tcMar>
              <w:top w:w="91" w:type="dxa"/>
              <w:left w:w="0" w:type="dxa"/>
              <w:bottom w:w="91" w:type="dxa"/>
              <w:right w:w="0" w:type="dxa"/>
            </w:tcMar>
            <w:hideMark/>
          </w:tcPr>
          <w:p w14:paraId="1E916B5A" w14:textId="77777777" w:rsidR="00BF4529" w:rsidRDefault="00BF4529" w:rsidP="00BF4529">
            <w:pPr>
              <w:pStyle w:val="TableText"/>
              <w:spacing w:before="0"/>
              <w:rPr>
                <w:sz w:val="26"/>
                <w:rtl/>
              </w:rPr>
            </w:pPr>
            <w:r>
              <w:rPr>
                <w:rFonts w:hint="cs"/>
                <w:sz w:val="26"/>
                <w:rtl/>
              </w:rPr>
              <w:t>23.</w:t>
            </w:r>
          </w:p>
        </w:tc>
        <w:tc>
          <w:tcPr>
            <w:tcW w:w="7146" w:type="dxa"/>
            <w:gridSpan w:val="7"/>
            <w:tcMar>
              <w:top w:w="91" w:type="dxa"/>
              <w:left w:w="0" w:type="dxa"/>
              <w:bottom w:w="91" w:type="dxa"/>
              <w:right w:w="0" w:type="dxa"/>
            </w:tcMar>
            <w:hideMark/>
          </w:tcPr>
          <w:p w14:paraId="4BD00C53" w14:textId="77777777" w:rsidR="00BF4529" w:rsidRDefault="00BF4529" w:rsidP="00BF4529">
            <w:pPr>
              <w:pStyle w:val="TableBlock"/>
              <w:spacing w:before="0"/>
              <w:rPr>
                <w:sz w:val="26"/>
                <w:rtl/>
              </w:rPr>
            </w:pPr>
            <w:r>
              <w:rPr>
                <w:rFonts w:hint="cs"/>
                <w:sz w:val="26"/>
                <w:rtl/>
              </w:rPr>
              <w:t>בסעיף 21 לחוק העיקרי –</w:t>
            </w:r>
          </w:p>
        </w:tc>
      </w:tr>
      <w:tr w:rsidR="00BF4529" w14:paraId="14D8625F" w14:textId="77777777" w:rsidTr="00BF4529">
        <w:trPr>
          <w:cantSplit/>
        </w:trPr>
        <w:tc>
          <w:tcPr>
            <w:tcW w:w="1871" w:type="dxa"/>
            <w:tcMar>
              <w:top w:w="91" w:type="dxa"/>
              <w:left w:w="0" w:type="dxa"/>
              <w:bottom w:w="91" w:type="dxa"/>
              <w:right w:w="0" w:type="dxa"/>
            </w:tcMar>
          </w:tcPr>
          <w:p w14:paraId="46C43A9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107FFC0"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AEB6D99" w14:textId="77777777" w:rsidR="00BF4529" w:rsidRDefault="00BF4529" w:rsidP="00BF4529">
            <w:pPr>
              <w:pStyle w:val="TableBlock"/>
              <w:spacing w:before="0"/>
              <w:rPr>
                <w:sz w:val="26"/>
                <w:rtl/>
              </w:rPr>
            </w:pPr>
            <w:r>
              <w:rPr>
                <w:rFonts w:hint="cs"/>
                <w:sz w:val="26"/>
                <w:rtl/>
              </w:rPr>
              <w:t>(1)</w:t>
            </w:r>
            <w:r>
              <w:rPr>
                <w:rFonts w:hint="cs"/>
                <w:sz w:val="26"/>
                <w:rtl/>
              </w:rPr>
              <w:tab/>
              <w:t xml:space="preserve">בסעיף קטן (א) – </w:t>
            </w:r>
          </w:p>
        </w:tc>
      </w:tr>
      <w:tr w:rsidR="00BF4529" w14:paraId="6047548E" w14:textId="77777777" w:rsidTr="00BF4529">
        <w:trPr>
          <w:cantSplit/>
        </w:trPr>
        <w:tc>
          <w:tcPr>
            <w:tcW w:w="1871" w:type="dxa"/>
            <w:tcMar>
              <w:top w:w="91" w:type="dxa"/>
              <w:left w:w="0" w:type="dxa"/>
              <w:bottom w:w="91" w:type="dxa"/>
              <w:right w:w="0" w:type="dxa"/>
            </w:tcMar>
          </w:tcPr>
          <w:p w14:paraId="4C429D8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2A2BED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87FA2FC"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39C5A77" w14:textId="77777777" w:rsidR="00BF4529" w:rsidRDefault="00BF4529" w:rsidP="00BF4529">
            <w:pPr>
              <w:pStyle w:val="TableBlock"/>
              <w:spacing w:before="0"/>
              <w:rPr>
                <w:sz w:val="26"/>
                <w:rtl/>
              </w:rPr>
            </w:pPr>
            <w:r>
              <w:rPr>
                <w:rFonts w:hint="cs"/>
                <w:sz w:val="26"/>
                <w:rtl/>
              </w:rPr>
              <w:t>(א)</w:t>
            </w:r>
            <w:r>
              <w:rPr>
                <w:rFonts w:hint="cs"/>
                <w:sz w:val="26"/>
                <w:rtl/>
              </w:rPr>
              <w:tab/>
              <w:t>ברישה, במקום "מי שניתן לו אישור ישלם, לאוצר המדינה" יבוא "מי שניתן לו אישור כאמור בסעיף 17(ד), במסגרת מסלולי הטבות שבהם קבעה המועצה תשלום תמלוגים, ישלם לאוצר המדינה";</w:t>
            </w:r>
          </w:p>
        </w:tc>
      </w:tr>
      <w:tr w:rsidR="00BF4529" w14:paraId="3C43452A" w14:textId="77777777" w:rsidTr="00BF4529">
        <w:trPr>
          <w:cantSplit/>
        </w:trPr>
        <w:tc>
          <w:tcPr>
            <w:tcW w:w="1871" w:type="dxa"/>
            <w:tcMar>
              <w:top w:w="91" w:type="dxa"/>
              <w:left w:w="0" w:type="dxa"/>
              <w:bottom w:w="91" w:type="dxa"/>
              <w:right w:w="0" w:type="dxa"/>
            </w:tcMar>
          </w:tcPr>
          <w:p w14:paraId="2B83B6C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708FA4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75DF17"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AFC4DD8" w14:textId="77777777" w:rsidR="00BF4529" w:rsidRDefault="00BF4529" w:rsidP="00BF4529">
            <w:pPr>
              <w:pStyle w:val="TableBlock"/>
              <w:spacing w:before="0"/>
              <w:rPr>
                <w:sz w:val="26"/>
                <w:rtl/>
              </w:rPr>
            </w:pPr>
            <w:r>
              <w:rPr>
                <w:rFonts w:hint="cs"/>
                <w:sz w:val="26"/>
                <w:rtl/>
              </w:rPr>
              <w:t>(ב)</w:t>
            </w:r>
            <w:r>
              <w:rPr>
                <w:rFonts w:hint="cs"/>
                <w:sz w:val="26"/>
                <w:rtl/>
              </w:rPr>
              <w:tab/>
              <w:t xml:space="preserve">במקום ההגדרה "הכנסה" יבוא: </w:t>
            </w:r>
          </w:p>
        </w:tc>
      </w:tr>
      <w:tr w:rsidR="00BF4529" w14:paraId="27919260" w14:textId="77777777" w:rsidTr="00BF4529">
        <w:trPr>
          <w:cantSplit/>
        </w:trPr>
        <w:tc>
          <w:tcPr>
            <w:tcW w:w="1871" w:type="dxa"/>
            <w:tcMar>
              <w:top w:w="91" w:type="dxa"/>
              <w:left w:w="0" w:type="dxa"/>
              <w:bottom w:w="91" w:type="dxa"/>
              <w:right w:w="0" w:type="dxa"/>
            </w:tcMar>
          </w:tcPr>
          <w:p w14:paraId="7BC1331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DD233E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1EF00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1EB09B7"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60E0B521" w14:textId="77777777" w:rsidR="00BF4529" w:rsidRDefault="00BF4529" w:rsidP="00BF4529">
            <w:pPr>
              <w:pStyle w:val="TableBlockOutdent"/>
              <w:spacing w:before="0"/>
              <w:rPr>
                <w:sz w:val="26"/>
                <w:rtl/>
              </w:rPr>
            </w:pPr>
            <w:r>
              <w:rPr>
                <w:rFonts w:hint="cs"/>
                <w:sz w:val="26"/>
                <w:rtl/>
              </w:rPr>
              <w:t>""הכנסה" – כפי שתקבע המועצה במסלול ההטבות.";</w:t>
            </w:r>
          </w:p>
        </w:tc>
      </w:tr>
      <w:tr w:rsidR="00BF4529" w14:paraId="4CCFD53B" w14:textId="77777777" w:rsidTr="00BF4529">
        <w:trPr>
          <w:cantSplit/>
        </w:trPr>
        <w:tc>
          <w:tcPr>
            <w:tcW w:w="1871" w:type="dxa"/>
            <w:tcMar>
              <w:top w:w="91" w:type="dxa"/>
              <w:left w:w="0" w:type="dxa"/>
              <w:bottom w:w="91" w:type="dxa"/>
              <w:right w:w="0" w:type="dxa"/>
            </w:tcMar>
          </w:tcPr>
          <w:p w14:paraId="16A9291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29B3F3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8D5CABF" w14:textId="77777777" w:rsidR="00BF4529" w:rsidRDefault="00BF4529" w:rsidP="00BF4529">
            <w:pPr>
              <w:pStyle w:val="TableBlock"/>
              <w:spacing w:before="0"/>
              <w:rPr>
                <w:sz w:val="26"/>
                <w:rtl/>
              </w:rPr>
            </w:pPr>
            <w:r>
              <w:rPr>
                <w:rFonts w:hint="cs"/>
                <w:sz w:val="26"/>
                <w:rtl/>
              </w:rPr>
              <w:t>(2)</w:t>
            </w:r>
            <w:r>
              <w:rPr>
                <w:rFonts w:hint="cs"/>
                <w:sz w:val="26"/>
                <w:rtl/>
              </w:rPr>
              <w:tab/>
              <w:t xml:space="preserve">סעיף קטן (ב) – בטל; </w:t>
            </w:r>
          </w:p>
        </w:tc>
      </w:tr>
      <w:tr w:rsidR="00BF4529" w14:paraId="59375187" w14:textId="77777777" w:rsidTr="00BF4529">
        <w:trPr>
          <w:cantSplit/>
        </w:trPr>
        <w:tc>
          <w:tcPr>
            <w:tcW w:w="1871" w:type="dxa"/>
            <w:tcMar>
              <w:top w:w="91" w:type="dxa"/>
              <w:left w:w="0" w:type="dxa"/>
              <w:bottom w:w="91" w:type="dxa"/>
              <w:right w:w="0" w:type="dxa"/>
            </w:tcMar>
          </w:tcPr>
          <w:p w14:paraId="5C341C1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6266829"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A76C384" w14:textId="77777777" w:rsidR="00BF4529" w:rsidRDefault="00BF4529" w:rsidP="00BF4529">
            <w:pPr>
              <w:pStyle w:val="TableBlock"/>
              <w:spacing w:before="0"/>
              <w:rPr>
                <w:sz w:val="26"/>
                <w:rtl/>
              </w:rPr>
            </w:pPr>
            <w:r>
              <w:rPr>
                <w:rFonts w:hint="cs"/>
                <w:sz w:val="26"/>
                <w:rtl/>
              </w:rPr>
              <w:t>(3)</w:t>
            </w:r>
            <w:r>
              <w:rPr>
                <w:rFonts w:hint="cs"/>
                <w:sz w:val="26"/>
                <w:rtl/>
              </w:rPr>
              <w:tab/>
              <w:t xml:space="preserve">במקום סעיף קטן (ג) יבוא: </w:t>
            </w:r>
          </w:p>
        </w:tc>
      </w:tr>
      <w:tr w:rsidR="00BF4529" w14:paraId="2614E9F7" w14:textId="77777777" w:rsidTr="00BF4529">
        <w:trPr>
          <w:cantSplit/>
        </w:trPr>
        <w:tc>
          <w:tcPr>
            <w:tcW w:w="1871" w:type="dxa"/>
            <w:tcMar>
              <w:top w:w="91" w:type="dxa"/>
              <w:left w:w="0" w:type="dxa"/>
              <w:bottom w:w="91" w:type="dxa"/>
              <w:right w:w="0" w:type="dxa"/>
            </w:tcMar>
          </w:tcPr>
          <w:p w14:paraId="3A3F992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4E4848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BE0551"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DDEC413" w14:textId="77777777" w:rsidR="00BF4529" w:rsidRDefault="00BF4529" w:rsidP="00BF4529">
            <w:pPr>
              <w:pStyle w:val="TableBlock"/>
              <w:spacing w:before="0"/>
              <w:rPr>
                <w:sz w:val="26"/>
                <w:rtl/>
              </w:rPr>
            </w:pPr>
            <w:r>
              <w:rPr>
                <w:rFonts w:hint="cs"/>
                <w:sz w:val="26"/>
                <w:rtl/>
              </w:rPr>
              <w:t>"(ג)</w:t>
            </w:r>
            <w:r>
              <w:rPr>
                <w:rFonts w:hint="cs"/>
                <w:sz w:val="26"/>
                <w:rtl/>
              </w:rPr>
              <w:tab/>
              <w:t>התמלוגים ישולמו בשיעורים ולפי הוראות שתקבע המועצה במסלולי ההטבות השונים.";</w:t>
            </w:r>
          </w:p>
        </w:tc>
      </w:tr>
      <w:tr w:rsidR="00BF4529" w14:paraId="43FF4EAF" w14:textId="77777777" w:rsidTr="00BF4529">
        <w:trPr>
          <w:cantSplit/>
        </w:trPr>
        <w:tc>
          <w:tcPr>
            <w:tcW w:w="1871" w:type="dxa"/>
            <w:tcMar>
              <w:top w:w="91" w:type="dxa"/>
              <w:left w:w="0" w:type="dxa"/>
              <w:bottom w:w="91" w:type="dxa"/>
              <w:right w:w="0" w:type="dxa"/>
            </w:tcMar>
          </w:tcPr>
          <w:p w14:paraId="0B60732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E2DC75B"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0D45A609" w14:textId="77777777" w:rsidR="00BF4529" w:rsidRDefault="00BF4529" w:rsidP="00BF4529">
            <w:pPr>
              <w:pStyle w:val="TableBlock"/>
              <w:spacing w:before="0"/>
              <w:rPr>
                <w:sz w:val="26"/>
                <w:rtl/>
              </w:rPr>
            </w:pPr>
            <w:r>
              <w:rPr>
                <w:rFonts w:hint="cs"/>
                <w:sz w:val="26"/>
                <w:rtl/>
              </w:rPr>
              <w:t>(4)</w:t>
            </w:r>
            <w:r>
              <w:rPr>
                <w:rFonts w:hint="cs"/>
                <w:sz w:val="26"/>
                <w:rtl/>
              </w:rPr>
              <w:tab/>
              <w:t>בסעיף קטן (ד), בסופו יבוא "ויראו את חשב הרשות כממונה על הגבייה לפי הפקודה האמורה."</w:t>
            </w:r>
          </w:p>
        </w:tc>
      </w:tr>
      <w:tr w:rsidR="00BF4529" w14:paraId="5588CB39" w14:textId="77777777" w:rsidTr="00BF4529">
        <w:trPr>
          <w:cantSplit/>
        </w:trPr>
        <w:tc>
          <w:tcPr>
            <w:tcW w:w="1871" w:type="dxa"/>
            <w:tcMar>
              <w:top w:w="91" w:type="dxa"/>
              <w:left w:w="0" w:type="dxa"/>
              <w:bottom w:w="91" w:type="dxa"/>
              <w:right w:w="0" w:type="dxa"/>
            </w:tcMar>
            <w:hideMark/>
          </w:tcPr>
          <w:p w14:paraId="347A57E2" w14:textId="77777777" w:rsidR="00BF4529" w:rsidRDefault="00BF4529" w:rsidP="00BF4529">
            <w:pPr>
              <w:pStyle w:val="TableSideHeading"/>
              <w:spacing w:before="0"/>
              <w:jc w:val="left"/>
              <w:rPr>
                <w:sz w:val="26"/>
                <w:rtl/>
              </w:rPr>
            </w:pPr>
            <w:r>
              <w:rPr>
                <w:rFonts w:hint="cs"/>
                <w:sz w:val="26"/>
                <w:rtl/>
              </w:rPr>
              <w:t>תיקון סעיף 22</w:t>
            </w:r>
          </w:p>
        </w:tc>
        <w:tc>
          <w:tcPr>
            <w:tcW w:w="624" w:type="dxa"/>
            <w:tcMar>
              <w:top w:w="91" w:type="dxa"/>
              <w:left w:w="0" w:type="dxa"/>
              <w:bottom w:w="91" w:type="dxa"/>
              <w:right w:w="0" w:type="dxa"/>
            </w:tcMar>
            <w:hideMark/>
          </w:tcPr>
          <w:p w14:paraId="548A3771" w14:textId="77777777" w:rsidR="00BF4529" w:rsidRDefault="00BF4529" w:rsidP="00BF4529">
            <w:pPr>
              <w:pStyle w:val="TableText"/>
              <w:spacing w:before="0"/>
              <w:rPr>
                <w:sz w:val="26"/>
                <w:rtl/>
              </w:rPr>
            </w:pPr>
            <w:r>
              <w:rPr>
                <w:rFonts w:hint="cs"/>
                <w:sz w:val="26"/>
                <w:rtl/>
              </w:rPr>
              <w:t>24.</w:t>
            </w:r>
          </w:p>
        </w:tc>
        <w:tc>
          <w:tcPr>
            <w:tcW w:w="7146" w:type="dxa"/>
            <w:gridSpan w:val="7"/>
            <w:tcMar>
              <w:top w:w="91" w:type="dxa"/>
              <w:left w:w="0" w:type="dxa"/>
              <w:bottom w:w="91" w:type="dxa"/>
              <w:right w:w="0" w:type="dxa"/>
            </w:tcMar>
            <w:hideMark/>
          </w:tcPr>
          <w:p w14:paraId="557DC8AF" w14:textId="77777777" w:rsidR="00BF4529" w:rsidRDefault="00BF4529" w:rsidP="00BF4529">
            <w:pPr>
              <w:pStyle w:val="TableBlock"/>
              <w:spacing w:before="0"/>
              <w:rPr>
                <w:sz w:val="26"/>
                <w:rtl/>
              </w:rPr>
            </w:pPr>
            <w:r>
              <w:rPr>
                <w:rFonts w:hint="cs"/>
                <w:sz w:val="26"/>
                <w:rtl/>
              </w:rPr>
              <w:t xml:space="preserve">בסעיף 22 לחוק העיקרי – </w:t>
            </w:r>
          </w:p>
        </w:tc>
      </w:tr>
      <w:tr w:rsidR="00BF4529" w14:paraId="012E7919" w14:textId="77777777" w:rsidTr="00BF4529">
        <w:trPr>
          <w:cantSplit/>
        </w:trPr>
        <w:tc>
          <w:tcPr>
            <w:tcW w:w="1871" w:type="dxa"/>
            <w:tcMar>
              <w:top w:w="91" w:type="dxa"/>
              <w:left w:w="0" w:type="dxa"/>
              <w:bottom w:w="91" w:type="dxa"/>
              <w:right w:w="0" w:type="dxa"/>
            </w:tcMar>
          </w:tcPr>
          <w:p w14:paraId="7BE927E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AAC3C08"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7C87CF73" w14:textId="77777777" w:rsidR="00BF4529" w:rsidRDefault="00BF4529" w:rsidP="00BF4529">
            <w:pPr>
              <w:pStyle w:val="TableBlock"/>
              <w:spacing w:before="0"/>
              <w:rPr>
                <w:sz w:val="26"/>
                <w:rtl/>
              </w:rPr>
            </w:pPr>
            <w:r>
              <w:rPr>
                <w:rFonts w:hint="cs"/>
                <w:sz w:val="26"/>
                <w:rtl/>
              </w:rPr>
              <w:t>(1)</w:t>
            </w:r>
            <w:r>
              <w:rPr>
                <w:rFonts w:hint="cs"/>
                <w:sz w:val="26"/>
                <w:rtl/>
              </w:rPr>
              <w:tab/>
              <w:t>בסעיף קטן (א), במקום הרישה עד המילים "בשלב שאליו הגיע" יבוא "ראה המנהל הכללי של הרשות כי הפעילות שאושרה אינה מתקדמת או כי תוצאות הפעילות שאושרה בשלב שאליו הגיעה";</w:t>
            </w:r>
          </w:p>
        </w:tc>
      </w:tr>
      <w:tr w:rsidR="00BF4529" w14:paraId="31E8C5EC" w14:textId="77777777" w:rsidTr="00BF4529">
        <w:trPr>
          <w:cantSplit/>
        </w:trPr>
        <w:tc>
          <w:tcPr>
            <w:tcW w:w="1871" w:type="dxa"/>
            <w:tcMar>
              <w:top w:w="91" w:type="dxa"/>
              <w:left w:w="0" w:type="dxa"/>
              <w:bottom w:w="91" w:type="dxa"/>
              <w:right w:w="0" w:type="dxa"/>
            </w:tcMar>
          </w:tcPr>
          <w:p w14:paraId="6EE8738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6A595EE"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7975A931" w14:textId="77777777" w:rsidR="00BF4529" w:rsidRDefault="00BF4529" w:rsidP="00BF4529">
            <w:pPr>
              <w:pStyle w:val="TableBlock"/>
              <w:spacing w:before="0"/>
              <w:rPr>
                <w:sz w:val="26"/>
                <w:rtl/>
              </w:rPr>
            </w:pPr>
            <w:r>
              <w:rPr>
                <w:rFonts w:hint="cs"/>
                <w:sz w:val="26"/>
                <w:rtl/>
              </w:rPr>
              <w:t>(2)</w:t>
            </w:r>
            <w:r>
              <w:rPr>
                <w:rFonts w:hint="cs"/>
                <w:sz w:val="26"/>
                <w:rtl/>
              </w:rPr>
              <w:tab/>
              <w:t>בסעיף קטן (ב), במקום "ראש המינהל" יבוא "המנהל הכללי של הרשות";</w:t>
            </w:r>
          </w:p>
        </w:tc>
      </w:tr>
      <w:tr w:rsidR="00BF4529" w14:paraId="575EC0D4" w14:textId="77777777" w:rsidTr="00BF4529">
        <w:trPr>
          <w:cantSplit/>
        </w:trPr>
        <w:tc>
          <w:tcPr>
            <w:tcW w:w="1871" w:type="dxa"/>
            <w:tcMar>
              <w:top w:w="91" w:type="dxa"/>
              <w:left w:w="0" w:type="dxa"/>
              <w:bottom w:w="91" w:type="dxa"/>
              <w:right w:w="0" w:type="dxa"/>
            </w:tcMar>
          </w:tcPr>
          <w:p w14:paraId="49FDB1C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49AA864"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C3AD087" w14:textId="77777777" w:rsidR="00BF4529" w:rsidRDefault="00BF4529" w:rsidP="00BF4529">
            <w:pPr>
              <w:pStyle w:val="TableBlock"/>
              <w:spacing w:before="0"/>
              <w:rPr>
                <w:sz w:val="26"/>
                <w:rtl/>
              </w:rPr>
            </w:pPr>
            <w:r>
              <w:rPr>
                <w:rFonts w:hint="cs"/>
                <w:sz w:val="26"/>
                <w:rtl/>
              </w:rPr>
              <w:t>(3)</w:t>
            </w:r>
            <w:r>
              <w:rPr>
                <w:rFonts w:hint="cs"/>
                <w:sz w:val="26"/>
                <w:rtl/>
              </w:rPr>
              <w:tab/>
              <w:t>בסעיף קטן (ג), במקום "ראש המינהל" יבוא "המנהל הכללי של הרשות" ובמקום "המחקר והפיתוח כאילו אינו מתקדם" יבוא "הפעילות שאושרה כאילו אינה מתקדמת";</w:t>
            </w:r>
          </w:p>
        </w:tc>
      </w:tr>
      <w:tr w:rsidR="00BF4529" w14:paraId="6E89A5D7" w14:textId="77777777" w:rsidTr="00BF4529">
        <w:trPr>
          <w:cantSplit/>
        </w:trPr>
        <w:tc>
          <w:tcPr>
            <w:tcW w:w="1871" w:type="dxa"/>
            <w:tcMar>
              <w:top w:w="91" w:type="dxa"/>
              <w:left w:w="0" w:type="dxa"/>
              <w:bottom w:w="91" w:type="dxa"/>
              <w:right w:w="0" w:type="dxa"/>
            </w:tcMar>
          </w:tcPr>
          <w:p w14:paraId="6918738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A152589"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84DDFA5" w14:textId="77777777" w:rsidR="00BF4529" w:rsidRDefault="00BF4529" w:rsidP="00BF4529">
            <w:pPr>
              <w:pStyle w:val="TableBlock"/>
              <w:spacing w:before="0"/>
              <w:rPr>
                <w:sz w:val="26"/>
                <w:rtl/>
              </w:rPr>
            </w:pPr>
            <w:r>
              <w:rPr>
                <w:rFonts w:hint="cs"/>
                <w:sz w:val="26"/>
                <w:rtl/>
              </w:rPr>
              <w:t>(4)</w:t>
            </w:r>
            <w:r>
              <w:rPr>
                <w:rFonts w:hint="cs"/>
                <w:sz w:val="26"/>
                <w:rtl/>
              </w:rPr>
              <w:tab/>
              <w:t>בסעיף קטן (ד), במקום "ראש המינהל" יבוא "המנהל הכללי של הרשות".</w:t>
            </w:r>
          </w:p>
        </w:tc>
      </w:tr>
      <w:tr w:rsidR="00BF4529" w14:paraId="59E26309" w14:textId="77777777" w:rsidTr="00BF4529">
        <w:trPr>
          <w:cantSplit/>
        </w:trPr>
        <w:tc>
          <w:tcPr>
            <w:tcW w:w="1871" w:type="dxa"/>
            <w:tcMar>
              <w:top w:w="91" w:type="dxa"/>
              <w:left w:w="0" w:type="dxa"/>
              <w:bottom w:w="91" w:type="dxa"/>
              <w:right w:w="0" w:type="dxa"/>
            </w:tcMar>
            <w:hideMark/>
          </w:tcPr>
          <w:p w14:paraId="31AC0E56" w14:textId="77777777" w:rsidR="00BF4529" w:rsidRDefault="00BF4529" w:rsidP="00BF4529">
            <w:pPr>
              <w:pStyle w:val="TableSideHeading"/>
              <w:spacing w:before="0"/>
              <w:jc w:val="left"/>
              <w:rPr>
                <w:sz w:val="26"/>
                <w:rtl/>
              </w:rPr>
            </w:pPr>
            <w:r>
              <w:rPr>
                <w:rFonts w:hint="cs"/>
                <w:sz w:val="26"/>
                <w:rtl/>
              </w:rPr>
              <w:t>החלפת סעיף 22א</w:t>
            </w:r>
          </w:p>
        </w:tc>
        <w:tc>
          <w:tcPr>
            <w:tcW w:w="624" w:type="dxa"/>
            <w:tcMar>
              <w:top w:w="91" w:type="dxa"/>
              <w:left w:w="0" w:type="dxa"/>
              <w:bottom w:w="91" w:type="dxa"/>
              <w:right w:w="0" w:type="dxa"/>
            </w:tcMar>
            <w:hideMark/>
          </w:tcPr>
          <w:p w14:paraId="30AEBC01" w14:textId="77777777" w:rsidR="00BF4529" w:rsidRDefault="00BF4529" w:rsidP="00BF4529">
            <w:pPr>
              <w:pStyle w:val="TableText"/>
              <w:spacing w:before="0"/>
              <w:rPr>
                <w:sz w:val="26"/>
                <w:rtl/>
              </w:rPr>
            </w:pPr>
            <w:r>
              <w:rPr>
                <w:rFonts w:hint="cs"/>
                <w:sz w:val="26"/>
                <w:rtl/>
              </w:rPr>
              <w:t>25.</w:t>
            </w:r>
          </w:p>
        </w:tc>
        <w:tc>
          <w:tcPr>
            <w:tcW w:w="7146" w:type="dxa"/>
            <w:gridSpan w:val="7"/>
            <w:tcMar>
              <w:top w:w="91" w:type="dxa"/>
              <w:left w:w="0" w:type="dxa"/>
              <w:bottom w:w="91" w:type="dxa"/>
              <w:right w:w="0" w:type="dxa"/>
            </w:tcMar>
            <w:hideMark/>
          </w:tcPr>
          <w:p w14:paraId="3A6F4622" w14:textId="77777777" w:rsidR="00BF4529" w:rsidRDefault="00BF4529" w:rsidP="00BF4529">
            <w:pPr>
              <w:pStyle w:val="TableBlock"/>
              <w:spacing w:before="0"/>
              <w:rPr>
                <w:sz w:val="26"/>
                <w:rtl/>
              </w:rPr>
            </w:pPr>
            <w:r>
              <w:rPr>
                <w:rFonts w:hint="cs"/>
                <w:sz w:val="26"/>
                <w:rtl/>
              </w:rPr>
              <w:t>במקום סעיף 22א לחוק העיקרי יבוא:</w:t>
            </w:r>
          </w:p>
        </w:tc>
      </w:tr>
      <w:tr w:rsidR="00BF4529" w14:paraId="2B9FC2E7" w14:textId="77777777" w:rsidTr="00BF4529">
        <w:trPr>
          <w:cantSplit/>
        </w:trPr>
        <w:tc>
          <w:tcPr>
            <w:tcW w:w="1871" w:type="dxa"/>
            <w:tcMar>
              <w:top w:w="91" w:type="dxa"/>
              <w:left w:w="0" w:type="dxa"/>
              <w:bottom w:w="91" w:type="dxa"/>
              <w:right w:w="0" w:type="dxa"/>
            </w:tcMar>
          </w:tcPr>
          <w:p w14:paraId="5CFE448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198F832"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4764C44" w14:textId="77777777" w:rsidR="00BF4529" w:rsidRDefault="00BF4529" w:rsidP="00BF4529">
            <w:pPr>
              <w:pStyle w:val="TableInnerSideHeading"/>
              <w:spacing w:before="0"/>
              <w:rPr>
                <w:sz w:val="26"/>
                <w:rtl/>
              </w:rPr>
            </w:pPr>
            <w:r>
              <w:rPr>
                <w:rFonts w:hint="cs"/>
                <w:sz w:val="26"/>
                <w:rtl/>
              </w:rPr>
              <w:t>"דיון חוזר</w:t>
            </w:r>
          </w:p>
        </w:tc>
        <w:tc>
          <w:tcPr>
            <w:tcW w:w="624" w:type="dxa"/>
            <w:tcMar>
              <w:top w:w="91" w:type="dxa"/>
              <w:left w:w="0" w:type="dxa"/>
              <w:bottom w:w="91" w:type="dxa"/>
              <w:right w:w="0" w:type="dxa"/>
            </w:tcMar>
            <w:hideMark/>
          </w:tcPr>
          <w:p w14:paraId="495885B9" w14:textId="77777777" w:rsidR="00BF4529" w:rsidRDefault="00BF4529" w:rsidP="00BF4529">
            <w:pPr>
              <w:pStyle w:val="TableText"/>
              <w:spacing w:before="0"/>
              <w:rPr>
                <w:sz w:val="26"/>
                <w:rtl/>
              </w:rPr>
            </w:pPr>
            <w:r>
              <w:rPr>
                <w:rFonts w:hint="cs"/>
                <w:sz w:val="26"/>
                <w:rtl/>
              </w:rPr>
              <w:t>22א.</w:t>
            </w:r>
          </w:p>
        </w:tc>
        <w:tc>
          <w:tcPr>
            <w:tcW w:w="4650" w:type="dxa"/>
            <w:gridSpan w:val="3"/>
            <w:tcMar>
              <w:top w:w="91" w:type="dxa"/>
              <w:left w:w="0" w:type="dxa"/>
              <w:bottom w:w="91" w:type="dxa"/>
              <w:right w:w="0" w:type="dxa"/>
            </w:tcMar>
            <w:hideMark/>
          </w:tcPr>
          <w:p w14:paraId="640EECD0" w14:textId="77777777" w:rsidR="00BF4529" w:rsidRDefault="00BF4529" w:rsidP="00BF4529">
            <w:pPr>
              <w:pStyle w:val="TableBlock"/>
              <w:spacing w:before="0"/>
              <w:rPr>
                <w:sz w:val="26"/>
                <w:rtl/>
              </w:rPr>
            </w:pPr>
            <w:r>
              <w:rPr>
                <w:rFonts w:hint="cs"/>
                <w:sz w:val="26"/>
                <w:rtl/>
              </w:rPr>
              <w:t>קבעה המועצה אפשרות לדיון חוזר לגבי מסלול הטבות כאמור בסעיף 15לו(ב)(6), תהיה הגשת בקשה לדיון חוזר טעונה תשלום אגרה."</w:t>
            </w:r>
          </w:p>
        </w:tc>
      </w:tr>
      <w:tr w:rsidR="00BF4529" w14:paraId="1182782C" w14:textId="77777777" w:rsidTr="00BF4529">
        <w:trPr>
          <w:cantSplit/>
        </w:trPr>
        <w:tc>
          <w:tcPr>
            <w:tcW w:w="1871" w:type="dxa"/>
            <w:tcMar>
              <w:top w:w="91" w:type="dxa"/>
              <w:left w:w="0" w:type="dxa"/>
              <w:bottom w:w="91" w:type="dxa"/>
              <w:right w:w="0" w:type="dxa"/>
            </w:tcMar>
            <w:hideMark/>
          </w:tcPr>
          <w:p w14:paraId="2B04DB81" w14:textId="77777777" w:rsidR="00BF4529" w:rsidRDefault="00BF4529" w:rsidP="00BF4529">
            <w:pPr>
              <w:pStyle w:val="TableSideHeading"/>
              <w:spacing w:before="0"/>
              <w:jc w:val="left"/>
              <w:rPr>
                <w:sz w:val="26"/>
                <w:rtl/>
              </w:rPr>
            </w:pPr>
            <w:r>
              <w:rPr>
                <w:rFonts w:hint="cs"/>
                <w:sz w:val="26"/>
                <w:rtl/>
              </w:rPr>
              <w:t>ביטול סעיפים</w:t>
            </w:r>
            <w:r>
              <w:rPr>
                <w:rFonts w:hint="cs"/>
                <w:sz w:val="26"/>
                <w:rtl/>
              </w:rPr>
              <w:br/>
              <w:t>23 עד 25</w:t>
            </w:r>
          </w:p>
        </w:tc>
        <w:tc>
          <w:tcPr>
            <w:tcW w:w="624" w:type="dxa"/>
            <w:tcMar>
              <w:top w:w="91" w:type="dxa"/>
              <w:left w:w="0" w:type="dxa"/>
              <w:bottom w:w="91" w:type="dxa"/>
              <w:right w:w="0" w:type="dxa"/>
            </w:tcMar>
            <w:hideMark/>
          </w:tcPr>
          <w:p w14:paraId="7465B78E" w14:textId="77777777" w:rsidR="00BF4529" w:rsidRDefault="00BF4529" w:rsidP="00BF4529">
            <w:pPr>
              <w:pStyle w:val="TableText"/>
              <w:spacing w:before="0"/>
              <w:rPr>
                <w:sz w:val="26"/>
                <w:rtl/>
              </w:rPr>
            </w:pPr>
            <w:r>
              <w:rPr>
                <w:rFonts w:hint="cs"/>
                <w:sz w:val="26"/>
                <w:rtl/>
              </w:rPr>
              <w:t>26.</w:t>
            </w:r>
          </w:p>
        </w:tc>
        <w:tc>
          <w:tcPr>
            <w:tcW w:w="7146" w:type="dxa"/>
            <w:gridSpan w:val="7"/>
            <w:tcMar>
              <w:top w:w="91" w:type="dxa"/>
              <w:left w:w="0" w:type="dxa"/>
              <w:bottom w:w="91" w:type="dxa"/>
              <w:right w:w="0" w:type="dxa"/>
            </w:tcMar>
            <w:hideMark/>
          </w:tcPr>
          <w:p w14:paraId="7D3FBEAA" w14:textId="77777777" w:rsidR="00BF4529" w:rsidRDefault="00BF4529" w:rsidP="00BF4529">
            <w:pPr>
              <w:pStyle w:val="TableBlock"/>
              <w:spacing w:before="0"/>
              <w:rPr>
                <w:sz w:val="26"/>
                <w:rtl/>
              </w:rPr>
            </w:pPr>
            <w:r>
              <w:rPr>
                <w:rFonts w:hint="cs"/>
                <w:sz w:val="26"/>
                <w:rtl/>
              </w:rPr>
              <w:t>סעיפים 23 עד 25 לחוק העיקרי – בטלים.</w:t>
            </w:r>
          </w:p>
        </w:tc>
      </w:tr>
      <w:tr w:rsidR="00BF4529" w14:paraId="490F925C" w14:textId="77777777" w:rsidTr="00BF4529">
        <w:trPr>
          <w:cantSplit/>
        </w:trPr>
        <w:tc>
          <w:tcPr>
            <w:tcW w:w="1871" w:type="dxa"/>
            <w:tcMar>
              <w:top w:w="91" w:type="dxa"/>
              <w:left w:w="0" w:type="dxa"/>
              <w:bottom w:w="91" w:type="dxa"/>
              <w:right w:w="0" w:type="dxa"/>
            </w:tcMar>
            <w:hideMark/>
          </w:tcPr>
          <w:p w14:paraId="5548DF90" w14:textId="77777777" w:rsidR="00BF4529" w:rsidRDefault="00BF4529" w:rsidP="00BF4529">
            <w:pPr>
              <w:pStyle w:val="TableSideHeading"/>
              <w:spacing w:before="0"/>
              <w:jc w:val="left"/>
              <w:rPr>
                <w:sz w:val="26"/>
                <w:rtl/>
              </w:rPr>
            </w:pPr>
            <w:r>
              <w:rPr>
                <w:rFonts w:hint="cs"/>
                <w:sz w:val="26"/>
                <w:rtl/>
              </w:rPr>
              <w:t xml:space="preserve">מחיקת כותרת </w:t>
            </w:r>
            <w:r>
              <w:rPr>
                <w:rFonts w:hint="cs"/>
                <w:sz w:val="26"/>
                <w:rtl/>
              </w:rPr>
              <w:br/>
              <w:t>פרק ה'</w:t>
            </w:r>
          </w:p>
        </w:tc>
        <w:tc>
          <w:tcPr>
            <w:tcW w:w="624" w:type="dxa"/>
            <w:tcMar>
              <w:top w:w="91" w:type="dxa"/>
              <w:left w:w="0" w:type="dxa"/>
              <w:bottom w:w="91" w:type="dxa"/>
              <w:right w:w="0" w:type="dxa"/>
            </w:tcMar>
            <w:hideMark/>
          </w:tcPr>
          <w:p w14:paraId="67B57E43" w14:textId="77777777" w:rsidR="00BF4529" w:rsidRDefault="00BF4529" w:rsidP="00BF4529">
            <w:pPr>
              <w:pStyle w:val="TableText"/>
              <w:spacing w:before="0"/>
              <w:rPr>
                <w:sz w:val="26"/>
                <w:rtl/>
              </w:rPr>
            </w:pPr>
            <w:r>
              <w:rPr>
                <w:rFonts w:hint="cs"/>
                <w:sz w:val="26"/>
                <w:rtl/>
              </w:rPr>
              <w:t>27.</w:t>
            </w:r>
          </w:p>
        </w:tc>
        <w:tc>
          <w:tcPr>
            <w:tcW w:w="7146" w:type="dxa"/>
            <w:gridSpan w:val="7"/>
            <w:tcMar>
              <w:top w:w="91" w:type="dxa"/>
              <w:left w:w="0" w:type="dxa"/>
              <w:bottom w:w="91" w:type="dxa"/>
              <w:right w:w="0" w:type="dxa"/>
            </w:tcMar>
            <w:hideMark/>
          </w:tcPr>
          <w:p w14:paraId="38B9C035" w14:textId="77777777" w:rsidR="00BF4529" w:rsidRDefault="00BF4529" w:rsidP="00BF4529">
            <w:pPr>
              <w:pStyle w:val="TableBlock"/>
              <w:spacing w:before="0"/>
              <w:rPr>
                <w:sz w:val="26"/>
                <w:rtl/>
              </w:rPr>
            </w:pPr>
            <w:r>
              <w:rPr>
                <w:rFonts w:hint="cs"/>
                <w:sz w:val="26"/>
                <w:rtl/>
              </w:rPr>
              <w:t>כותרת פרק ה' לחוק העיקרי – תימחק.</w:t>
            </w:r>
          </w:p>
        </w:tc>
      </w:tr>
      <w:tr w:rsidR="00BF4529" w14:paraId="38F2DFD4" w14:textId="77777777" w:rsidTr="00BF4529">
        <w:trPr>
          <w:cantSplit/>
        </w:trPr>
        <w:tc>
          <w:tcPr>
            <w:tcW w:w="1871" w:type="dxa"/>
            <w:tcMar>
              <w:top w:w="91" w:type="dxa"/>
              <w:left w:w="0" w:type="dxa"/>
              <w:bottom w:w="91" w:type="dxa"/>
              <w:right w:w="0" w:type="dxa"/>
            </w:tcMar>
            <w:hideMark/>
          </w:tcPr>
          <w:p w14:paraId="756EBCD8" w14:textId="77777777" w:rsidR="00BF4529" w:rsidRDefault="00BF4529" w:rsidP="00BF4529">
            <w:pPr>
              <w:pStyle w:val="TableSideHeading"/>
              <w:spacing w:before="0"/>
              <w:jc w:val="left"/>
              <w:rPr>
                <w:sz w:val="26"/>
                <w:rtl/>
              </w:rPr>
            </w:pPr>
            <w:r>
              <w:rPr>
                <w:rFonts w:hint="cs"/>
                <w:sz w:val="26"/>
                <w:rtl/>
              </w:rPr>
              <w:t>תיקון סעיף 26</w:t>
            </w:r>
          </w:p>
        </w:tc>
        <w:tc>
          <w:tcPr>
            <w:tcW w:w="624" w:type="dxa"/>
            <w:tcMar>
              <w:top w:w="91" w:type="dxa"/>
              <w:left w:w="0" w:type="dxa"/>
              <w:bottom w:w="91" w:type="dxa"/>
              <w:right w:w="0" w:type="dxa"/>
            </w:tcMar>
            <w:hideMark/>
          </w:tcPr>
          <w:p w14:paraId="344F9A1D" w14:textId="77777777" w:rsidR="00BF4529" w:rsidRDefault="00BF4529" w:rsidP="00BF4529">
            <w:pPr>
              <w:pStyle w:val="TableText"/>
              <w:spacing w:before="0"/>
              <w:rPr>
                <w:sz w:val="26"/>
                <w:rtl/>
              </w:rPr>
            </w:pPr>
            <w:r>
              <w:rPr>
                <w:rFonts w:hint="cs"/>
                <w:sz w:val="26"/>
                <w:rtl/>
              </w:rPr>
              <w:t>28.</w:t>
            </w:r>
          </w:p>
        </w:tc>
        <w:tc>
          <w:tcPr>
            <w:tcW w:w="7146" w:type="dxa"/>
            <w:gridSpan w:val="7"/>
            <w:tcMar>
              <w:top w:w="91" w:type="dxa"/>
              <w:left w:w="0" w:type="dxa"/>
              <w:bottom w:w="91" w:type="dxa"/>
              <w:right w:w="0" w:type="dxa"/>
            </w:tcMar>
            <w:hideMark/>
          </w:tcPr>
          <w:p w14:paraId="6CD816E2" w14:textId="77777777" w:rsidR="00BF4529" w:rsidRDefault="00BF4529" w:rsidP="00BF4529">
            <w:pPr>
              <w:pStyle w:val="TableBlock"/>
              <w:spacing w:before="0"/>
              <w:rPr>
                <w:sz w:val="26"/>
                <w:rtl/>
              </w:rPr>
            </w:pPr>
            <w:r>
              <w:rPr>
                <w:rFonts w:hint="cs"/>
                <w:sz w:val="26"/>
                <w:rtl/>
              </w:rPr>
              <w:t>בסעיף 26 לחוק העיקרי, במקום "הכללים שהתקינה ועדת המחקר לפי חוק זה" יבוא "הנהלים שקבעו המועצה או ועדת מחקר לעניין זה".</w:t>
            </w:r>
          </w:p>
        </w:tc>
      </w:tr>
      <w:tr w:rsidR="00BF4529" w14:paraId="141DB734" w14:textId="77777777" w:rsidTr="00BF4529">
        <w:trPr>
          <w:cantSplit/>
        </w:trPr>
        <w:tc>
          <w:tcPr>
            <w:tcW w:w="1871" w:type="dxa"/>
            <w:tcMar>
              <w:top w:w="91" w:type="dxa"/>
              <w:left w:w="0" w:type="dxa"/>
              <w:bottom w:w="91" w:type="dxa"/>
              <w:right w:w="0" w:type="dxa"/>
            </w:tcMar>
            <w:hideMark/>
          </w:tcPr>
          <w:p w14:paraId="58818814" w14:textId="77777777" w:rsidR="00BF4529" w:rsidRDefault="00BF4529" w:rsidP="00BF4529">
            <w:pPr>
              <w:pStyle w:val="TableSideHeading"/>
              <w:spacing w:before="0"/>
              <w:jc w:val="left"/>
              <w:rPr>
                <w:sz w:val="26"/>
                <w:rtl/>
              </w:rPr>
            </w:pPr>
            <w:r>
              <w:rPr>
                <w:rFonts w:hint="cs"/>
                <w:sz w:val="26"/>
                <w:rtl/>
              </w:rPr>
              <w:t>ביטול סעיפים</w:t>
            </w:r>
            <w:r>
              <w:rPr>
                <w:rFonts w:hint="cs"/>
                <w:sz w:val="26"/>
                <w:rtl/>
              </w:rPr>
              <w:br/>
              <w:t>27 ו-28</w:t>
            </w:r>
          </w:p>
        </w:tc>
        <w:tc>
          <w:tcPr>
            <w:tcW w:w="624" w:type="dxa"/>
            <w:tcMar>
              <w:top w:w="91" w:type="dxa"/>
              <w:left w:w="0" w:type="dxa"/>
              <w:bottom w:w="91" w:type="dxa"/>
              <w:right w:w="0" w:type="dxa"/>
            </w:tcMar>
            <w:hideMark/>
          </w:tcPr>
          <w:p w14:paraId="7C4E4CB7" w14:textId="77777777" w:rsidR="00BF4529" w:rsidRDefault="00BF4529" w:rsidP="00BF4529">
            <w:pPr>
              <w:pStyle w:val="TableText"/>
              <w:spacing w:before="0"/>
              <w:rPr>
                <w:sz w:val="26"/>
                <w:rtl/>
              </w:rPr>
            </w:pPr>
            <w:r>
              <w:rPr>
                <w:rFonts w:hint="cs"/>
                <w:sz w:val="26"/>
                <w:rtl/>
              </w:rPr>
              <w:t>29.</w:t>
            </w:r>
          </w:p>
        </w:tc>
        <w:tc>
          <w:tcPr>
            <w:tcW w:w="7146" w:type="dxa"/>
            <w:gridSpan w:val="7"/>
            <w:tcMar>
              <w:top w:w="91" w:type="dxa"/>
              <w:left w:w="0" w:type="dxa"/>
              <w:bottom w:w="91" w:type="dxa"/>
              <w:right w:w="0" w:type="dxa"/>
            </w:tcMar>
            <w:hideMark/>
          </w:tcPr>
          <w:p w14:paraId="62E2066F" w14:textId="77777777" w:rsidR="00BF4529" w:rsidRDefault="00BF4529" w:rsidP="00BF4529">
            <w:pPr>
              <w:pStyle w:val="TableBlock"/>
              <w:spacing w:before="0"/>
              <w:rPr>
                <w:sz w:val="26"/>
                <w:rtl/>
              </w:rPr>
            </w:pPr>
            <w:r>
              <w:rPr>
                <w:rFonts w:hint="cs"/>
                <w:sz w:val="26"/>
                <w:rtl/>
              </w:rPr>
              <w:t>סעיפים 27 ו-28 לחוק העיקרי – בטלים.</w:t>
            </w:r>
          </w:p>
        </w:tc>
      </w:tr>
      <w:tr w:rsidR="00BF4529" w14:paraId="47958331" w14:textId="77777777" w:rsidTr="00BF4529">
        <w:trPr>
          <w:cantSplit/>
        </w:trPr>
        <w:tc>
          <w:tcPr>
            <w:tcW w:w="1871" w:type="dxa"/>
            <w:tcMar>
              <w:top w:w="91" w:type="dxa"/>
              <w:left w:w="0" w:type="dxa"/>
              <w:bottom w:w="91" w:type="dxa"/>
              <w:right w:w="0" w:type="dxa"/>
            </w:tcMar>
            <w:hideMark/>
          </w:tcPr>
          <w:p w14:paraId="530A086D" w14:textId="77777777" w:rsidR="00BF4529" w:rsidRDefault="00BF4529" w:rsidP="00BF4529">
            <w:pPr>
              <w:pStyle w:val="TableSideHeading"/>
              <w:spacing w:before="0"/>
              <w:jc w:val="left"/>
              <w:rPr>
                <w:sz w:val="26"/>
                <w:rtl/>
              </w:rPr>
            </w:pPr>
            <w:r>
              <w:rPr>
                <w:rFonts w:hint="cs"/>
                <w:sz w:val="26"/>
                <w:rtl/>
              </w:rPr>
              <w:lastRenderedPageBreak/>
              <w:t>החלפת סעיף 29</w:t>
            </w:r>
          </w:p>
        </w:tc>
        <w:tc>
          <w:tcPr>
            <w:tcW w:w="624" w:type="dxa"/>
            <w:tcMar>
              <w:top w:w="91" w:type="dxa"/>
              <w:left w:w="0" w:type="dxa"/>
              <w:bottom w:w="91" w:type="dxa"/>
              <w:right w:w="0" w:type="dxa"/>
            </w:tcMar>
            <w:hideMark/>
          </w:tcPr>
          <w:p w14:paraId="42F222D3" w14:textId="77777777" w:rsidR="00BF4529" w:rsidRDefault="00BF4529" w:rsidP="00BF4529">
            <w:pPr>
              <w:pStyle w:val="TableText"/>
              <w:spacing w:before="0"/>
              <w:rPr>
                <w:sz w:val="26"/>
                <w:rtl/>
              </w:rPr>
            </w:pPr>
            <w:r>
              <w:rPr>
                <w:rFonts w:hint="cs"/>
                <w:sz w:val="26"/>
                <w:rtl/>
              </w:rPr>
              <w:t>30.</w:t>
            </w:r>
          </w:p>
        </w:tc>
        <w:tc>
          <w:tcPr>
            <w:tcW w:w="7146" w:type="dxa"/>
            <w:gridSpan w:val="7"/>
            <w:tcMar>
              <w:top w:w="91" w:type="dxa"/>
              <w:left w:w="0" w:type="dxa"/>
              <w:bottom w:w="91" w:type="dxa"/>
              <w:right w:w="0" w:type="dxa"/>
            </w:tcMar>
            <w:hideMark/>
          </w:tcPr>
          <w:p w14:paraId="5E2EE1B3" w14:textId="77777777" w:rsidR="00BF4529" w:rsidRDefault="00BF4529" w:rsidP="00BF4529">
            <w:pPr>
              <w:pStyle w:val="TableBlock"/>
              <w:spacing w:before="0"/>
              <w:rPr>
                <w:sz w:val="26"/>
                <w:rtl/>
              </w:rPr>
            </w:pPr>
            <w:r>
              <w:rPr>
                <w:rFonts w:hint="cs"/>
                <w:sz w:val="26"/>
                <w:rtl/>
              </w:rPr>
              <w:t>במקום סעיף 29 לחוק העיקרי יבוא:</w:t>
            </w:r>
          </w:p>
        </w:tc>
      </w:tr>
      <w:tr w:rsidR="00BF4529" w14:paraId="792D5300" w14:textId="77777777" w:rsidTr="00BF4529">
        <w:trPr>
          <w:cantSplit/>
        </w:trPr>
        <w:tc>
          <w:tcPr>
            <w:tcW w:w="1871" w:type="dxa"/>
            <w:tcMar>
              <w:top w:w="91" w:type="dxa"/>
              <w:left w:w="0" w:type="dxa"/>
              <w:bottom w:w="91" w:type="dxa"/>
              <w:right w:w="0" w:type="dxa"/>
            </w:tcMar>
          </w:tcPr>
          <w:p w14:paraId="4DD6CF9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4E76139"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B89A178" w14:textId="77777777" w:rsidR="00BF4529" w:rsidRDefault="00BF4529" w:rsidP="00BF4529">
            <w:pPr>
              <w:pStyle w:val="TableInnerSideHeading"/>
              <w:spacing w:before="0"/>
              <w:rPr>
                <w:sz w:val="26"/>
                <w:rtl/>
              </w:rPr>
            </w:pPr>
            <w:r>
              <w:rPr>
                <w:rFonts w:hint="cs"/>
                <w:sz w:val="26"/>
                <w:rtl/>
              </w:rPr>
              <w:t>"ערובות</w:t>
            </w:r>
          </w:p>
        </w:tc>
        <w:tc>
          <w:tcPr>
            <w:tcW w:w="624" w:type="dxa"/>
            <w:tcMar>
              <w:top w:w="91" w:type="dxa"/>
              <w:left w:w="0" w:type="dxa"/>
              <w:bottom w:w="91" w:type="dxa"/>
              <w:right w:w="0" w:type="dxa"/>
            </w:tcMar>
            <w:hideMark/>
          </w:tcPr>
          <w:p w14:paraId="6A0469A9" w14:textId="77777777" w:rsidR="00BF4529" w:rsidRDefault="00BF4529" w:rsidP="00BF4529">
            <w:pPr>
              <w:pStyle w:val="TableText"/>
              <w:spacing w:before="0"/>
              <w:rPr>
                <w:sz w:val="26"/>
                <w:rtl/>
              </w:rPr>
            </w:pPr>
            <w:r>
              <w:rPr>
                <w:rFonts w:hint="cs"/>
                <w:sz w:val="26"/>
                <w:rtl/>
              </w:rPr>
              <w:t>29.</w:t>
            </w:r>
          </w:p>
        </w:tc>
        <w:tc>
          <w:tcPr>
            <w:tcW w:w="4650" w:type="dxa"/>
            <w:gridSpan w:val="3"/>
            <w:tcMar>
              <w:top w:w="91" w:type="dxa"/>
              <w:left w:w="0" w:type="dxa"/>
              <w:bottom w:w="91" w:type="dxa"/>
              <w:right w:w="0" w:type="dxa"/>
            </w:tcMar>
            <w:hideMark/>
          </w:tcPr>
          <w:p w14:paraId="465655FB" w14:textId="77777777" w:rsidR="00BF4529" w:rsidRDefault="00BF4529" w:rsidP="00BF4529">
            <w:pPr>
              <w:pStyle w:val="TableBlock"/>
              <w:spacing w:before="0"/>
              <w:rPr>
                <w:sz w:val="26"/>
                <w:rtl/>
              </w:rPr>
            </w:pPr>
            <w:r>
              <w:rPr>
                <w:rFonts w:hint="cs"/>
                <w:sz w:val="26"/>
                <w:rtl/>
              </w:rPr>
              <w:t>יושב ראש ועדת מחקר רשאי לדרוש ערובות להבטחת החזרת הטבה, במסלולי הטבות שבהם קבעה זאת המועצה, ועל פי כללים שקבעה שיפורסמו באתר האינטרנט של הרשות, כדי להבטיח את קיום הוראות מסלולי ההטבות, והכול בכפוף להוראות סעיף 16א."</w:t>
            </w:r>
          </w:p>
        </w:tc>
      </w:tr>
      <w:tr w:rsidR="00BF4529" w14:paraId="12B1A1C4" w14:textId="77777777" w:rsidTr="00BF4529">
        <w:trPr>
          <w:cantSplit/>
        </w:trPr>
        <w:tc>
          <w:tcPr>
            <w:tcW w:w="1871" w:type="dxa"/>
            <w:tcMar>
              <w:top w:w="91" w:type="dxa"/>
              <w:left w:w="0" w:type="dxa"/>
              <w:bottom w:w="91" w:type="dxa"/>
              <w:right w:w="0" w:type="dxa"/>
            </w:tcMar>
            <w:hideMark/>
          </w:tcPr>
          <w:p w14:paraId="5AD61884" w14:textId="77777777" w:rsidR="00BF4529" w:rsidRDefault="00BF4529" w:rsidP="00BF4529">
            <w:pPr>
              <w:pStyle w:val="TableSideHeading"/>
              <w:spacing w:before="0"/>
              <w:jc w:val="left"/>
              <w:rPr>
                <w:sz w:val="26"/>
                <w:rtl/>
              </w:rPr>
            </w:pPr>
            <w:r>
              <w:rPr>
                <w:rFonts w:hint="cs"/>
                <w:sz w:val="26"/>
                <w:rtl/>
              </w:rPr>
              <w:t>ביטול סעיף 30</w:t>
            </w:r>
          </w:p>
        </w:tc>
        <w:tc>
          <w:tcPr>
            <w:tcW w:w="624" w:type="dxa"/>
            <w:tcMar>
              <w:top w:w="91" w:type="dxa"/>
              <w:left w:w="0" w:type="dxa"/>
              <w:bottom w:w="91" w:type="dxa"/>
              <w:right w:w="0" w:type="dxa"/>
            </w:tcMar>
            <w:hideMark/>
          </w:tcPr>
          <w:p w14:paraId="627760FC" w14:textId="77777777" w:rsidR="00BF4529" w:rsidRDefault="00BF4529" w:rsidP="00BF4529">
            <w:pPr>
              <w:pStyle w:val="TableText"/>
              <w:spacing w:before="0"/>
              <w:rPr>
                <w:sz w:val="26"/>
                <w:rtl/>
              </w:rPr>
            </w:pPr>
            <w:r>
              <w:rPr>
                <w:rFonts w:hint="cs"/>
                <w:sz w:val="26"/>
                <w:rtl/>
              </w:rPr>
              <w:t>31.</w:t>
            </w:r>
          </w:p>
        </w:tc>
        <w:tc>
          <w:tcPr>
            <w:tcW w:w="7146" w:type="dxa"/>
            <w:gridSpan w:val="7"/>
            <w:tcMar>
              <w:top w:w="91" w:type="dxa"/>
              <w:left w:w="0" w:type="dxa"/>
              <w:bottom w:w="91" w:type="dxa"/>
              <w:right w:w="0" w:type="dxa"/>
            </w:tcMar>
            <w:hideMark/>
          </w:tcPr>
          <w:p w14:paraId="18D08601" w14:textId="77777777" w:rsidR="00BF4529" w:rsidRDefault="00BF4529" w:rsidP="00BF4529">
            <w:pPr>
              <w:pStyle w:val="TableBlock"/>
              <w:spacing w:before="0"/>
              <w:rPr>
                <w:sz w:val="26"/>
                <w:rtl/>
              </w:rPr>
            </w:pPr>
            <w:r>
              <w:rPr>
                <w:rFonts w:hint="cs"/>
                <w:sz w:val="26"/>
                <w:rtl/>
              </w:rPr>
              <w:t>סעיף 30 לחוק העיקרי – בטל.</w:t>
            </w:r>
          </w:p>
        </w:tc>
      </w:tr>
      <w:tr w:rsidR="00BF4529" w14:paraId="54AECBE6" w14:textId="77777777" w:rsidTr="00BF4529">
        <w:trPr>
          <w:cantSplit/>
        </w:trPr>
        <w:tc>
          <w:tcPr>
            <w:tcW w:w="1871" w:type="dxa"/>
            <w:tcMar>
              <w:top w:w="91" w:type="dxa"/>
              <w:left w:w="0" w:type="dxa"/>
              <w:bottom w:w="91" w:type="dxa"/>
              <w:right w:w="0" w:type="dxa"/>
            </w:tcMar>
            <w:hideMark/>
          </w:tcPr>
          <w:p w14:paraId="4397A808" w14:textId="77777777" w:rsidR="00BF4529" w:rsidRDefault="00BF4529" w:rsidP="00BF4529">
            <w:pPr>
              <w:pStyle w:val="TableSideHeading"/>
              <w:spacing w:before="0"/>
              <w:jc w:val="left"/>
              <w:rPr>
                <w:sz w:val="26"/>
                <w:rtl/>
              </w:rPr>
            </w:pPr>
            <w:r>
              <w:rPr>
                <w:rFonts w:hint="cs"/>
                <w:sz w:val="26"/>
                <w:rtl/>
              </w:rPr>
              <w:t>תיקון סעיף 31</w:t>
            </w:r>
          </w:p>
        </w:tc>
        <w:tc>
          <w:tcPr>
            <w:tcW w:w="624" w:type="dxa"/>
            <w:tcMar>
              <w:top w:w="91" w:type="dxa"/>
              <w:left w:w="0" w:type="dxa"/>
              <w:bottom w:w="91" w:type="dxa"/>
              <w:right w:w="0" w:type="dxa"/>
            </w:tcMar>
            <w:hideMark/>
          </w:tcPr>
          <w:p w14:paraId="2C160DDA" w14:textId="77777777" w:rsidR="00BF4529" w:rsidRDefault="00BF4529" w:rsidP="00BF4529">
            <w:pPr>
              <w:pStyle w:val="TableText"/>
              <w:spacing w:before="0"/>
              <w:rPr>
                <w:sz w:val="26"/>
                <w:rtl/>
              </w:rPr>
            </w:pPr>
            <w:r>
              <w:rPr>
                <w:rFonts w:hint="cs"/>
                <w:sz w:val="26"/>
                <w:rtl/>
              </w:rPr>
              <w:t>32.</w:t>
            </w:r>
          </w:p>
        </w:tc>
        <w:tc>
          <w:tcPr>
            <w:tcW w:w="7146" w:type="dxa"/>
            <w:gridSpan w:val="7"/>
            <w:tcMar>
              <w:top w:w="91" w:type="dxa"/>
              <w:left w:w="0" w:type="dxa"/>
              <w:bottom w:w="91" w:type="dxa"/>
              <w:right w:w="0" w:type="dxa"/>
            </w:tcMar>
            <w:hideMark/>
          </w:tcPr>
          <w:p w14:paraId="651E40F4" w14:textId="77777777" w:rsidR="00BF4529" w:rsidRDefault="00BF4529" w:rsidP="00BF4529">
            <w:pPr>
              <w:pStyle w:val="TableBlock"/>
              <w:spacing w:before="0"/>
              <w:rPr>
                <w:sz w:val="26"/>
                <w:rtl/>
              </w:rPr>
            </w:pPr>
            <w:r>
              <w:rPr>
                <w:rFonts w:hint="cs"/>
                <w:sz w:val="26"/>
                <w:rtl/>
              </w:rPr>
              <w:t xml:space="preserve">בסעיף 31 לחוק העיקרי – </w:t>
            </w:r>
          </w:p>
        </w:tc>
      </w:tr>
      <w:tr w:rsidR="00BF4529" w14:paraId="2A9C30D7" w14:textId="77777777" w:rsidTr="00BF4529">
        <w:trPr>
          <w:cantSplit/>
        </w:trPr>
        <w:tc>
          <w:tcPr>
            <w:tcW w:w="1871" w:type="dxa"/>
            <w:tcMar>
              <w:top w:w="91" w:type="dxa"/>
              <w:left w:w="0" w:type="dxa"/>
              <w:bottom w:w="91" w:type="dxa"/>
              <w:right w:w="0" w:type="dxa"/>
            </w:tcMar>
          </w:tcPr>
          <w:p w14:paraId="50D108A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E46B1AE"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791B626F" w14:textId="77777777" w:rsidR="00BF4529" w:rsidRDefault="00BF4529" w:rsidP="00BF4529">
            <w:pPr>
              <w:pStyle w:val="TableBlock"/>
              <w:spacing w:before="0"/>
              <w:rPr>
                <w:sz w:val="26"/>
                <w:rtl/>
              </w:rPr>
            </w:pPr>
            <w:r>
              <w:rPr>
                <w:rFonts w:hint="cs"/>
                <w:sz w:val="26"/>
                <w:rtl/>
              </w:rPr>
              <w:t>(1)</w:t>
            </w:r>
            <w:r>
              <w:rPr>
                <w:rFonts w:hint="cs"/>
                <w:sz w:val="26"/>
                <w:rtl/>
              </w:rPr>
              <w:tab/>
              <w:t>בסעיף קטן (א), במקום הרישה עד המילים "ראש המינהל" יבוא "ראש ועדת מחקר או מי מטעמו מבין עובדי המדינה שחברים בוועדת המחקר, רשאי" ובמקום "ועדת המחקר" יבוא "המועצה, ויראו מקדמה על חשבון הטבה, כהטבה לעניין הוראות חוק זה";</w:t>
            </w:r>
          </w:p>
        </w:tc>
      </w:tr>
      <w:tr w:rsidR="00BF4529" w14:paraId="3BE51C8D" w14:textId="77777777" w:rsidTr="00BF4529">
        <w:trPr>
          <w:cantSplit/>
        </w:trPr>
        <w:tc>
          <w:tcPr>
            <w:tcW w:w="1871" w:type="dxa"/>
            <w:tcMar>
              <w:top w:w="91" w:type="dxa"/>
              <w:left w:w="0" w:type="dxa"/>
              <w:bottom w:w="91" w:type="dxa"/>
              <w:right w:w="0" w:type="dxa"/>
            </w:tcMar>
          </w:tcPr>
          <w:p w14:paraId="450A6CF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C0316C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D8E6C7F" w14:textId="77777777" w:rsidR="00BF4529" w:rsidRDefault="00BF4529" w:rsidP="00BF4529">
            <w:pPr>
              <w:pStyle w:val="TableBlock"/>
              <w:spacing w:before="0"/>
              <w:rPr>
                <w:sz w:val="26"/>
                <w:rtl/>
              </w:rPr>
            </w:pPr>
            <w:r>
              <w:rPr>
                <w:rFonts w:hint="cs"/>
                <w:sz w:val="26"/>
                <w:rtl/>
              </w:rPr>
              <w:t>(2)</w:t>
            </w:r>
            <w:r>
              <w:rPr>
                <w:rFonts w:hint="cs"/>
                <w:sz w:val="26"/>
                <w:rtl/>
              </w:rPr>
              <w:tab/>
              <w:t>סעיף קטן (ב) – בטל.</w:t>
            </w:r>
          </w:p>
        </w:tc>
      </w:tr>
      <w:tr w:rsidR="00BF4529" w14:paraId="63C161C9" w14:textId="77777777" w:rsidTr="00BF4529">
        <w:trPr>
          <w:cantSplit/>
        </w:trPr>
        <w:tc>
          <w:tcPr>
            <w:tcW w:w="1871" w:type="dxa"/>
            <w:tcMar>
              <w:top w:w="91" w:type="dxa"/>
              <w:left w:w="0" w:type="dxa"/>
              <w:bottom w:w="91" w:type="dxa"/>
              <w:right w:w="0" w:type="dxa"/>
            </w:tcMar>
            <w:hideMark/>
          </w:tcPr>
          <w:p w14:paraId="5F8533F3" w14:textId="77777777" w:rsidR="00BF4529" w:rsidRDefault="00BF4529" w:rsidP="00BF4529">
            <w:pPr>
              <w:pStyle w:val="TableSideHeading"/>
              <w:spacing w:before="0"/>
              <w:jc w:val="left"/>
              <w:rPr>
                <w:sz w:val="26"/>
                <w:rtl/>
              </w:rPr>
            </w:pPr>
            <w:r>
              <w:rPr>
                <w:rFonts w:hint="cs"/>
                <w:sz w:val="26"/>
                <w:rtl/>
              </w:rPr>
              <w:t>ביטול סעיפים</w:t>
            </w:r>
            <w:r>
              <w:rPr>
                <w:rFonts w:hint="cs"/>
                <w:sz w:val="26"/>
                <w:rtl/>
              </w:rPr>
              <w:br/>
              <w:t>32 ו-33</w:t>
            </w:r>
          </w:p>
        </w:tc>
        <w:tc>
          <w:tcPr>
            <w:tcW w:w="624" w:type="dxa"/>
            <w:tcMar>
              <w:top w:w="91" w:type="dxa"/>
              <w:left w:w="0" w:type="dxa"/>
              <w:bottom w:w="91" w:type="dxa"/>
              <w:right w:w="0" w:type="dxa"/>
            </w:tcMar>
            <w:hideMark/>
          </w:tcPr>
          <w:p w14:paraId="1426CC3E" w14:textId="77777777" w:rsidR="00BF4529" w:rsidRDefault="00BF4529" w:rsidP="00BF4529">
            <w:pPr>
              <w:pStyle w:val="TableText"/>
              <w:spacing w:before="0"/>
              <w:rPr>
                <w:sz w:val="26"/>
                <w:rtl/>
              </w:rPr>
            </w:pPr>
            <w:r>
              <w:rPr>
                <w:rFonts w:hint="cs"/>
                <w:sz w:val="26"/>
                <w:rtl/>
              </w:rPr>
              <w:t>33.</w:t>
            </w:r>
          </w:p>
        </w:tc>
        <w:tc>
          <w:tcPr>
            <w:tcW w:w="7146" w:type="dxa"/>
            <w:gridSpan w:val="7"/>
            <w:tcMar>
              <w:top w:w="91" w:type="dxa"/>
              <w:left w:w="0" w:type="dxa"/>
              <w:bottom w:w="91" w:type="dxa"/>
              <w:right w:w="0" w:type="dxa"/>
            </w:tcMar>
            <w:hideMark/>
          </w:tcPr>
          <w:p w14:paraId="2F762DA2" w14:textId="77777777" w:rsidR="00BF4529" w:rsidRDefault="00BF4529" w:rsidP="00BF4529">
            <w:pPr>
              <w:pStyle w:val="TableBlock"/>
              <w:spacing w:before="0"/>
              <w:rPr>
                <w:sz w:val="26"/>
                <w:rtl/>
              </w:rPr>
            </w:pPr>
            <w:r>
              <w:rPr>
                <w:rFonts w:hint="cs"/>
                <w:sz w:val="26"/>
                <w:rtl/>
              </w:rPr>
              <w:t>סעיפים 32 ו-33 לחוק העיקרי – בטלים.</w:t>
            </w:r>
          </w:p>
        </w:tc>
      </w:tr>
      <w:tr w:rsidR="00BF4529" w14:paraId="4D72807E" w14:textId="77777777" w:rsidTr="00BF4529">
        <w:trPr>
          <w:cantSplit/>
        </w:trPr>
        <w:tc>
          <w:tcPr>
            <w:tcW w:w="1871" w:type="dxa"/>
            <w:tcMar>
              <w:top w:w="91" w:type="dxa"/>
              <w:left w:w="0" w:type="dxa"/>
              <w:bottom w:w="91" w:type="dxa"/>
              <w:right w:w="0" w:type="dxa"/>
            </w:tcMar>
            <w:hideMark/>
          </w:tcPr>
          <w:p w14:paraId="0CD1563B" w14:textId="77777777" w:rsidR="00BF4529" w:rsidRDefault="00BF4529" w:rsidP="00BF4529">
            <w:pPr>
              <w:pStyle w:val="TableSideHeading"/>
              <w:spacing w:before="0"/>
              <w:jc w:val="left"/>
              <w:rPr>
                <w:sz w:val="26"/>
                <w:rtl/>
              </w:rPr>
            </w:pPr>
            <w:r>
              <w:rPr>
                <w:rFonts w:hint="cs"/>
                <w:sz w:val="26"/>
                <w:rtl/>
              </w:rPr>
              <w:t>תיקון סעיף 34</w:t>
            </w:r>
          </w:p>
        </w:tc>
        <w:tc>
          <w:tcPr>
            <w:tcW w:w="624" w:type="dxa"/>
            <w:tcMar>
              <w:top w:w="91" w:type="dxa"/>
              <w:left w:w="0" w:type="dxa"/>
              <w:bottom w:w="91" w:type="dxa"/>
              <w:right w:w="0" w:type="dxa"/>
            </w:tcMar>
            <w:hideMark/>
          </w:tcPr>
          <w:p w14:paraId="55E5D2B9" w14:textId="77777777" w:rsidR="00BF4529" w:rsidRDefault="00BF4529" w:rsidP="00BF4529">
            <w:pPr>
              <w:pStyle w:val="TableText"/>
              <w:spacing w:before="0"/>
              <w:rPr>
                <w:sz w:val="26"/>
                <w:rtl/>
              </w:rPr>
            </w:pPr>
            <w:r>
              <w:rPr>
                <w:rFonts w:hint="cs"/>
                <w:sz w:val="26"/>
                <w:rtl/>
              </w:rPr>
              <w:t>34.</w:t>
            </w:r>
          </w:p>
        </w:tc>
        <w:tc>
          <w:tcPr>
            <w:tcW w:w="7146" w:type="dxa"/>
            <w:gridSpan w:val="7"/>
            <w:tcMar>
              <w:top w:w="91" w:type="dxa"/>
              <w:left w:w="0" w:type="dxa"/>
              <w:bottom w:w="91" w:type="dxa"/>
              <w:right w:w="0" w:type="dxa"/>
            </w:tcMar>
            <w:hideMark/>
          </w:tcPr>
          <w:p w14:paraId="6CD1F35F" w14:textId="77777777" w:rsidR="00BF4529" w:rsidRDefault="00BF4529" w:rsidP="00BF4529">
            <w:pPr>
              <w:pStyle w:val="TableBlock"/>
              <w:spacing w:before="0"/>
              <w:rPr>
                <w:sz w:val="26"/>
                <w:rtl/>
              </w:rPr>
            </w:pPr>
            <w:r>
              <w:rPr>
                <w:rFonts w:hint="cs"/>
                <w:sz w:val="26"/>
                <w:rtl/>
              </w:rPr>
              <w:t>בסעיף 34(א) לחוק העיקרי, במקום "שראש המינהל" יבוא "שראש הרשות".</w:t>
            </w:r>
          </w:p>
        </w:tc>
      </w:tr>
      <w:tr w:rsidR="00BF4529" w14:paraId="4B2C4B3C" w14:textId="77777777" w:rsidTr="00BF4529">
        <w:trPr>
          <w:cantSplit/>
        </w:trPr>
        <w:tc>
          <w:tcPr>
            <w:tcW w:w="1871" w:type="dxa"/>
            <w:tcMar>
              <w:top w:w="91" w:type="dxa"/>
              <w:left w:w="0" w:type="dxa"/>
              <w:bottom w:w="91" w:type="dxa"/>
              <w:right w:w="0" w:type="dxa"/>
            </w:tcMar>
            <w:hideMark/>
          </w:tcPr>
          <w:p w14:paraId="3CB83AB7" w14:textId="77777777" w:rsidR="00BF4529" w:rsidRDefault="00BF4529" w:rsidP="00BF4529">
            <w:pPr>
              <w:pStyle w:val="TableSideHeading"/>
              <w:spacing w:before="0"/>
              <w:jc w:val="left"/>
              <w:rPr>
                <w:sz w:val="26"/>
                <w:rtl/>
              </w:rPr>
            </w:pPr>
            <w:r>
              <w:rPr>
                <w:rFonts w:hint="cs"/>
                <w:sz w:val="26"/>
                <w:rtl/>
              </w:rPr>
              <w:t>ביטול פרק ו'</w:t>
            </w:r>
          </w:p>
        </w:tc>
        <w:tc>
          <w:tcPr>
            <w:tcW w:w="624" w:type="dxa"/>
            <w:tcMar>
              <w:top w:w="91" w:type="dxa"/>
              <w:left w:w="0" w:type="dxa"/>
              <w:bottom w:w="91" w:type="dxa"/>
              <w:right w:w="0" w:type="dxa"/>
            </w:tcMar>
            <w:hideMark/>
          </w:tcPr>
          <w:p w14:paraId="02B14943" w14:textId="77777777" w:rsidR="00BF4529" w:rsidRDefault="00BF4529" w:rsidP="00BF4529">
            <w:pPr>
              <w:pStyle w:val="TableText"/>
              <w:spacing w:before="0"/>
              <w:rPr>
                <w:rtl/>
              </w:rPr>
            </w:pPr>
            <w:r>
              <w:rPr>
                <w:rFonts w:hint="cs"/>
                <w:rtl/>
              </w:rPr>
              <w:t>35.</w:t>
            </w:r>
          </w:p>
        </w:tc>
        <w:tc>
          <w:tcPr>
            <w:tcW w:w="7146" w:type="dxa"/>
            <w:gridSpan w:val="7"/>
            <w:tcMar>
              <w:top w:w="91" w:type="dxa"/>
              <w:left w:w="0" w:type="dxa"/>
              <w:bottom w:w="91" w:type="dxa"/>
              <w:right w:w="0" w:type="dxa"/>
            </w:tcMar>
            <w:hideMark/>
          </w:tcPr>
          <w:p w14:paraId="66544D74" w14:textId="77777777" w:rsidR="00BF4529" w:rsidRDefault="00BF4529" w:rsidP="00BF4529">
            <w:pPr>
              <w:pStyle w:val="TableBlock"/>
              <w:spacing w:before="0"/>
              <w:rPr>
                <w:sz w:val="26"/>
                <w:rtl/>
              </w:rPr>
            </w:pPr>
            <w:r>
              <w:rPr>
                <w:rFonts w:hint="cs"/>
                <w:sz w:val="26"/>
                <w:rtl/>
              </w:rPr>
              <w:t>פרק ו' לחוק העיקרי – בטל.</w:t>
            </w:r>
          </w:p>
        </w:tc>
      </w:tr>
      <w:tr w:rsidR="00BF4529" w14:paraId="12BD7755" w14:textId="77777777" w:rsidTr="00BF4529">
        <w:trPr>
          <w:cantSplit/>
        </w:trPr>
        <w:tc>
          <w:tcPr>
            <w:tcW w:w="1871" w:type="dxa"/>
            <w:tcMar>
              <w:top w:w="91" w:type="dxa"/>
              <w:left w:w="0" w:type="dxa"/>
              <w:bottom w:w="91" w:type="dxa"/>
              <w:right w:w="0" w:type="dxa"/>
            </w:tcMar>
            <w:hideMark/>
          </w:tcPr>
          <w:p w14:paraId="7D4F2372" w14:textId="77777777" w:rsidR="00BF4529" w:rsidRDefault="00BF4529" w:rsidP="00BF4529">
            <w:pPr>
              <w:pStyle w:val="TableSideHeading"/>
              <w:spacing w:before="0"/>
              <w:jc w:val="left"/>
              <w:rPr>
                <w:sz w:val="26"/>
                <w:rtl/>
              </w:rPr>
            </w:pPr>
            <w:r>
              <w:rPr>
                <w:rFonts w:hint="cs"/>
                <w:sz w:val="26"/>
                <w:rtl/>
              </w:rPr>
              <w:t>תיקון סעיף 42</w:t>
            </w:r>
          </w:p>
        </w:tc>
        <w:tc>
          <w:tcPr>
            <w:tcW w:w="624" w:type="dxa"/>
            <w:tcMar>
              <w:top w:w="91" w:type="dxa"/>
              <w:left w:w="0" w:type="dxa"/>
              <w:bottom w:w="91" w:type="dxa"/>
              <w:right w:w="0" w:type="dxa"/>
            </w:tcMar>
            <w:hideMark/>
          </w:tcPr>
          <w:p w14:paraId="600FC6C5" w14:textId="77777777" w:rsidR="00BF4529" w:rsidRDefault="00BF4529" w:rsidP="00BF4529">
            <w:pPr>
              <w:pStyle w:val="TableText"/>
              <w:spacing w:before="0"/>
              <w:rPr>
                <w:sz w:val="26"/>
                <w:rtl/>
              </w:rPr>
            </w:pPr>
            <w:r>
              <w:rPr>
                <w:rFonts w:hint="cs"/>
                <w:sz w:val="26"/>
                <w:rtl/>
              </w:rPr>
              <w:t>36.</w:t>
            </w:r>
          </w:p>
        </w:tc>
        <w:tc>
          <w:tcPr>
            <w:tcW w:w="7146" w:type="dxa"/>
            <w:gridSpan w:val="7"/>
            <w:tcMar>
              <w:top w:w="91" w:type="dxa"/>
              <w:left w:w="0" w:type="dxa"/>
              <w:bottom w:w="91" w:type="dxa"/>
              <w:right w:w="0" w:type="dxa"/>
            </w:tcMar>
            <w:hideMark/>
          </w:tcPr>
          <w:p w14:paraId="5849653B" w14:textId="77777777" w:rsidR="00BF4529" w:rsidRDefault="00BF4529" w:rsidP="00BF4529">
            <w:pPr>
              <w:pStyle w:val="TableBlock"/>
              <w:spacing w:before="0"/>
              <w:rPr>
                <w:sz w:val="26"/>
                <w:rtl/>
              </w:rPr>
            </w:pPr>
            <w:r>
              <w:rPr>
                <w:rFonts w:hint="cs"/>
                <w:sz w:val="26"/>
                <w:rtl/>
              </w:rPr>
              <w:t xml:space="preserve">בסעיף 42 לחוק העיקרי – </w:t>
            </w:r>
          </w:p>
        </w:tc>
      </w:tr>
      <w:tr w:rsidR="00BF4529" w14:paraId="61C81A88" w14:textId="77777777" w:rsidTr="00BF4529">
        <w:trPr>
          <w:cantSplit/>
        </w:trPr>
        <w:tc>
          <w:tcPr>
            <w:tcW w:w="1871" w:type="dxa"/>
            <w:tcMar>
              <w:top w:w="91" w:type="dxa"/>
              <w:left w:w="0" w:type="dxa"/>
              <w:bottom w:w="91" w:type="dxa"/>
              <w:right w:w="0" w:type="dxa"/>
            </w:tcMar>
          </w:tcPr>
          <w:p w14:paraId="0997A4C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9989F1D"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0F1CDFF3" w14:textId="77777777" w:rsidR="00BF4529" w:rsidRDefault="00BF4529" w:rsidP="00BF4529">
            <w:pPr>
              <w:pStyle w:val="TableBlock"/>
              <w:spacing w:before="0"/>
              <w:rPr>
                <w:sz w:val="26"/>
                <w:rtl/>
              </w:rPr>
            </w:pPr>
            <w:r>
              <w:rPr>
                <w:rFonts w:hint="cs"/>
                <w:sz w:val="26"/>
                <w:rtl/>
              </w:rPr>
              <w:t>(1)</w:t>
            </w:r>
            <w:r>
              <w:rPr>
                <w:rFonts w:hint="cs"/>
                <w:sz w:val="26"/>
                <w:rtl/>
              </w:rPr>
              <w:tab/>
              <w:t>בסעיף קטן (א), בכל מקום, במקום "התעשייה המסחר והתעסוקה" יבוא "הכלכלה";</w:t>
            </w:r>
          </w:p>
        </w:tc>
      </w:tr>
      <w:tr w:rsidR="00BF4529" w14:paraId="645EDFA3" w14:textId="77777777" w:rsidTr="00BF4529">
        <w:trPr>
          <w:cantSplit/>
        </w:trPr>
        <w:tc>
          <w:tcPr>
            <w:tcW w:w="1871" w:type="dxa"/>
            <w:tcMar>
              <w:top w:w="91" w:type="dxa"/>
              <w:left w:w="0" w:type="dxa"/>
              <w:bottom w:w="91" w:type="dxa"/>
              <w:right w:w="0" w:type="dxa"/>
            </w:tcMar>
          </w:tcPr>
          <w:p w14:paraId="54AEC88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04F6C7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201A68B" w14:textId="77777777" w:rsidR="00BF4529" w:rsidRDefault="00BF4529" w:rsidP="00BF4529">
            <w:pPr>
              <w:pStyle w:val="TableBlock"/>
              <w:spacing w:before="0"/>
              <w:rPr>
                <w:sz w:val="26"/>
                <w:rtl/>
              </w:rPr>
            </w:pPr>
            <w:r>
              <w:rPr>
                <w:rFonts w:hint="cs"/>
                <w:sz w:val="26"/>
                <w:rtl/>
              </w:rPr>
              <w:t>(2)</w:t>
            </w:r>
            <w:r>
              <w:rPr>
                <w:rFonts w:hint="cs"/>
                <w:sz w:val="26"/>
                <w:rtl/>
              </w:rPr>
              <w:tab/>
              <w:t>במקום סעיף קטן (ב) יבוא:</w:t>
            </w:r>
          </w:p>
        </w:tc>
      </w:tr>
      <w:tr w:rsidR="00BF4529" w14:paraId="12109F75" w14:textId="77777777" w:rsidTr="00BF4529">
        <w:trPr>
          <w:cantSplit/>
        </w:trPr>
        <w:tc>
          <w:tcPr>
            <w:tcW w:w="1871" w:type="dxa"/>
            <w:tcMar>
              <w:top w:w="91" w:type="dxa"/>
              <w:left w:w="0" w:type="dxa"/>
              <w:bottom w:w="91" w:type="dxa"/>
              <w:right w:w="0" w:type="dxa"/>
            </w:tcMar>
          </w:tcPr>
          <w:p w14:paraId="26B6527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B85BE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E15BA0"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484B496" w14:textId="77777777" w:rsidR="00BF4529" w:rsidRDefault="00BF4529" w:rsidP="00BF4529">
            <w:pPr>
              <w:pStyle w:val="TableBlock"/>
              <w:spacing w:before="0"/>
              <w:rPr>
                <w:sz w:val="26"/>
                <w:rtl/>
              </w:rPr>
            </w:pPr>
            <w:r>
              <w:rPr>
                <w:rFonts w:hint="cs"/>
                <w:sz w:val="26"/>
                <w:rtl/>
              </w:rPr>
              <w:t>"(ב)</w:t>
            </w:r>
            <w:r>
              <w:rPr>
                <w:rFonts w:hint="cs"/>
                <w:sz w:val="26"/>
                <w:rtl/>
              </w:rPr>
              <w:tab/>
              <w:t>ראש הרשות, באישור המועצה, יורה בנוהל שיפורסם באתר האינטרנט של הרשות על אופן יישום כל הסכם לפי סעיפים קטנים (א) ו-(ג), ורשאי הוא לכלול בנוהל כאמור הוראות כאמור בסעיף 15לו בשינויים המחויבים, אולם המועצה רשאית לפטור את ראש הרשות מהצורך באישורה לנוהל כאמור, לגבי כלל ההסכמים כאמור או חלקם.</w:t>
            </w:r>
          </w:p>
        </w:tc>
      </w:tr>
      <w:tr w:rsidR="00BF4529" w14:paraId="585C42C2" w14:textId="77777777" w:rsidTr="00BF4529">
        <w:trPr>
          <w:cantSplit/>
        </w:trPr>
        <w:tc>
          <w:tcPr>
            <w:tcW w:w="1871" w:type="dxa"/>
            <w:tcMar>
              <w:top w:w="91" w:type="dxa"/>
              <w:left w:w="0" w:type="dxa"/>
              <w:bottom w:w="91" w:type="dxa"/>
              <w:right w:w="0" w:type="dxa"/>
            </w:tcMar>
          </w:tcPr>
          <w:p w14:paraId="22C2117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A25B4E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39A39F1"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EADB096" w14:textId="77777777" w:rsidR="00BF4529" w:rsidRDefault="00BF4529" w:rsidP="00BF4529">
            <w:pPr>
              <w:pStyle w:val="TableBlock"/>
              <w:spacing w:before="0"/>
              <w:rPr>
                <w:sz w:val="26"/>
                <w:rtl/>
              </w:rPr>
            </w:pPr>
            <w:r>
              <w:rPr>
                <w:rFonts w:hint="cs"/>
                <w:sz w:val="26"/>
                <w:rtl/>
              </w:rPr>
              <w:t>(ג)</w:t>
            </w:r>
            <w:r>
              <w:rPr>
                <w:rFonts w:hint="cs"/>
                <w:sz w:val="26"/>
                <w:rtl/>
              </w:rPr>
              <w:tab/>
              <w:t>הרשות, באמצעות ראש הרשות, רשאית להתקשר בהסכמים עם גורמים מחוץ לישראל, ובכלל זה עם חברות רב-לאומיות, במטרה לעודד שיתוף פעולה בחדשנות טכנולוגית בין תאגידים תעשייתיים שהתאגדו בישראל ובין גורמים מחוץ לישראל, בין השאר בדרך של עידוד מיזמי חדשנות טכנולוגית משותפים, הקמת קרנות משותפות או ביצוע השקעות משותפות בחדשנות טכנולוגית.</w:t>
            </w:r>
          </w:p>
        </w:tc>
      </w:tr>
      <w:tr w:rsidR="00BF4529" w14:paraId="035B0689" w14:textId="77777777" w:rsidTr="00BF4529">
        <w:trPr>
          <w:cantSplit/>
        </w:trPr>
        <w:tc>
          <w:tcPr>
            <w:tcW w:w="1871" w:type="dxa"/>
            <w:tcMar>
              <w:top w:w="91" w:type="dxa"/>
              <w:left w:w="0" w:type="dxa"/>
              <w:bottom w:w="91" w:type="dxa"/>
              <w:right w:w="0" w:type="dxa"/>
            </w:tcMar>
          </w:tcPr>
          <w:p w14:paraId="6679E54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D5D44E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296501"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0514A06C" w14:textId="77777777" w:rsidR="00BF4529" w:rsidRDefault="00BF4529" w:rsidP="00BF4529">
            <w:pPr>
              <w:pStyle w:val="TableBlock"/>
              <w:spacing w:before="0"/>
              <w:rPr>
                <w:sz w:val="26"/>
                <w:rtl/>
              </w:rPr>
            </w:pPr>
            <w:r>
              <w:rPr>
                <w:rFonts w:hint="cs"/>
                <w:sz w:val="26"/>
                <w:rtl/>
              </w:rPr>
              <w:t>(ד)</w:t>
            </w:r>
            <w:r>
              <w:rPr>
                <w:rFonts w:hint="cs"/>
                <w:sz w:val="26"/>
                <w:rtl/>
              </w:rPr>
              <w:tab/>
              <w:t xml:space="preserve">הסכמים כאמור בסעיף זה יהיו באחריות הרשות ויופעלו על ידה. </w:t>
            </w:r>
          </w:p>
        </w:tc>
      </w:tr>
      <w:tr w:rsidR="00BF4529" w14:paraId="67A033A3" w14:textId="77777777" w:rsidTr="00BF4529">
        <w:trPr>
          <w:cantSplit/>
        </w:trPr>
        <w:tc>
          <w:tcPr>
            <w:tcW w:w="1871" w:type="dxa"/>
            <w:tcMar>
              <w:top w:w="91" w:type="dxa"/>
              <w:left w:w="0" w:type="dxa"/>
              <w:bottom w:w="91" w:type="dxa"/>
              <w:right w:w="0" w:type="dxa"/>
            </w:tcMar>
          </w:tcPr>
          <w:p w14:paraId="56166B3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51B243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D48737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hideMark/>
          </w:tcPr>
          <w:p w14:paraId="0F83A71B" w14:textId="77777777" w:rsidR="00BF4529" w:rsidRDefault="00BF4529" w:rsidP="00BF4529">
            <w:pPr>
              <w:pStyle w:val="TableText"/>
              <w:spacing w:before="0"/>
              <w:rPr>
                <w:sz w:val="26"/>
                <w:rtl/>
              </w:rPr>
            </w:pPr>
            <w:r>
              <w:rPr>
                <w:rFonts w:hint="cs"/>
                <w:sz w:val="26"/>
                <w:rtl/>
              </w:rPr>
              <w:t>(ה)</w:t>
            </w:r>
          </w:p>
        </w:tc>
        <w:tc>
          <w:tcPr>
            <w:tcW w:w="5898" w:type="dxa"/>
            <w:gridSpan w:val="5"/>
            <w:tcMar>
              <w:top w:w="91" w:type="dxa"/>
              <w:left w:w="0" w:type="dxa"/>
              <w:bottom w:w="91" w:type="dxa"/>
              <w:right w:w="0" w:type="dxa"/>
            </w:tcMar>
            <w:hideMark/>
          </w:tcPr>
          <w:p w14:paraId="48AE73E0" w14:textId="77777777" w:rsidR="00BF4529" w:rsidRDefault="00BF4529" w:rsidP="00BF4529">
            <w:pPr>
              <w:pStyle w:val="TableBlock"/>
              <w:spacing w:before="0"/>
              <w:rPr>
                <w:sz w:val="26"/>
                <w:rtl/>
              </w:rPr>
            </w:pPr>
            <w:r>
              <w:rPr>
                <w:rFonts w:hint="cs"/>
                <w:sz w:val="26"/>
                <w:rtl/>
              </w:rPr>
              <w:t>(1)</w:t>
            </w:r>
            <w:r>
              <w:rPr>
                <w:rFonts w:hint="cs"/>
                <w:sz w:val="26"/>
                <w:rtl/>
              </w:rPr>
              <w:tab/>
              <w:t>הרשות רשאית להקים תאגיד שיהיה קרן בין-לאומית משותפת לרשות ולממשלות, לגוף ממשלתי מוסמך זר או לארגונים בין-לאומיים בין-ממשלתיים.</w:t>
            </w:r>
          </w:p>
        </w:tc>
      </w:tr>
      <w:tr w:rsidR="00BF4529" w14:paraId="0061E28E" w14:textId="77777777" w:rsidTr="00BF4529">
        <w:trPr>
          <w:cantSplit/>
        </w:trPr>
        <w:tc>
          <w:tcPr>
            <w:tcW w:w="1871" w:type="dxa"/>
            <w:tcMar>
              <w:top w:w="91" w:type="dxa"/>
              <w:left w:w="0" w:type="dxa"/>
              <w:bottom w:w="91" w:type="dxa"/>
              <w:right w:w="0" w:type="dxa"/>
            </w:tcMar>
          </w:tcPr>
          <w:p w14:paraId="07E9D73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0F170F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98822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A16A9D"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6983CD25" w14:textId="77777777" w:rsidR="00BF4529" w:rsidRDefault="00BF4529" w:rsidP="00BF4529">
            <w:pPr>
              <w:pStyle w:val="TableBlock"/>
              <w:spacing w:before="0"/>
              <w:rPr>
                <w:sz w:val="26"/>
                <w:rtl/>
              </w:rPr>
            </w:pPr>
            <w:r>
              <w:rPr>
                <w:rFonts w:hint="cs"/>
                <w:sz w:val="26"/>
                <w:rtl/>
              </w:rPr>
              <w:t>(2)</w:t>
            </w:r>
            <w:r>
              <w:rPr>
                <w:rFonts w:hint="cs"/>
                <w:sz w:val="26"/>
                <w:rtl/>
              </w:rPr>
              <w:tab/>
              <w:t xml:space="preserve">ההחלטה על הקמת תאגיד כאמור בפסקה (1) (בסעיף קטן זה – התאגיד) וכן ההסכם הבין-לאומי להקמת הקרן, יובאו לאישור הממשלה על ידי השרים, וכל שינוי בהסכם יהיה טעון אישור של הממשלה. </w:t>
            </w:r>
          </w:p>
        </w:tc>
      </w:tr>
      <w:tr w:rsidR="00BF4529" w14:paraId="763F2D15" w14:textId="77777777" w:rsidTr="00BF4529">
        <w:trPr>
          <w:cantSplit/>
        </w:trPr>
        <w:tc>
          <w:tcPr>
            <w:tcW w:w="1871" w:type="dxa"/>
            <w:tcMar>
              <w:top w:w="91" w:type="dxa"/>
              <w:left w:w="0" w:type="dxa"/>
              <w:bottom w:w="91" w:type="dxa"/>
              <w:right w:w="0" w:type="dxa"/>
            </w:tcMar>
          </w:tcPr>
          <w:p w14:paraId="463D1A7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2CCF2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F14BCF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9A19AAE"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47B7EE56" w14:textId="77777777" w:rsidR="00BF4529" w:rsidRDefault="00BF4529" w:rsidP="00BF4529">
            <w:pPr>
              <w:pStyle w:val="TableBlock"/>
              <w:spacing w:before="0"/>
              <w:rPr>
                <w:sz w:val="26"/>
                <w:rtl/>
              </w:rPr>
            </w:pPr>
            <w:r>
              <w:rPr>
                <w:rFonts w:hint="cs"/>
                <w:sz w:val="26"/>
                <w:rtl/>
              </w:rPr>
              <w:t>(3)</w:t>
            </w:r>
            <w:r>
              <w:rPr>
                <w:rFonts w:hint="cs"/>
                <w:sz w:val="26"/>
                <w:rtl/>
              </w:rPr>
              <w:tab/>
              <w:t>התאגיד יהיה כשר לכל זכות, חובה ופעולה משפטית.</w:t>
            </w:r>
          </w:p>
        </w:tc>
      </w:tr>
      <w:tr w:rsidR="00BF4529" w14:paraId="717B07E1" w14:textId="77777777" w:rsidTr="00BF4529">
        <w:trPr>
          <w:cantSplit/>
        </w:trPr>
        <w:tc>
          <w:tcPr>
            <w:tcW w:w="1871" w:type="dxa"/>
            <w:tcMar>
              <w:top w:w="91" w:type="dxa"/>
              <w:left w:w="0" w:type="dxa"/>
              <w:bottom w:w="91" w:type="dxa"/>
              <w:right w:w="0" w:type="dxa"/>
            </w:tcMar>
          </w:tcPr>
          <w:p w14:paraId="70B188A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5D4124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CD529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6E6DBF9"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2191CD3B" w14:textId="77777777" w:rsidR="00BF4529" w:rsidRDefault="00BF4529" w:rsidP="00BF4529">
            <w:pPr>
              <w:pStyle w:val="TableBlock"/>
              <w:spacing w:before="0"/>
              <w:rPr>
                <w:sz w:val="26"/>
                <w:rtl/>
              </w:rPr>
            </w:pPr>
            <w:r>
              <w:rPr>
                <w:rFonts w:hint="cs"/>
                <w:sz w:val="26"/>
                <w:rtl/>
              </w:rPr>
              <w:t>(4)</w:t>
            </w:r>
            <w:r>
              <w:rPr>
                <w:rFonts w:hint="cs"/>
                <w:sz w:val="26"/>
                <w:rtl/>
              </w:rPr>
              <w:tab/>
              <w:t>התאגיד יאורגן וינוהל לפי ההסכם בין הצדדים."</w:t>
            </w:r>
          </w:p>
        </w:tc>
      </w:tr>
      <w:tr w:rsidR="00BF4529" w14:paraId="5B883F5E" w14:textId="77777777" w:rsidTr="00BF4529">
        <w:trPr>
          <w:cantSplit/>
        </w:trPr>
        <w:tc>
          <w:tcPr>
            <w:tcW w:w="1871" w:type="dxa"/>
            <w:tcMar>
              <w:top w:w="91" w:type="dxa"/>
              <w:left w:w="0" w:type="dxa"/>
              <w:bottom w:w="91" w:type="dxa"/>
              <w:right w:w="0" w:type="dxa"/>
            </w:tcMar>
            <w:hideMark/>
          </w:tcPr>
          <w:p w14:paraId="17EA2C77" w14:textId="77777777" w:rsidR="00BF4529" w:rsidRDefault="00BF4529" w:rsidP="00BF4529">
            <w:pPr>
              <w:pStyle w:val="TableSideHeading"/>
              <w:spacing w:before="0"/>
              <w:jc w:val="left"/>
              <w:rPr>
                <w:sz w:val="26"/>
                <w:rtl/>
              </w:rPr>
            </w:pPr>
            <w:r>
              <w:rPr>
                <w:rFonts w:hint="cs"/>
                <w:sz w:val="26"/>
                <w:rtl/>
              </w:rPr>
              <w:t>ביטול סעיפים</w:t>
            </w:r>
            <w:r>
              <w:rPr>
                <w:rFonts w:hint="cs"/>
                <w:sz w:val="26"/>
                <w:rtl/>
              </w:rPr>
              <w:br/>
              <w:t>42א ו-42ב</w:t>
            </w:r>
          </w:p>
        </w:tc>
        <w:tc>
          <w:tcPr>
            <w:tcW w:w="624" w:type="dxa"/>
            <w:tcMar>
              <w:top w:w="91" w:type="dxa"/>
              <w:left w:w="0" w:type="dxa"/>
              <w:bottom w:w="91" w:type="dxa"/>
              <w:right w:w="0" w:type="dxa"/>
            </w:tcMar>
            <w:hideMark/>
          </w:tcPr>
          <w:p w14:paraId="0DB89019" w14:textId="77777777" w:rsidR="00BF4529" w:rsidRDefault="00BF4529" w:rsidP="00BF4529">
            <w:pPr>
              <w:pStyle w:val="TableText"/>
              <w:spacing w:before="0"/>
              <w:rPr>
                <w:sz w:val="26"/>
                <w:rtl/>
              </w:rPr>
            </w:pPr>
            <w:r>
              <w:rPr>
                <w:rFonts w:hint="cs"/>
                <w:sz w:val="26"/>
                <w:rtl/>
              </w:rPr>
              <w:t>37.</w:t>
            </w:r>
          </w:p>
        </w:tc>
        <w:tc>
          <w:tcPr>
            <w:tcW w:w="7146" w:type="dxa"/>
            <w:gridSpan w:val="7"/>
            <w:tcMar>
              <w:top w:w="91" w:type="dxa"/>
              <w:left w:w="0" w:type="dxa"/>
              <w:bottom w:w="91" w:type="dxa"/>
              <w:right w:w="0" w:type="dxa"/>
            </w:tcMar>
            <w:hideMark/>
          </w:tcPr>
          <w:p w14:paraId="7C7CD1C4" w14:textId="77777777" w:rsidR="00BF4529" w:rsidRDefault="00BF4529" w:rsidP="00BF4529">
            <w:pPr>
              <w:pStyle w:val="TableBlock"/>
              <w:spacing w:before="0"/>
              <w:rPr>
                <w:sz w:val="26"/>
                <w:rtl/>
              </w:rPr>
            </w:pPr>
            <w:r>
              <w:rPr>
                <w:rFonts w:hint="cs"/>
                <w:sz w:val="26"/>
                <w:rtl/>
              </w:rPr>
              <w:t>סעיפים 42א ו-42ב לחוק העיקרי – בטלים.</w:t>
            </w:r>
          </w:p>
        </w:tc>
      </w:tr>
      <w:tr w:rsidR="00BF4529" w14:paraId="3452759A" w14:textId="77777777" w:rsidTr="00BF4529">
        <w:trPr>
          <w:cantSplit/>
        </w:trPr>
        <w:tc>
          <w:tcPr>
            <w:tcW w:w="1871" w:type="dxa"/>
            <w:tcMar>
              <w:top w:w="91" w:type="dxa"/>
              <w:left w:w="0" w:type="dxa"/>
              <w:bottom w:w="91" w:type="dxa"/>
              <w:right w:w="0" w:type="dxa"/>
            </w:tcMar>
            <w:hideMark/>
          </w:tcPr>
          <w:p w14:paraId="14F3DA09" w14:textId="77777777" w:rsidR="00BF4529" w:rsidRDefault="00BF4529" w:rsidP="00BF4529">
            <w:pPr>
              <w:pStyle w:val="TableSideHeading"/>
              <w:spacing w:before="0"/>
              <w:jc w:val="left"/>
              <w:rPr>
                <w:sz w:val="26"/>
                <w:rtl/>
              </w:rPr>
            </w:pPr>
            <w:r>
              <w:rPr>
                <w:rFonts w:hint="cs"/>
                <w:sz w:val="26"/>
                <w:rtl/>
              </w:rPr>
              <w:t>תיקון סעיף 43</w:t>
            </w:r>
          </w:p>
        </w:tc>
        <w:tc>
          <w:tcPr>
            <w:tcW w:w="624" w:type="dxa"/>
            <w:tcMar>
              <w:top w:w="91" w:type="dxa"/>
              <w:left w:w="0" w:type="dxa"/>
              <w:bottom w:w="91" w:type="dxa"/>
              <w:right w:w="0" w:type="dxa"/>
            </w:tcMar>
            <w:hideMark/>
          </w:tcPr>
          <w:p w14:paraId="6A00396C" w14:textId="77777777" w:rsidR="00BF4529" w:rsidRDefault="00BF4529" w:rsidP="00BF4529">
            <w:pPr>
              <w:pStyle w:val="TableText"/>
              <w:spacing w:before="0"/>
              <w:rPr>
                <w:sz w:val="26"/>
                <w:rtl/>
              </w:rPr>
            </w:pPr>
            <w:r>
              <w:rPr>
                <w:rFonts w:hint="cs"/>
                <w:sz w:val="26"/>
                <w:rtl/>
              </w:rPr>
              <w:t>38.</w:t>
            </w:r>
          </w:p>
        </w:tc>
        <w:tc>
          <w:tcPr>
            <w:tcW w:w="7146" w:type="dxa"/>
            <w:gridSpan w:val="7"/>
            <w:tcMar>
              <w:top w:w="91" w:type="dxa"/>
              <w:left w:w="0" w:type="dxa"/>
              <w:bottom w:w="91" w:type="dxa"/>
              <w:right w:w="0" w:type="dxa"/>
            </w:tcMar>
            <w:hideMark/>
          </w:tcPr>
          <w:p w14:paraId="25A7E03E" w14:textId="77777777" w:rsidR="00BF4529" w:rsidRDefault="00BF4529" w:rsidP="00BF4529">
            <w:pPr>
              <w:pStyle w:val="TableBlock"/>
              <w:spacing w:before="0"/>
              <w:rPr>
                <w:sz w:val="26"/>
                <w:rtl/>
              </w:rPr>
            </w:pPr>
            <w:r>
              <w:rPr>
                <w:rFonts w:hint="cs"/>
                <w:sz w:val="26"/>
                <w:rtl/>
              </w:rPr>
              <w:t>בסעיף 43 לחוק העיקרי, במקום "לראש המינהל" יבוא "למנהל הכללי של הרשות".</w:t>
            </w:r>
          </w:p>
        </w:tc>
      </w:tr>
      <w:tr w:rsidR="00BF4529" w14:paraId="634E0DEE" w14:textId="77777777" w:rsidTr="00BF4529">
        <w:trPr>
          <w:cantSplit/>
        </w:trPr>
        <w:tc>
          <w:tcPr>
            <w:tcW w:w="1871" w:type="dxa"/>
            <w:tcMar>
              <w:top w:w="91" w:type="dxa"/>
              <w:left w:w="0" w:type="dxa"/>
              <w:bottom w:w="91" w:type="dxa"/>
              <w:right w:w="0" w:type="dxa"/>
            </w:tcMar>
            <w:hideMark/>
          </w:tcPr>
          <w:p w14:paraId="5A766EEF" w14:textId="77777777" w:rsidR="00BF4529" w:rsidRDefault="00BF4529" w:rsidP="00BF4529">
            <w:pPr>
              <w:pStyle w:val="TableSideHeading"/>
              <w:spacing w:before="0"/>
              <w:jc w:val="left"/>
              <w:rPr>
                <w:sz w:val="26"/>
                <w:rtl/>
              </w:rPr>
            </w:pPr>
            <w:r>
              <w:rPr>
                <w:rFonts w:hint="cs"/>
                <w:sz w:val="26"/>
                <w:rtl/>
              </w:rPr>
              <w:t>תיקון סעיף 45</w:t>
            </w:r>
          </w:p>
        </w:tc>
        <w:tc>
          <w:tcPr>
            <w:tcW w:w="624" w:type="dxa"/>
            <w:tcMar>
              <w:top w:w="91" w:type="dxa"/>
              <w:left w:w="0" w:type="dxa"/>
              <w:bottom w:w="91" w:type="dxa"/>
              <w:right w:w="0" w:type="dxa"/>
            </w:tcMar>
            <w:hideMark/>
          </w:tcPr>
          <w:p w14:paraId="0C8AA670" w14:textId="77777777" w:rsidR="00BF4529" w:rsidRDefault="00BF4529" w:rsidP="00BF4529">
            <w:pPr>
              <w:pStyle w:val="TableText"/>
              <w:spacing w:before="0"/>
              <w:rPr>
                <w:sz w:val="26"/>
                <w:rtl/>
              </w:rPr>
            </w:pPr>
            <w:r>
              <w:rPr>
                <w:rFonts w:hint="cs"/>
                <w:sz w:val="26"/>
                <w:rtl/>
              </w:rPr>
              <w:t>39.</w:t>
            </w:r>
          </w:p>
        </w:tc>
        <w:tc>
          <w:tcPr>
            <w:tcW w:w="7146" w:type="dxa"/>
            <w:gridSpan w:val="7"/>
            <w:tcMar>
              <w:top w:w="91" w:type="dxa"/>
              <w:left w:w="0" w:type="dxa"/>
              <w:bottom w:w="91" w:type="dxa"/>
              <w:right w:w="0" w:type="dxa"/>
            </w:tcMar>
            <w:hideMark/>
          </w:tcPr>
          <w:p w14:paraId="3E1FC179" w14:textId="77777777" w:rsidR="00BF4529" w:rsidRDefault="00BF4529" w:rsidP="00BF4529">
            <w:pPr>
              <w:pStyle w:val="TableBlock"/>
              <w:spacing w:before="0"/>
              <w:rPr>
                <w:sz w:val="26"/>
                <w:rtl/>
              </w:rPr>
            </w:pPr>
            <w:r>
              <w:rPr>
                <w:rFonts w:hint="cs"/>
                <w:sz w:val="26"/>
                <w:rtl/>
              </w:rPr>
              <w:t>בסעיף 45 לחוק העיקרי, במקום "ראש המינהל" יבוא "המנהל הכללי של הרשות".</w:t>
            </w:r>
          </w:p>
        </w:tc>
      </w:tr>
      <w:tr w:rsidR="00BF4529" w14:paraId="7D76A4D0" w14:textId="77777777" w:rsidTr="00BF4529">
        <w:trPr>
          <w:cantSplit/>
        </w:trPr>
        <w:tc>
          <w:tcPr>
            <w:tcW w:w="1871" w:type="dxa"/>
            <w:tcMar>
              <w:top w:w="91" w:type="dxa"/>
              <w:left w:w="0" w:type="dxa"/>
              <w:bottom w:w="91" w:type="dxa"/>
              <w:right w:w="0" w:type="dxa"/>
            </w:tcMar>
            <w:hideMark/>
          </w:tcPr>
          <w:p w14:paraId="44794E89" w14:textId="77777777" w:rsidR="00BF4529" w:rsidRDefault="00BF4529" w:rsidP="00BF4529">
            <w:pPr>
              <w:pStyle w:val="TableSideHeading"/>
              <w:spacing w:before="0"/>
              <w:jc w:val="left"/>
              <w:rPr>
                <w:sz w:val="26"/>
                <w:rtl/>
              </w:rPr>
            </w:pPr>
            <w:r>
              <w:rPr>
                <w:rFonts w:hint="cs"/>
                <w:sz w:val="26"/>
                <w:rtl/>
              </w:rPr>
              <w:t>תיקון סעיף 46</w:t>
            </w:r>
          </w:p>
        </w:tc>
        <w:tc>
          <w:tcPr>
            <w:tcW w:w="624" w:type="dxa"/>
            <w:tcMar>
              <w:top w:w="91" w:type="dxa"/>
              <w:left w:w="0" w:type="dxa"/>
              <w:bottom w:w="91" w:type="dxa"/>
              <w:right w:w="0" w:type="dxa"/>
            </w:tcMar>
            <w:hideMark/>
          </w:tcPr>
          <w:p w14:paraId="7CC6A6E5" w14:textId="77777777" w:rsidR="00BF4529" w:rsidRDefault="00BF4529" w:rsidP="00BF4529">
            <w:pPr>
              <w:pStyle w:val="TableText"/>
              <w:spacing w:before="0"/>
              <w:rPr>
                <w:sz w:val="26"/>
                <w:rtl/>
              </w:rPr>
            </w:pPr>
            <w:r>
              <w:rPr>
                <w:rFonts w:hint="cs"/>
                <w:sz w:val="26"/>
                <w:rtl/>
              </w:rPr>
              <w:t>40.</w:t>
            </w:r>
          </w:p>
        </w:tc>
        <w:tc>
          <w:tcPr>
            <w:tcW w:w="7146" w:type="dxa"/>
            <w:gridSpan w:val="7"/>
            <w:tcMar>
              <w:top w:w="91" w:type="dxa"/>
              <w:left w:w="0" w:type="dxa"/>
              <w:bottom w:w="91" w:type="dxa"/>
              <w:right w:w="0" w:type="dxa"/>
            </w:tcMar>
            <w:hideMark/>
          </w:tcPr>
          <w:p w14:paraId="6BFDAA2E" w14:textId="77777777" w:rsidR="00BF4529" w:rsidRDefault="00BF4529" w:rsidP="00BF4529">
            <w:pPr>
              <w:pStyle w:val="TableBlock"/>
              <w:spacing w:before="0"/>
              <w:rPr>
                <w:sz w:val="26"/>
                <w:rtl/>
              </w:rPr>
            </w:pPr>
            <w:r>
              <w:rPr>
                <w:rFonts w:hint="cs"/>
                <w:sz w:val="26"/>
                <w:rtl/>
              </w:rPr>
              <w:t>בסעיף 46 לחוק העיקרי, סעיף קטן (ב) – בטל.</w:t>
            </w:r>
          </w:p>
        </w:tc>
      </w:tr>
      <w:tr w:rsidR="00BF4529" w14:paraId="4595E5A6" w14:textId="77777777" w:rsidTr="00BF4529">
        <w:trPr>
          <w:cantSplit/>
        </w:trPr>
        <w:tc>
          <w:tcPr>
            <w:tcW w:w="1871" w:type="dxa"/>
            <w:tcMar>
              <w:top w:w="91" w:type="dxa"/>
              <w:left w:w="0" w:type="dxa"/>
              <w:bottom w:w="91" w:type="dxa"/>
              <w:right w:w="0" w:type="dxa"/>
            </w:tcMar>
            <w:hideMark/>
          </w:tcPr>
          <w:p w14:paraId="4B9DB460" w14:textId="77777777" w:rsidR="00BF4529" w:rsidRDefault="00BF4529" w:rsidP="00BF4529">
            <w:pPr>
              <w:pStyle w:val="TableSideHeading"/>
              <w:spacing w:before="0"/>
              <w:jc w:val="left"/>
              <w:rPr>
                <w:sz w:val="26"/>
                <w:rtl/>
              </w:rPr>
            </w:pPr>
            <w:r>
              <w:rPr>
                <w:rFonts w:hint="cs"/>
                <w:sz w:val="26"/>
                <w:rtl/>
              </w:rPr>
              <w:t>תיקון סעיף 47</w:t>
            </w:r>
          </w:p>
        </w:tc>
        <w:tc>
          <w:tcPr>
            <w:tcW w:w="624" w:type="dxa"/>
            <w:tcMar>
              <w:top w:w="91" w:type="dxa"/>
              <w:left w:w="0" w:type="dxa"/>
              <w:bottom w:w="91" w:type="dxa"/>
              <w:right w:w="0" w:type="dxa"/>
            </w:tcMar>
            <w:hideMark/>
          </w:tcPr>
          <w:p w14:paraId="7C1DA79B" w14:textId="77777777" w:rsidR="00BF4529" w:rsidRDefault="00BF4529" w:rsidP="00BF4529">
            <w:pPr>
              <w:pStyle w:val="TableText"/>
              <w:spacing w:before="0"/>
              <w:rPr>
                <w:sz w:val="26"/>
                <w:rtl/>
              </w:rPr>
            </w:pPr>
            <w:r>
              <w:rPr>
                <w:rFonts w:hint="cs"/>
                <w:sz w:val="26"/>
                <w:rtl/>
              </w:rPr>
              <w:t>41.</w:t>
            </w:r>
          </w:p>
        </w:tc>
        <w:tc>
          <w:tcPr>
            <w:tcW w:w="7146" w:type="dxa"/>
            <w:gridSpan w:val="7"/>
            <w:tcMar>
              <w:top w:w="91" w:type="dxa"/>
              <w:left w:w="0" w:type="dxa"/>
              <w:bottom w:w="91" w:type="dxa"/>
              <w:right w:w="0" w:type="dxa"/>
            </w:tcMar>
            <w:hideMark/>
          </w:tcPr>
          <w:p w14:paraId="18B3D242" w14:textId="77777777" w:rsidR="00BF4529" w:rsidRDefault="00BF4529" w:rsidP="00BF4529">
            <w:pPr>
              <w:pStyle w:val="TableBlock"/>
              <w:spacing w:before="0"/>
              <w:rPr>
                <w:sz w:val="26"/>
                <w:rtl/>
              </w:rPr>
            </w:pPr>
            <w:r>
              <w:rPr>
                <w:rFonts w:hint="cs"/>
                <w:sz w:val="26"/>
                <w:rtl/>
              </w:rPr>
              <w:t>בסעיף 47 לחוק העיקרי, בסעיף קטן (ה), בסופו יבוא "ויראו את חשב הרשות כממונה על הגבייה לפי הפקודה האמורה."</w:t>
            </w:r>
          </w:p>
        </w:tc>
      </w:tr>
      <w:tr w:rsidR="00BF4529" w14:paraId="79162710" w14:textId="77777777" w:rsidTr="00BF4529">
        <w:trPr>
          <w:cantSplit/>
        </w:trPr>
        <w:tc>
          <w:tcPr>
            <w:tcW w:w="1871" w:type="dxa"/>
            <w:tcMar>
              <w:top w:w="91" w:type="dxa"/>
              <w:left w:w="0" w:type="dxa"/>
              <w:bottom w:w="91" w:type="dxa"/>
              <w:right w:w="0" w:type="dxa"/>
            </w:tcMar>
            <w:hideMark/>
          </w:tcPr>
          <w:p w14:paraId="2297E993" w14:textId="77777777" w:rsidR="00BF4529" w:rsidRDefault="00BF4529" w:rsidP="00BF4529">
            <w:pPr>
              <w:pStyle w:val="TableSideHeading"/>
              <w:spacing w:before="0"/>
              <w:jc w:val="left"/>
              <w:rPr>
                <w:sz w:val="26"/>
                <w:rtl/>
              </w:rPr>
            </w:pPr>
            <w:r>
              <w:rPr>
                <w:rFonts w:hint="cs"/>
                <w:sz w:val="26"/>
                <w:rtl/>
              </w:rPr>
              <w:t>החלפת סעיף 47א</w:t>
            </w:r>
          </w:p>
        </w:tc>
        <w:tc>
          <w:tcPr>
            <w:tcW w:w="624" w:type="dxa"/>
            <w:tcMar>
              <w:top w:w="91" w:type="dxa"/>
              <w:left w:w="0" w:type="dxa"/>
              <w:bottom w:w="91" w:type="dxa"/>
              <w:right w:w="0" w:type="dxa"/>
            </w:tcMar>
            <w:hideMark/>
          </w:tcPr>
          <w:p w14:paraId="38E85ED4" w14:textId="77777777" w:rsidR="00BF4529" w:rsidRDefault="00BF4529" w:rsidP="00BF4529">
            <w:pPr>
              <w:pStyle w:val="TableText"/>
              <w:spacing w:before="0"/>
              <w:rPr>
                <w:sz w:val="26"/>
                <w:rtl/>
              </w:rPr>
            </w:pPr>
            <w:r>
              <w:rPr>
                <w:rFonts w:hint="cs"/>
                <w:sz w:val="26"/>
                <w:rtl/>
              </w:rPr>
              <w:t>42.</w:t>
            </w:r>
          </w:p>
        </w:tc>
        <w:tc>
          <w:tcPr>
            <w:tcW w:w="7146" w:type="dxa"/>
            <w:gridSpan w:val="7"/>
            <w:tcMar>
              <w:top w:w="91" w:type="dxa"/>
              <w:left w:w="0" w:type="dxa"/>
              <w:bottom w:w="91" w:type="dxa"/>
              <w:right w:w="0" w:type="dxa"/>
            </w:tcMar>
            <w:hideMark/>
          </w:tcPr>
          <w:p w14:paraId="458ACE38" w14:textId="77777777" w:rsidR="00BF4529" w:rsidRDefault="00BF4529" w:rsidP="00BF4529">
            <w:pPr>
              <w:pStyle w:val="TableBlock"/>
              <w:spacing w:before="0"/>
              <w:rPr>
                <w:sz w:val="26"/>
                <w:rtl/>
              </w:rPr>
            </w:pPr>
            <w:r>
              <w:rPr>
                <w:rFonts w:hint="cs"/>
                <w:sz w:val="26"/>
                <w:rtl/>
              </w:rPr>
              <w:t>במקום סעיף 47א לחוק העיקרי יבוא:</w:t>
            </w:r>
          </w:p>
        </w:tc>
      </w:tr>
      <w:tr w:rsidR="00BF4529" w14:paraId="157B0680" w14:textId="77777777" w:rsidTr="00BF4529">
        <w:trPr>
          <w:cantSplit/>
        </w:trPr>
        <w:tc>
          <w:tcPr>
            <w:tcW w:w="1871" w:type="dxa"/>
            <w:tcMar>
              <w:top w:w="91" w:type="dxa"/>
              <w:left w:w="0" w:type="dxa"/>
              <w:bottom w:w="91" w:type="dxa"/>
              <w:right w:w="0" w:type="dxa"/>
            </w:tcMar>
          </w:tcPr>
          <w:p w14:paraId="61E5802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C725560"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9420B5C" w14:textId="77777777" w:rsidR="00BF4529" w:rsidRDefault="00BF4529" w:rsidP="00BF4529">
            <w:pPr>
              <w:pStyle w:val="TableInnerSideHeading"/>
              <w:spacing w:before="0"/>
              <w:rPr>
                <w:sz w:val="26"/>
                <w:rtl/>
              </w:rPr>
            </w:pPr>
            <w:r>
              <w:rPr>
                <w:rFonts w:hint="cs"/>
                <w:sz w:val="26"/>
                <w:rtl/>
              </w:rPr>
              <w:t>"עונשין</w:t>
            </w:r>
          </w:p>
        </w:tc>
        <w:tc>
          <w:tcPr>
            <w:tcW w:w="624" w:type="dxa"/>
            <w:tcMar>
              <w:top w:w="91" w:type="dxa"/>
              <w:left w:w="0" w:type="dxa"/>
              <w:bottom w:w="91" w:type="dxa"/>
              <w:right w:w="0" w:type="dxa"/>
            </w:tcMar>
            <w:hideMark/>
          </w:tcPr>
          <w:p w14:paraId="45BA86D6" w14:textId="77777777" w:rsidR="00BF4529" w:rsidRDefault="00BF4529" w:rsidP="00BF4529">
            <w:pPr>
              <w:pStyle w:val="TableText"/>
              <w:spacing w:before="0"/>
              <w:rPr>
                <w:sz w:val="26"/>
                <w:rtl/>
              </w:rPr>
            </w:pPr>
            <w:r>
              <w:rPr>
                <w:rFonts w:hint="cs"/>
                <w:sz w:val="26"/>
                <w:rtl/>
              </w:rPr>
              <w:t>47א.</w:t>
            </w:r>
          </w:p>
        </w:tc>
        <w:tc>
          <w:tcPr>
            <w:tcW w:w="4650" w:type="dxa"/>
            <w:gridSpan w:val="3"/>
            <w:tcMar>
              <w:top w:w="91" w:type="dxa"/>
              <w:left w:w="0" w:type="dxa"/>
              <w:bottom w:w="91" w:type="dxa"/>
              <w:right w:w="0" w:type="dxa"/>
            </w:tcMar>
            <w:hideMark/>
          </w:tcPr>
          <w:p w14:paraId="1FD3A559" w14:textId="77777777" w:rsidR="00BF4529" w:rsidRDefault="00BF4529" w:rsidP="00BF4529">
            <w:pPr>
              <w:pStyle w:val="TableBlock"/>
              <w:spacing w:before="0"/>
              <w:rPr>
                <w:sz w:val="26"/>
                <w:rtl/>
              </w:rPr>
            </w:pPr>
            <w:r>
              <w:rPr>
                <w:rFonts w:hint="cs"/>
                <w:sz w:val="26"/>
                <w:rtl/>
              </w:rPr>
              <w:t>(א)</w:t>
            </w:r>
            <w:r>
              <w:rPr>
                <w:rFonts w:hint="cs"/>
                <w:sz w:val="26"/>
                <w:rtl/>
              </w:rPr>
              <w:tab/>
              <w:t>קבעה המועצה לגבי מסלול הטבות הוראות לעניין דרישת בעלות על ידע וזכויות הנובעות ממנו, לרבות זכויות קניין רוחני, ובמסגרתן קבעה כי נדרש אישור לביצוע הפעולות המנויות להלן, לא יעשה אדם אחת מפעולות אלה בלא אישור ועדת מחקר:</w:t>
            </w:r>
          </w:p>
        </w:tc>
      </w:tr>
      <w:tr w:rsidR="00BF4529" w14:paraId="032B4DEB" w14:textId="77777777" w:rsidTr="00BF4529">
        <w:trPr>
          <w:cantSplit/>
        </w:trPr>
        <w:tc>
          <w:tcPr>
            <w:tcW w:w="1871" w:type="dxa"/>
            <w:tcMar>
              <w:top w:w="91" w:type="dxa"/>
              <w:left w:w="0" w:type="dxa"/>
              <w:bottom w:w="91" w:type="dxa"/>
              <w:right w:w="0" w:type="dxa"/>
            </w:tcMar>
          </w:tcPr>
          <w:p w14:paraId="2BB514B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CE7D35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A3B9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07984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68F00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2CDCE8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7A0164"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4F943112" w14:textId="77777777" w:rsidR="00BF4529" w:rsidRDefault="00BF4529" w:rsidP="00BF4529">
            <w:pPr>
              <w:pStyle w:val="TableBlock"/>
              <w:spacing w:before="0"/>
              <w:rPr>
                <w:sz w:val="26"/>
                <w:rtl/>
              </w:rPr>
            </w:pPr>
            <w:r>
              <w:rPr>
                <w:rFonts w:hint="cs"/>
                <w:sz w:val="26"/>
                <w:rtl/>
              </w:rPr>
              <w:t>(1)</w:t>
            </w:r>
            <w:r>
              <w:rPr>
                <w:rFonts w:hint="cs"/>
                <w:sz w:val="26"/>
                <w:rtl/>
              </w:rPr>
              <w:tab/>
              <w:t>העברה אל מחוץ לישראל של ידע שפותח במסגרת תכנית מאושרת או עקב ביצועה;</w:t>
            </w:r>
          </w:p>
        </w:tc>
      </w:tr>
      <w:tr w:rsidR="00BF4529" w14:paraId="34E73269" w14:textId="77777777" w:rsidTr="00BF4529">
        <w:trPr>
          <w:cantSplit/>
        </w:trPr>
        <w:tc>
          <w:tcPr>
            <w:tcW w:w="1871" w:type="dxa"/>
            <w:tcMar>
              <w:top w:w="91" w:type="dxa"/>
              <w:left w:w="0" w:type="dxa"/>
              <w:bottom w:w="91" w:type="dxa"/>
              <w:right w:w="0" w:type="dxa"/>
            </w:tcMar>
          </w:tcPr>
          <w:p w14:paraId="2F58E3B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0240DC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30EA7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9A00EB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61FDE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6575D8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ABDFFA"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0CBC7528" w14:textId="77777777" w:rsidR="00BF4529" w:rsidRDefault="00BF4529" w:rsidP="00BF4529">
            <w:pPr>
              <w:pStyle w:val="TableBlock"/>
              <w:spacing w:before="0"/>
              <w:rPr>
                <w:sz w:val="26"/>
                <w:rtl/>
              </w:rPr>
            </w:pPr>
            <w:r>
              <w:rPr>
                <w:rFonts w:hint="cs"/>
                <w:sz w:val="26"/>
                <w:rtl/>
              </w:rPr>
              <w:t>(2)</w:t>
            </w:r>
            <w:r>
              <w:rPr>
                <w:rFonts w:hint="cs"/>
                <w:sz w:val="26"/>
                <w:rtl/>
              </w:rPr>
              <w:tab/>
              <w:t>העברה אל מחוץ לישראל של זכויות הנובעות מידע שפותח במסגרת תכנית מאושרת או עקב ביצועה, לרבות זכויות קניין רוחני, או מתן רישיון או הרשאה מאת מקבל ההטבה לגורם מחוץ לישראל;</w:t>
            </w:r>
          </w:p>
        </w:tc>
      </w:tr>
      <w:tr w:rsidR="00BF4529" w14:paraId="0F0308DA" w14:textId="77777777" w:rsidTr="00BF4529">
        <w:trPr>
          <w:cantSplit/>
        </w:trPr>
        <w:tc>
          <w:tcPr>
            <w:tcW w:w="1871" w:type="dxa"/>
            <w:tcMar>
              <w:top w:w="91" w:type="dxa"/>
              <w:left w:w="0" w:type="dxa"/>
              <w:bottom w:w="91" w:type="dxa"/>
              <w:right w:w="0" w:type="dxa"/>
            </w:tcMar>
          </w:tcPr>
          <w:p w14:paraId="2485A66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64EC45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6CE490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D4066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058E9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F3CA23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279330"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7D465A4C" w14:textId="77777777" w:rsidR="00BF4529" w:rsidRDefault="00BF4529" w:rsidP="00BF4529">
            <w:pPr>
              <w:pStyle w:val="TableBlock"/>
              <w:spacing w:before="0"/>
              <w:rPr>
                <w:sz w:val="26"/>
                <w:rtl/>
              </w:rPr>
            </w:pPr>
            <w:r>
              <w:rPr>
                <w:rFonts w:hint="cs"/>
                <w:sz w:val="26"/>
                <w:rtl/>
              </w:rPr>
              <w:t>(3)</w:t>
            </w:r>
            <w:r>
              <w:rPr>
                <w:rFonts w:hint="cs"/>
                <w:sz w:val="26"/>
                <w:rtl/>
              </w:rPr>
              <w:tab/>
              <w:t>חשיפה או גילוי לגורם אחר, בישראל או מחוצה לה, של ידע שפותח במסגרת תכנית מאושרת או עקב ביצועה.</w:t>
            </w:r>
          </w:p>
        </w:tc>
      </w:tr>
      <w:tr w:rsidR="00BF4529" w14:paraId="50ED5157" w14:textId="77777777" w:rsidTr="00BF4529">
        <w:trPr>
          <w:cantSplit/>
        </w:trPr>
        <w:tc>
          <w:tcPr>
            <w:tcW w:w="1871" w:type="dxa"/>
            <w:tcMar>
              <w:top w:w="91" w:type="dxa"/>
              <w:left w:w="0" w:type="dxa"/>
              <w:bottom w:w="91" w:type="dxa"/>
              <w:right w:w="0" w:type="dxa"/>
            </w:tcMar>
          </w:tcPr>
          <w:p w14:paraId="027754C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6FB6DD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6B1C95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D86FA1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E34D6C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20D115"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7201FA54" w14:textId="77777777" w:rsidR="00BF4529" w:rsidRDefault="00BF4529" w:rsidP="00BF4529">
            <w:pPr>
              <w:pStyle w:val="TableBlock"/>
              <w:spacing w:before="0"/>
              <w:rPr>
                <w:sz w:val="26"/>
                <w:rtl/>
              </w:rPr>
            </w:pPr>
            <w:r>
              <w:rPr>
                <w:rFonts w:hint="cs"/>
                <w:sz w:val="26"/>
                <w:rtl/>
              </w:rPr>
              <w:t>(ב)</w:t>
            </w:r>
            <w:r>
              <w:rPr>
                <w:rFonts w:hint="cs"/>
                <w:sz w:val="26"/>
                <w:rtl/>
              </w:rPr>
              <w:tab/>
              <w:t xml:space="preserve">העושה אחת מהפעולות המנויות בסעיף </w:t>
            </w:r>
            <w:r>
              <w:rPr>
                <w:rFonts w:hint="cs"/>
                <w:sz w:val="26"/>
                <w:rtl/>
              </w:rPr>
              <w:br/>
              <w:t>קטן (א) בלא אישור ועדת מחקר או בניגוד לתנאי אישור כאמור, דינו – מאסר שלוש שנים."</w:t>
            </w:r>
          </w:p>
        </w:tc>
      </w:tr>
      <w:tr w:rsidR="00BF4529" w14:paraId="598EAA11" w14:textId="77777777" w:rsidTr="00BF4529">
        <w:trPr>
          <w:cantSplit/>
        </w:trPr>
        <w:tc>
          <w:tcPr>
            <w:tcW w:w="1871" w:type="dxa"/>
            <w:tcMar>
              <w:top w:w="91" w:type="dxa"/>
              <w:left w:w="0" w:type="dxa"/>
              <w:bottom w:w="91" w:type="dxa"/>
              <w:right w:w="0" w:type="dxa"/>
            </w:tcMar>
            <w:hideMark/>
          </w:tcPr>
          <w:p w14:paraId="3B5654F1" w14:textId="77777777" w:rsidR="00BF4529" w:rsidRDefault="00BF4529" w:rsidP="00BF4529">
            <w:pPr>
              <w:pStyle w:val="TableSideHeading"/>
              <w:spacing w:before="0"/>
              <w:jc w:val="left"/>
              <w:rPr>
                <w:sz w:val="26"/>
                <w:rtl/>
              </w:rPr>
            </w:pPr>
            <w:r>
              <w:rPr>
                <w:rFonts w:hint="cs"/>
                <w:sz w:val="26"/>
                <w:rtl/>
              </w:rPr>
              <w:t>תיקון סעיף 47ב</w:t>
            </w:r>
          </w:p>
        </w:tc>
        <w:tc>
          <w:tcPr>
            <w:tcW w:w="624" w:type="dxa"/>
            <w:tcMar>
              <w:top w:w="91" w:type="dxa"/>
              <w:left w:w="0" w:type="dxa"/>
              <w:bottom w:w="91" w:type="dxa"/>
              <w:right w:w="0" w:type="dxa"/>
            </w:tcMar>
            <w:hideMark/>
          </w:tcPr>
          <w:p w14:paraId="7A056F53" w14:textId="77777777" w:rsidR="00BF4529" w:rsidRDefault="00BF4529" w:rsidP="00BF4529">
            <w:pPr>
              <w:pStyle w:val="TableText"/>
              <w:spacing w:before="0"/>
              <w:rPr>
                <w:sz w:val="26"/>
                <w:rtl/>
              </w:rPr>
            </w:pPr>
            <w:r>
              <w:rPr>
                <w:rFonts w:hint="cs"/>
                <w:sz w:val="26"/>
                <w:rtl/>
              </w:rPr>
              <w:t>43.</w:t>
            </w:r>
          </w:p>
        </w:tc>
        <w:tc>
          <w:tcPr>
            <w:tcW w:w="7146" w:type="dxa"/>
            <w:gridSpan w:val="7"/>
            <w:tcMar>
              <w:top w:w="91" w:type="dxa"/>
              <w:left w:w="0" w:type="dxa"/>
              <w:bottom w:w="91" w:type="dxa"/>
              <w:right w:w="0" w:type="dxa"/>
            </w:tcMar>
            <w:hideMark/>
          </w:tcPr>
          <w:p w14:paraId="3D8CB1D2" w14:textId="77777777" w:rsidR="00BF4529" w:rsidRDefault="00BF4529" w:rsidP="00BF4529">
            <w:pPr>
              <w:pStyle w:val="TableBlock"/>
              <w:spacing w:before="0"/>
              <w:rPr>
                <w:sz w:val="26"/>
                <w:rtl/>
              </w:rPr>
            </w:pPr>
            <w:r>
              <w:rPr>
                <w:rFonts w:hint="cs"/>
                <w:sz w:val="26"/>
                <w:rtl/>
              </w:rPr>
              <w:t xml:space="preserve">בסעיף 47ב לחוק העיקרי – </w:t>
            </w:r>
          </w:p>
        </w:tc>
      </w:tr>
      <w:tr w:rsidR="00BF4529" w14:paraId="74255382" w14:textId="77777777" w:rsidTr="00BF4529">
        <w:trPr>
          <w:cantSplit/>
        </w:trPr>
        <w:tc>
          <w:tcPr>
            <w:tcW w:w="1871" w:type="dxa"/>
            <w:tcMar>
              <w:top w:w="91" w:type="dxa"/>
              <w:left w:w="0" w:type="dxa"/>
              <w:bottom w:w="91" w:type="dxa"/>
              <w:right w:w="0" w:type="dxa"/>
            </w:tcMar>
          </w:tcPr>
          <w:p w14:paraId="511F33C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5123ED2"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800DCDA" w14:textId="77777777" w:rsidR="00BF4529" w:rsidRDefault="00BF4529" w:rsidP="00BF4529">
            <w:pPr>
              <w:pStyle w:val="TableBlock"/>
              <w:spacing w:before="0"/>
              <w:rPr>
                <w:sz w:val="26"/>
                <w:rtl/>
              </w:rPr>
            </w:pPr>
            <w:r>
              <w:rPr>
                <w:rFonts w:hint="cs"/>
                <w:sz w:val="26"/>
                <w:rtl/>
              </w:rPr>
              <w:t>(1)</w:t>
            </w:r>
            <w:r>
              <w:rPr>
                <w:rFonts w:hint="cs"/>
                <w:sz w:val="26"/>
                <w:rtl/>
              </w:rPr>
              <w:tab/>
              <w:t xml:space="preserve">בסעיף קטן (א) – </w:t>
            </w:r>
          </w:p>
        </w:tc>
      </w:tr>
      <w:tr w:rsidR="00BF4529" w14:paraId="12C8FCF2" w14:textId="77777777" w:rsidTr="00BF4529">
        <w:trPr>
          <w:cantSplit/>
        </w:trPr>
        <w:tc>
          <w:tcPr>
            <w:tcW w:w="1871" w:type="dxa"/>
            <w:tcMar>
              <w:top w:w="91" w:type="dxa"/>
              <w:left w:w="0" w:type="dxa"/>
              <w:bottom w:w="91" w:type="dxa"/>
              <w:right w:w="0" w:type="dxa"/>
            </w:tcMar>
          </w:tcPr>
          <w:p w14:paraId="5701AAE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605F90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E2F08E2"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D74BECF" w14:textId="77777777" w:rsidR="00BF4529" w:rsidRDefault="00BF4529" w:rsidP="00BF4529">
            <w:pPr>
              <w:pStyle w:val="TableBlock"/>
              <w:spacing w:before="0"/>
              <w:rPr>
                <w:sz w:val="26"/>
                <w:rtl/>
              </w:rPr>
            </w:pPr>
            <w:r>
              <w:rPr>
                <w:rFonts w:hint="cs"/>
                <w:sz w:val="26"/>
                <w:rtl/>
              </w:rPr>
              <w:t>(א)</w:t>
            </w:r>
            <w:r>
              <w:rPr>
                <w:rFonts w:hint="cs"/>
                <w:sz w:val="26"/>
                <w:rtl/>
              </w:rPr>
              <w:tab/>
              <w:t xml:space="preserve">בפסקה (1) – </w:t>
            </w:r>
          </w:p>
        </w:tc>
      </w:tr>
      <w:tr w:rsidR="00BF4529" w14:paraId="10970E80" w14:textId="77777777" w:rsidTr="00BF4529">
        <w:trPr>
          <w:cantSplit/>
        </w:trPr>
        <w:tc>
          <w:tcPr>
            <w:tcW w:w="1871" w:type="dxa"/>
            <w:tcMar>
              <w:top w:w="91" w:type="dxa"/>
              <w:left w:w="0" w:type="dxa"/>
              <w:bottom w:w="91" w:type="dxa"/>
              <w:right w:w="0" w:type="dxa"/>
            </w:tcMar>
          </w:tcPr>
          <w:p w14:paraId="439C790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4DCB6D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5F757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2AB093"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37C4B66C" w14:textId="77777777" w:rsidR="00BF4529" w:rsidRDefault="00BF4529" w:rsidP="00BF4529">
            <w:pPr>
              <w:pStyle w:val="TableBlock"/>
              <w:spacing w:before="0"/>
              <w:rPr>
                <w:sz w:val="26"/>
                <w:rtl/>
              </w:rPr>
            </w:pPr>
            <w:r>
              <w:rPr>
                <w:rFonts w:hint="cs"/>
                <w:sz w:val="26"/>
                <w:rtl/>
              </w:rPr>
              <w:t>(1)</w:t>
            </w:r>
            <w:r>
              <w:rPr>
                <w:rFonts w:hint="cs"/>
                <w:sz w:val="26"/>
                <w:rtl/>
              </w:rPr>
              <w:tab/>
              <w:t>ברישה, במקום "לראש המינהל" יבוא "לראש הרשות";</w:t>
            </w:r>
          </w:p>
        </w:tc>
      </w:tr>
      <w:tr w:rsidR="00BF4529" w14:paraId="589E1670" w14:textId="77777777" w:rsidTr="00BF4529">
        <w:trPr>
          <w:cantSplit/>
        </w:trPr>
        <w:tc>
          <w:tcPr>
            <w:tcW w:w="1871" w:type="dxa"/>
            <w:tcMar>
              <w:top w:w="91" w:type="dxa"/>
              <w:left w:w="0" w:type="dxa"/>
              <w:bottom w:w="91" w:type="dxa"/>
              <w:right w:w="0" w:type="dxa"/>
            </w:tcMar>
          </w:tcPr>
          <w:p w14:paraId="0E13FFF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05095A8"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E8A147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3FE92E"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58E15C48" w14:textId="77777777" w:rsidR="00BF4529" w:rsidRDefault="00BF4529" w:rsidP="00BF4529">
            <w:pPr>
              <w:pStyle w:val="TableBlock"/>
              <w:spacing w:before="0"/>
              <w:rPr>
                <w:sz w:val="26"/>
                <w:rtl/>
              </w:rPr>
            </w:pPr>
            <w:r>
              <w:rPr>
                <w:rFonts w:hint="cs"/>
                <w:sz w:val="26"/>
                <w:rtl/>
              </w:rPr>
              <w:t>(2)</w:t>
            </w:r>
            <w:r>
              <w:rPr>
                <w:rFonts w:hint="cs"/>
                <w:sz w:val="26"/>
                <w:rtl/>
              </w:rPr>
              <w:tab/>
              <w:t>בפסקת משנה (ג), במקום "ראש המינהל" יבוא "המנהל הכללי של הרשות";</w:t>
            </w:r>
          </w:p>
        </w:tc>
      </w:tr>
      <w:tr w:rsidR="00BF4529" w14:paraId="6C1C8208" w14:textId="77777777" w:rsidTr="00BF4529">
        <w:trPr>
          <w:cantSplit/>
        </w:trPr>
        <w:tc>
          <w:tcPr>
            <w:tcW w:w="1871" w:type="dxa"/>
            <w:tcMar>
              <w:top w:w="91" w:type="dxa"/>
              <w:left w:w="0" w:type="dxa"/>
              <w:bottom w:w="91" w:type="dxa"/>
              <w:right w:w="0" w:type="dxa"/>
            </w:tcMar>
          </w:tcPr>
          <w:p w14:paraId="43CFB03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1A6F1B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C92B505"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337509E" w14:textId="77777777" w:rsidR="00BF4529" w:rsidRDefault="00BF4529" w:rsidP="00BF4529">
            <w:pPr>
              <w:pStyle w:val="TableBlock"/>
              <w:spacing w:before="0"/>
              <w:rPr>
                <w:sz w:val="26"/>
                <w:rtl/>
              </w:rPr>
            </w:pPr>
            <w:r>
              <w:rPr>
                <w:rFonts w:hint="cs"/>
                <w:sz w:val="26"/>
                <w:rtl/>
              </w:rPr>
              <w:t>(ב)</w:t>
            </w:r>
            <w:r>
              <w:rPr>
                <w:rFonts w:hint="cs"/>
                <w:sz w:val="26"/>
                <w:rtl/>
              </w:rPr>
              <w:tab/>
              <w:t>בפסקה (2), במקום "ראש המינהל" יבוא "ראש הרשות";</w:t>
            </w:r>
          </w:p>
        </w:tc>
      </w:tr>
      <w:tr w:rsidR="00BF4529" w14:paraId="3D1DA71D" w14:textId="77777777" w:rsidTr="00BF4529">
        <w:trPr>
          <w:cantSplit/>
        </w:trPr>
        <w:tc>
          <w:tcPr>
            <w:tcW w:w="1871" w:type="dxa"/>
            <w:tcMar>
              <w:top w:w="91" w:type="dxa"/>
              <w:left w:w="0" w:type="dxa"/>
              <w:bottom w:w="91" w:type="dxa"/>
              <w:right w:w="0" w:type="dxa"/>
            </w:tcMar>
          </w:tcPr>
          <w:p w14:paraId="1CB5556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39B45C8"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26D10E48" w14:textId="77777777" w:rsidR="00BF4529" w:rsidRDefault="00BF4529" w:rsidP="00BF4529">
            <w:pPr>
              <w:pStyle w:val="TableBlock"/>
              <w:spacing w:before="0"/>
              <w:rPr>
                <w:sz w:val="26"/>
                <w:rtl/>
              </w:rPr>
            </w:pPr>
            <w:r>
              <w:rPr>
                <w:rFonts w:hint="cs"/>
                <w:sz w:val="26"/>
                <w:rtl/>
              </w:rPr>
              <w:t>(2)</w:t>
            </w:r>
            <w:r>
              <w:rPr>
                <w:rFonts w:hint="cs"/>
                <w:sz w:val="26"/>
                <w:rtl/>
              </w:rPr>
              <w:tab/>
              <w:t>בסעיף קטן (ב), במקום "ראש המינהל" יבוא "ראש הרשות";</w:t>
            </w:r>
          </w:p>
        </w:tc>
      </w:tr>
      <w:tr w:rsidR="00BF4529" w14:paraId="1C7ABFE6" w14:textId="77777777" w:rsidTr="00BF4529">
        <w:trPr>
          <w:cantSplit/>
        </w:trPr>
        <w:tc>
          <w:tcPr>
            <w:tcW w:w="1871" w:type="dxa"/>
            <w:tcMar>
              <w:top w:w="91" w:type="dxa"/>
              <w:left w:w="0" w:type="dxa"/>
              <w:bottom w:w="91" w:type="dxa"/>
              <w:right w:w="0" w:type="dxa"/>
            </w:tcMar>
          </w:tcPr>
          <w:p w14:paraId="35A0DDE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76D9CA3"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31F227C" w14:textId="77777777" w:rsidR="00BF4529" w:rsidRDefault="00BF4529" w:rsidP="00BF4529">
            <w:pPr>
              <w:pStyle w:val="TableBlock"/>
              <w:spacing w:before="0"/>
              <w:rPr>
                <w:sz w:val="26"/>
                <w:rtl/>
              </w:rPr>
            </w:pPr>
            <w:r>
              <w:rPr>
                <w:rFonts w:hint="cs"/>
                <w:sz w:val="26"/>
                <w:rtl/>
              </w:rPr>
              <w:t>(3)</w:t>
            </w:r>
            <w:r>
              <w:rPr>
                <w:rFonts w:hint="cs"/>
                <w:sz w:val="26"/>
                <w:rtl/>
              </w:rPr>
              <w:tab/>
              <w:t>בסעיף קטן (ד), בכל מקום, במקום "ראש המינהל" יבוא "ראש הרשות".</w:t>
            </w:r>
          </w:p>
        </w:tc>
      </w:tr>
      <w:tr w:rsidR="00BF4529" w14:paraId="01E0B0BF" w14:textId="77777777" w:rsidTr="00BF4529">
        <w:trPr>
          <w:cantSplit/>
        </w:trPr>
        <w:tc>
          <w:tcPr>
            <w:tcW w:w="1871" w:type="dxa"/>
            <w:tcMar>
              <w:top w:w="91" w:type="dxa"/>
              <w:left w:w="0" w:type="dxa"/>
              <w:bottom w:w="91" w:type="dxa"/>
              <w:right w:w="0" w:type="dxa"/>
            </w:tcMar>
            <w:hideMark/>
          </w:tcPr>
          <w:p w14:paraId="2C208DA8" w14:textId="77777777" w:rsidR="00BF4529" w:rsidRDefault="00BF4529" w:rsidP="00BF4529">
            <w:pPr>
              <w:pStyle w:val="TableSideHeading"/>
              <w:spacing w:before="0"/>
              <w:jc w:val="left"/>
              <w:rPr>
                <w:sz w:val="26"/>
                <w:rtl/>
              </w:rPr>
            </w:pPr>
            <w:r>
              <w:rPr>
                <w:rFonts w:hint="cs"/>
                <w:sz w:val="26"/>
                <w:rtl/>
              </w:rPr>
              <w:t>תיקון סעיף 47ג</w:t>
            </w:r>
          </w:p>
        </w:tc>
        <w:tc>
          <w:tcPr>
            <w:tcW w:w="624" w:type="dxa"/>
            <w:tcMar>
              <w:top w:w="91" w:type="dxa"/>
              <w:left w:w="0" w:type="dxa"/>
              <w:bottom w:w="91" w:type="dxa"/>
              <w:right w:w="0" w:type="dxa"/>
            </w:tcMar>
            <w:hideMark/>
          </w:tcPr>
          <w:p w14:paraId="77E73B39" w14:textId="77777777" w:rsidR="00BF4529" w:rsidRDefault="00BF4529" w:rsidP="00BF4529">
            <w:pPr>
              <w:pStyle w:val="TableText"/>
              <w:spacing w:before="0"/>
              <w:rPr>
                <w:sz w:val="26"/>
                <w:rtl/>
              </w:rPr>
            </w:pPr>
            <w:r>
              <w:rPr>
                <w:rFonts w:hint="cs"/>
                <w:sz w:val="26"/>
                <w:rtl/>
              </w:rPr>
              <w:t>44.</w:t>
            </w:r>
          </w:p>
        </w:tc>
        <w:tc>
          <w:tcPr>
            <w:tcW w:w="7146" w:type="dxa"/>
            <w:gridSpan w:val="7"/>
            <w:tcMar>
              <w:top w:w="91" w:type="dxa"/>
              <w:left w:w="0" w:type="dxa"/>
              <w:bottom w:w="91" w:type="dxa"/>
              <w:right w:w="0" w:type="dxa"/>
            </w:tcMar>
            <w:hideMark/>
          </w:tcPr>
          <w:p w14:paraId="7CD7E7B3" w14:textId="77777777" w:rsidR="00BF4529" w:rsidRDefault="00BF4529" w:rsidP="00BF4529">
            <w:pPr>
              <w:pStyle w:val="TableBlock"/>
              <w:spacing w:before="0"/>
              <w:rPr>
                <w:sz w:val="26"/>
                <w:rtl/>
              </w:rPr>
            </w:pPr>
            <w:r>
              <w:rPr>
                <w:rFonts w:hint="cs"/>
                <w:sz w:val="26"/>
                <w:rtl/>
              </w:rPr>
              <w:t>בסעיף 47ג(א) לחוק העיקרי, במקום "ראש המינהל" יבוא "ראש הרשות".</w:t>
            </w:r>
          </w:p>
        </w:tc>
      </w:tr>
      <w:tr w:rsidR="00BF4529" w14:paraId="5FE0B3F2" w14:textId="77777777" w:rsidTr="00BF4529">
        <w:trPr>
          <w:cantSplit/>
        </w:trPr>
        <w:tc>
          <w:tcPr>
            <w:tcW w:w="1871" w:type="dxa"/>
            <w:tcMar>
              <w:top w:w="91" w:type="dxa"/>
              <w:left w:w="0" w:type="dxa"/>
              <w:bottom w:w="91" w:type="dxa"/>
              <w:right w:w="0" w:type="dxa"/>
            </w:tcMar>
            <w:hideMark/>
          </w:tcPr>
          <w:p w14:paraId="23E94676" w14:textId="77777777" w:rsidR="00BF4529" w:rsidRDefault="00BF4529" w:rsidP="00BF4529">
            <w:pPr>
              <w:pStyle w:val="TableSideHeading"/>
              <w:spacing w:before="0"/>
              <w:jc w:val="left"/>
              <w:rPr>
                <w:sz w:val="26"/>
                <w:rtl/>
              </w:rPr>
            </w:pPr>
            <w:r>
              <w:rPr>
                <w:rFonts w:hint="cs"/>
                <w:sz w:val="26"/>
                <w:rtl/>
              </w:rPr>
              <w:t>תיקון סעיף 47ד</w:t>
            </w:r>
          </w:p>
        </w:tc>
        <w:tc>
          <w:tcPr>
            <w:tcW w:w="624" w:type="dxa"/>
            <w:tcMar>
              <w:top w:w="91" w:type="dxa"/>
              <w:left w:w="0" w:type="dxa"/>
              <w:bottom w:w="91" w:type="dxa"/>
              <w:right w:w="0" w:type="dxa"/>
            </w:tcMar>
            <w:hideMark/>
          </w:tcPr>
          <w:p w14:paraId="4740E3C0" w14:textId="77777777" w:rsidR="00BF4529" w:rsidRDefault="00BF4529" w:rsidP="00BF4529">
            <w:pPr>
              <w:pStyle w:val="TableText"/>
              <w:spacing w:before="0"/>
              <w:rPr>
                <w:sz w:val="26"/>
                <w:rtl/>
              </w:rPr>
            </w:pPr>
            <w:r>
              <w:rPr>
                <w:rFonts w:hint="cs"/>
                <w:sz w:val="26"/>
                <w:rtl/>
              </w:rPr>
              <w:t>45.</w:t>
            </w:r>
          </w:p>
        </w:tc>
        <w:tc>
          <w:tcPr>
            <w:tcW w:w="7146" w:type="dxa"/>
            <w:gridSpan w:val="7"/>
            <w:tcMar>
              <w:top w:w="91" w:type="dxa"/>
              <w:left w:w="0" w:type="dxa"/>
              <w:bottom w:w="91" w:type="dxa"/>
              <w:right w:w="0" w:type="dxa"/>
            </w:tcMar>
            <w:hideMark/>
          </w:tcPr>
          <w:p w14:paraId="1F6E2727" w14:textId="77777777" w:rsidR="00BF4529" w:rsidRDefault="00BF4529" w:rsidP="00BF4529">
            <w:pPr>
              <w:pStyle w:val="TableBlock"/>
              <w:spacing w:before="0"/>
              <w:rPr>
                <w:sz w:val="26"/>
                <w:rtl/>
              </w:rPr>
            </w:pPr>
            <w:r>
              <w:rPr>
                <w:rFonts w:hint="cs"/>
                <w:sz w:val="26"/>
                <w:rtl/>
              </w:rPr>
              <w:t>בסעיף 47ד לחוק העיקרי –</w:t>
            </w:r>
          </w:p>
        </w:tc>
      </w:tr>
      <w:tr w:rsidR="00BF4529" w14:paraId="00C78520" w14:textId="77777777" w:rsidTr="00BF4529">
        <w:trPr>
          <w:cantSplit/>
        </w:trPr>
        <w:tc>
          <w:tcPr>
            <w:tcW w:w="1871" w:type="dxa"/>
            <w:tcMar>
              <w:top w:w="91" w:type="dxa"/>
              <w:left w:w="0" w:type="dxa"/>
              <w:bottom w:w="91" w:type="dxa"/>
              <w:right w:w="0" w:type="dxa"/>
            </w:tcMar>
          </w:tcPr>
          <w:p w14:paraId="4A642E4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04FE15D"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3856D87" w14:textId="77777777" w:rsidR="00BF4529" w:rsidRDefault="00BF4529" w:rsidP="00BF4529">
            <w:pPr>
              <w:pStyle w:val="TableBlock"/>
              <w:spacing w:before="0"/>
              <w:rPr>
                <w:sz w:val="26"/>
                <w:rtl/>
              </w:rPr>
            </w:pPr>
            <w:r>
              <w:rPr>
                <w:rFonts w:hint="cs"/>
                <w:sz w:val="26"/>
                <w:rtl/>
              </w:rPr>
              <w:t>(1)</w:t>
            </w:r>
            <w:r>
              <w:rPr>
                <w:rFonts w:hint="cs"/>
                <w:sz w:val="26"/>
                <w:rtl/>
              </w:rPr>
              <w:tab/>
              <w:t>במקום כותרת השוליים יבוא "ערעור על החלטת ראש הרשות";</w:t>
            </w:r>
          </w:p>
        </w:tc>
      </w:tr>
      <w:tr w:rsidR="00BF4529" w14:paraId="3BE7C184" w14:textId="77777777" w:rsidTr="00BF4529">
        <w:trPr>
          <w:cantSplit/>
        </w:trPr>
        <w:tc>
          <w:tcPr>
            <w:tcW w:w="1871" w:type="dxa"/>
            <w:tcMar>
              <w:top w:w="91" w:type="dxa"/>
              <w:left w:w="0" w:type="dxa"/>
              <w:bottom w:w="91" w:type="dxa"/>
              <w:right w:w="0" w:type="dxa"/>
            </w:tcMar>
          </w:tcPr>
          <w:p w14:paraId="014ADD8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0201801"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A459EBE" w14:textId="77777777" w:rsidR="00BF4529" w:rsidRDefault="00BF4529" w:rsidP="00BF4529">
            <w:pPr>
              <w:pStyle w:val="TableBlock"/>
              <w:spacing w:before="0"/>
              <w:rPr>
                <w:sz w:val="26"/>
                <w:rtl/>
              </w:rPr>
            </w:pPr>
            <w:r>
              <w:rPr>
                <w:rFonts w:hint="cs"/>
                <w:sz w:val="26"/>
                <w:rtl/>
              </w:rPr>
              <w:t>(2)</w:t>
            </w:r>
            <w:r>
              <w:rPr>
                <w:rFonts w:hint="cs"/>
                <w:sz w:val="26"/>
                <w:rtl/>
              </w:rPr>
              <w:tab/>
              <w:t>במקום סעיף קטן (א) יבוא:</w:t>
            </w:r>
          </w:p>
        </w:tc>
      </w:tr>
      <w:tr w:rsidR="00BF4529" w14:paraId="6F53C0B8" w14:textId="77777777" w:rsidTr="00BF4529">
        <w:trPr>
          <w:cantSplit/>
        </w:trPr>
        <w:tc>
          <w:tcPr>
            <w:tcW w:w="1871" w:type="dxa"/>
            <w:tcMar>
              <w:top w:w="91" w:type="dxa"/>
              <w:left w:w="0" w:type="dxa"/>
              <w:bottom w:w="91" w:type="dxa"/>
              <w:right w:w="0" w:type="dxa"/>
            </w:tcMar>
          </w:tcPr>
          <w:p w14:paraId="44F7C90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0E911B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858E448"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53A797E" w14:textId="77777777" w:rsidR="00BF4529" w:rsidRDefault="00BF4529" w:rsidP="00BF4529">
            <w:pPr>
              <w:pStyle w:val="TableBlock"/>
              <w:spacing w:before="0"/>
              <w:rPr>
                <w:sz w:val="26"/>
                <w:rtl/>
              </w:rPr>
            </w:pPr>
            <w:r>
              <w:rPr>
                <w:rFonts w:hint="cs"/>
                <w:sz w:val="26"/>
                <w:rtl/>
              </w:rPr>
              <w:t>"(א)</w:t>
            </w:r>
            <w:r>
              <w:rPr>
                <w:rFonts w:hint="cs"/>
                <w:sz w:val="26"/>
                <w:rtl/>
              </w:rPr>
              <w:tab/>
              <w:t>על החלטה סופית של ראש הרשות שניתנה לפי סעיפים 47ב ו-47ה ניתן לערער לבית משפט השלום שבו יושב נשיא בית משפט השלום; ערעור כאמור יוגש בתוך 30 ימים מהיום שבו נמסרה ההחלטה.";</w:t>
            </w:r>
          </w:p>
        </w:tc>
      </w:tr>
      <w:tr w:rsidR="00BF4529" w14:paraId="4934D40B" w14:textId="77777777" w:rsidTr="00BF4529">
        <w:trPr>
          <w:cantSplit/>
        </w:trPr>
        <w:tc>
          <w:tcPr>
            <w:tcW w:w="1871" w:type="dxa"/>
            <w:tcMar>
              <w:top w:w="91" w:type="dxa"/>
              <w:left w:w="0" w:type="dxa"/>
              <w:bottom w:w="91" w:type="dxa"/>
              <w:right w:w="0" w:type="dxa"/>
            </w:tcMar>
          </w:tcPr>
          <w:p w14:paraId="7B154CE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B340FB5"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74B9236" w14:textId="77777777" w:rsidR="00BF4529" w:rsidRDefault="00BF4529" w:rsidP="00BF4529">
            <w:pPr>
              <w:pStyle w:val="TableBlock"/>
              <w:spacing w:before="0"/>
              <w:rPr>
                <w:sz w:val="26"/>
                <w:rtl/>
              </w:rPr>
            </w:pPr>
            <w:r>
              <w:rPr>
                <w:rFonts w:hint="cs"/>
                <w:sz w:val="26"/>
                <w:rtl/>
              </w:rPr>
              <w:t>(3)</w:t>
            </w:r>
            <w:r>
              <w:rPr>
                <w:rFonts w:hint="cs"/>
                <w:sz w:val="26"/>
                <w:rtl/>
              </w:rPr>
              <w:tab/>
              <w:t>בסעיף קטן (ב), במקום "ראש המינהל" יבוא "ראש הרשות".</w:t>
            </w:r>
          </w:p>
        </w:tc>
      </w:tr>
      <w:tr w:rsidR="00BF4529" w14:paraId="38672820" w14:textId="77777777" w:rsidTr="00BF4529">
        <w:trPr>
          <w:cantSplit/>
        </w:trPr>
        <w:tc>
          <w:tcPr>
            <w:tcW w:w="1871" w:type="dxa"/>
            <w:tcMar>
              <w:top w:w="91" w:type="dxa"/>
              <w:left w:w="0" w:type="dxa"/>
              <w:bottom w:w="91" w:type="dxa"/>
              <w:right w:w="0" w:type="dxa"/>
            </w:tcMar>
            <w:hideMark/>
          </w:tcPr>
          <w:p w14:paraId="0AB78D34" w14:textId="77777777" w:rsidR="00BF4529" w:rsidRDefault="00BF4529" w:rsidP="00BF4529">
            <w:pPr>
              <w:pStyle w:val="TableSideHeading"/>
              <w:spacing w:before="0"/>
              <w:jc w:val="left"/>
              <w:rPr>
                <w:sz w:val="26"/>
                <w:rtl/>
              </w:rPr>
            </w:pPr>
            <w:r>
              <w:rPr>
                <w:rFonts w:hint="cs"/>
                <w:sz w:val="26"/>
                <w:rtl/>
              </w:rPr>
              <w:t>הוספת סעיף 47ה</w:t>
            </w:r>
          </w:p>
        </w:tc>
        <w:tc>
          <w:tcPr>
            <w:tcW w:w="624" w:type="dxa"/>
            <w:tcMar>
              <w:top w:w="91" w:type="dxa"/>
              <w:left w:w="0" w:type="dxa"/>
              <w:bottom w:w="91" w:type="dxa"/>
              <w:right w:w="0" w:type="dxa"/>
            </w:tcMar>
            <w:hideMark/>
          </w:tcPr>
          <w:p w14:paraId="3EB0CA40" w14:textId="77777777" w:rsidR="00BF4529" w:rsidRDefault="00BF4529" w:rsidP="00BF4529">
            <w:pPr>
              <w:pStyle w:val="TableText"/>
              <w:spacing w:before="0"/>
              <w:rPr>
                <w:sz w:val="26"/>
                <w:rtl/>
              </w:rPr>
            </w:pPr>
            <w:r>
              <w:rPr>
                <w:rFonts w:hint="cs"/>
                <w:sz w:val="26"/>
                <w:rtl/>
              </w:rPr>
              <w:t>46.</w:t>
            </w:r>
          </w:p>
        </w:tc>
        <w:tc>
          <w:tcPr>
            <w:tcW w:w="7146" w:type="dxa"/>
            <w:gridSpan w:val="7"/>
            <w:tcMar>
              <w:top w:w="91" w:type="dxa"/>
              <w:left w:w="0" w:type="dxa"/>
              <w:bottom w:w="91" w:type="dxa"/>
              <w:right w:w="0" w:type="dxa"/>
            </w:tcMar>
            <w:hideMark/>
          </w:tcPr>
          <w:p w14:paraId="1F4BC23C" w14:textId="77777777" w:rsidR="00BF4529" w:rsidRDefault="00BF4529" w:rsidP="00BF4529">
            <w:pPr>
              <w:pStyle w:val="TableBlock"/>
              <w:spacing w:before="0"/>
              <w:rPr>
                <w:sz w:val="26"/>
                <w:rtl/>
              </w:rPr>
            </w:pPr>
            <w:r>
              <w:rPr>
                <w:rFonts w:hint="cs"/>
                <w:sz w:val="26"/>
                <w:rtl/>
              </w:rPr>
              <w:t>אחרי סעיף 47ד לחוק העיקרי יבוא:</w:t>
            </w:r>
          </w:p>
        </w:tc>
      </w:tr>
      <w:tr w:rsidR="00BF4529" w14:paraId="13087B78" w14:textId="77777777" w:rsidTr="00BF4529">
        <w:trPr>
          <w:cantSplit/>
        </w:trPr>
        <w:tc>
          <w:tcPr>
            <w:tcW w:w="1871" w:type="dxa"/>
            <w:tcMar>
              <w:top w:w="91" w:type="dxa"/>
              <w:left w:w="0" w:type="dxa"/>
              <w:bottom w:w="91" w:type="dxa"/>
              <w:right w:w="0" w:type="dxa"/>
            </w:tcMar>
          </w:tcPr>
          <w:p w14:paraId="687B338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974D56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722C9B73" w14:textId="77777777" w:rsidR="00BF4529" w:rsidRDefault="00BF4529" w:rsidP="00BF4529">
            <w:pPr>
              <w:pStyle w:val="TableInnerSideHeading"/>
              <w:spacing w:before="0"/>
              <w:rPr>
                <w:sz w:val="26"/>
                <w:rtl/>
              </w:rPr>
            </w:pPr>
            <w:r>
              <w:rPr>
                <w:rFonts w:hint="cs"/>
                <w:sz w:val="26"/>
                <w:rtl/>
              </w:rPr>
              <w:t>"פרסום</w:t>
            </w:r>
          </w:p>
        </w:tc>
        <w:tc>
          <w:tcPr>
            <w:tcW w:w="624" w:type="dxa"/>
            <w:tcMar>
              <w:top w:w="91" w:type="dxa"/>
              <w:left w:w="0" w:type="dxa"/>
              <w:bottom w:w="91" w:type="dxa"/>
              <w:right w:w="0" w:type="dxa"/>
            </w:tcMar>
            <w:hideMark/>
          </w:tcPr>
          <w:p w14:paraId="34547759" w14:textId="77777777" w:rsidR="00BF4529" w:rsidRDefault="00BF4529" w:rsidP="00BF4529">
            <w:pPr>
              <w:pStyle w:val="TableText"/>
              <w:spacing w:before="0"/>
              <w:rPr>
                <w:sz w:val="26"/>
                <w:rtl/>
              </w:rPr>
            </w:pPr>
            <w:r>
              <w:rPr>
                <w:rFonts w:hint="cs"/>
                <w:sz w:val="26"/>
                <w:rtl/>
              </w:rPr>
              <w:t>47ה.</w:t>
            </w:r>
          </w:p>
        </w:tc>
        <w:tc>
          <w:tcPr>
            <w:tcW w:w="4650" w:type="dxa"/>
            <w:gridSpan w:val="3"/>
            <w:tcMar>
              <w:top w:w="91" w:type="dxa"/>
              <w:left w:w="0" w:type="dxa"/>
              <w:bottom w:w="91" w:type="dxa"/>
              <w:right w:w="0" w:type="dxa"/>
            </w:tcMar>
            <w:hideMark/>
          </w:tcPr>
          <w:p w14:paraId="277372D1" w14:textId="77777777" w:rsidR="00BF4529" w:rsidRDefault="00BF4529" w:rsidP="00BF4529">
            <w:pPr>
              <w:pStyle w:val="TableBlock"/>
              <w:spacing w:before="0"/>
              <w:rPr>
                <w:sz w:val="26"/>
                <w:rtl/>
              </w:rPr>
            </w:pPr>
            <w:r>
              <w:rPr>
                <w:rFonts w:hint="cs"/>
                <w:sz w:val="26"/>
                <w:rtl/>
              </w:rPr>
              <w:t>(א)</w:t>
            </w:r>
            <w:r>
              <w:rPr>
                <w:rFonts w:hint="cs"/>
                <w:sz w:val="26"/>
                <w:rtl/>
              </w:rPr>
              <w:tab/>
              <w:t xml:space="preserve">הטיל ראש הרשות עיצום כספי על תאגיד לפי סעיף 47ב, יפרסם באתר האינטרנט של הרשות את הפרטים שלהלן, בדרך שתבטיח שקיפות לגבי הפעלת שיקול דעתו בקבלת ההחלטה להטיל עיצום כספי: </w:t>
            </w:r>
          </w:p>
        </w:tc>
      </w:tr>
      <w:tr w:rsidR="00BF4529" w14:paraId="5521B9D9" w14:textId="77777777" w:rsidTr="00BF4529">
        <w:trPr>
          <w:cantSplit/>
        </w:trPr>
        <w:tc>
          <w:tcPr>
            <w:tcW w:w="1871" w:type="dxa"/>
            <w:tcMar>
              <w:top w:w="91" w:type="dxa"/>
              <w:left w:w="0" w:type="dxa"/>
              <w:bottom w:w="91" w:type="dxa"/>
              <w:right w:w="0" w:type="dxa"/>
            </w:tcMar>
          </w:tcPr>
          <w:p w14:paraId="47755F4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CD4A82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543514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9125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4FAF2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CFFDC1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EAA41AE"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14A69152" w14:textId="77777777" w:rsidR="00BF4529" w:rsidRDefault="00BF4529" w:rsidP="00BF4529">
            <w:pPr>
              <w:pStyle w:val="TableBlock"/>
              <w:spacing w:before="0"/>
              <w:rPr>
                <w:sz w:val="26"/>
                <w:rtl/>
              </w:rPr>
            </w:pPr>
            <w:r>
              <w:rPr>
                <w:rFonts w:hint="cs"/>
                <w:sz w:val="26"/>
                <w:rtl/>
              </w:rPr>
              <w:t>(1)</w:t>
            </w:r>
            <w:r>
              <w:rPr>
                <w:rFonts w:hint="cs"/>
                <w:sz w:val="26"/>
                <w:rtl/>
              </w:rPr>
              <w:tab/>
              <w:t>דבר הטלת העיצום הכספי;</w:t>
            </w:r>
          </w:p>
        </w:tc>
      </w:tr>
      <w:tr w:rsidR="00BF4529" w14:paraId="7FC7C9A8" w14:textId="77777777" w:rsidTr="00BF4529">
        <w:trPr>
          <w:cantSplit/>
        </w:trPr>
        <w:tc>
          <w:tcPr>
            <w:tcW w:w="1871" w:type="dxa"/>
            <w:tcMar>
              <w:top w:w="91" w:type="dxa"/>
              <w:left w:w="0" w:type="dxa"/>
              <w:bottom w:w="91" w:type="dxa"/>
              <w:right w:w="0" w:type="dxa"/>
            </w:tcMar>
          </w:tcPr>
          <w:p w14:paraId="09E3A97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DE979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0E7D91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980A8F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7DEE28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CA4147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DB26D34"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0114387D" w14:textId="77777777" w:rsidR="00BF4529" w:rsidRDefault="00BF4529" w:rsidP="00BF4529">
            <w:pPr>
              <w:pStyle w:val="TableBlock"/>
              <w:spacing w:before="0"/>
              <w:rPr>
                <w:sz w:val="26"/>
                <w:rtl/>
              </w:rPr>
            </w:pPr>
            <w:r>
              <w:rPr>
                <w:rFonts w:hint="cs"/>
                <w:sz w:val="26"/>
                <w:rtl/>
              </w:rPr>
              <w:t>(2)</w:t>
            </w:r>
            <w:r>
              <w:rPr>
                <w:rFonts w:hint="cs"/>
                <w:sz w:val="26"/>
                <w:rtl/>
              </w:rPr>
              <w:tab/>
              <w:t>מהות ההפרה שבשלה הוטל העיצום הכספי ונסיבות ההפרה;</w:t>
            </w:r>
          </w:p>
        </w:tc>
      </w:tr>
      <w:tr w:rsidR="00BF4529" w14:paraId="19A8316E" w14:textId="77777777" w:rsidTr="00BF4529">
        <w:trPr>
          <w:cantSplit/>
        </w:trPr>
        <w:tc>
          <w:tcPr>
            <w:tcW w:w="1871" w:type="dxa"/>
            <w:tcMar>
              <w:top w:w="91" w:type="dxa"/>
              <w:left w:w="0" w:type="dxa"/>
              <w:bottom w:w="91" w:type="dxa"/>
              <w:right w:w="0" w:type="dxa"/>
            </w:tcMar>
          </w:tcPr>
          <w:p w14:paraId="2E901F5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A0FA5AC"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553997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3440B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6A4043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D41F03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5A87592"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0AB33FEE" w14:textId="77777777" w:rsidR="00BF4529" w:rsidRDefault="00BF4529" w:rsidP="00BF4529">
            <w:pPr>
              <w:pStyle w:val="TableBlock"/>
              <w:spacing w:before="0"/>
              <w:rPr>
                <w:sz w:val="26"/>
                <w:rtl/>
              </w:rPr>
            </w:pPr>
            <w:r>
              <w:rPr>
                <w:rFonts w:hint="cs"/>
                <w:sz w:val="26"/>
                <w:rtl/>
              </w:rPr>
              <w:t>(3)</w:t>
            </w:r>
            <w:r>
              <w:rPr>
                <w:rFonts w:hint="cs"/>
                <w:sz w:val="26"/>
                <w:rtl/>
              </w:rPr>
              <w:tab/>
              <w:t>סכום העיצום הכספי שהוטל;</w:t>
            </w:r>
          </w:p>
        </w:tc>
      </w:tr>
      <w:tr w:rsidR="00BF4529" w14:paraId="0EB683A9" w14:textId="77777777" w:rsidTr="00BF4529">
        <w:trPr>
          <w:cantSplit/>
        </w:trPr>
        <w:tc>
          <w:tcPr>
            <w:tcW w:w="1871" w:type="dxa"/>
            <w:tcMar>
              <w:top w:w="91" w:type="dxa"/>
              <w:left w:w="0" w:type="dxa"/>
              <w:bottom w:w="91" w:type="dxa"/>
              <w:right w:w="0" w:type="dxa"/>
            </w:tcMar>
          </w:tcPr>
          <w:p w14:paraId="647D03A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B0119F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4D265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EC3BD4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40398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ECFFC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71D9DE2"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63EB51A" w14:textId="77777777" w:rsidR="00BF4529" w:rsidRDefault="00BF4529" w:rsidP="00BF4529">
            <w:pPr>
              <w:pStyle w:val="TableBlock"/>
              <w:spacing w:before="0"/>
              <w:rPr>
                <w:sz w:val="26"/>
                <w:rtl/>
              </w:rPr>
            </w:pPr>
            <w:r>
              <w:rPr>
                <w:rFonts w:hint="cs"/>
                <w:sz w:val="26"/>
                <w:rtl/>
              </w:rPr>
              <w:t>(4)</w:t>
            </w:r>
            <w:r>
              <w:rPr>
                <w:rFonts w:hint="cs"/>
                <w:sz w:val="26"/>
                <w:rtl/>
              </w:rPr>
              <w:tab/>
              <w:t>פרטים אודות המפר, הנוגעים לעניין;</w:t>
            </w:r>
          </w:p>
        </w:tc>
      </w:tr>
      <w:tr w:rsidR="00BF4529" w14:paraId="5E79157E" w14:textId="77777777" w:rsidTr="00BF4529">
        <w:trPr>
          <w:cantSplit/>
        </w:trPr>
        <w:tc>
          <w:tcPr>
            <w:tcW w:w="1871" w:type="dxa"/>
            <w:tcMar>
              <w:top w:w="91" w:type="dxa"/>
              <w:left w:w="0" w:type="dxa"/>
              <w:bottom w:w="91" w:type="dxa"/>
              <w:right w:w="0" w:type="dxa"/>
            </w:tcMar>
          </w:tcPr>
          <w:p w14:paraId="0AE59C6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5ACC84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08BDE2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0D644E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1E176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73A65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7C0A015" w14:textId="77777777" w:rsidR="00BF4529" w:rsidRDefault="00BF4529" w:rsidP="00BF4529">
            <w:pPr>
              <w:pStyle w:val="TableText"/>
              <w:spacing w:before="0"/>
              <w:rPr>
                <w:sz w:val="26"/>
                <w:rtl/>
              </w:rPr>
            </w:pPr>
          </w:p>
        </w:tc>
        <w:tc>
          <w:tcPr>
            <w:tcW w:w="4026" w:type="dxa"/>
            <w:gridSpan w:val="2"/>
            <w:tcMar>
              <w:top w:w="91" w:type="dxa"/>
              <w:left w:w="0" w:type="dxa"/>
              <w:bottom w:w="91" w:type="dxa"/>
              <w:right w:w="0" w:type="dxa"/>
            </w:tcMar>
            <w:hideMark/>
          </w:tcPr>
          <w:p w14:paraId="63CA2EFA" w14:textId="77777777" w:rsidR="00BF4529" w:rsidRDefault="00BF4529" w:rsidP="00BF4529">
            <w:pPr>
              <w:pStyle w:val="TableBlock"/>
              <w:spacing w:before="0"/>
              <w:rPr>
                <w:sz w:val="26"/>
                <w:rtl/>
              </w:rPr>
            </w:pPr>
            <w:r>
              <w:rPr>
                <w:rFonts w:hint="cs"/>
                <w:sz w:val="26"/>
                <w:rtl/>
              </w:rPr>
              <w:t>(5)</w:t>
            </w:r>
            <w:r>
              <w:rPr>
                <w:rFonts w:hint="cs"/>
                <w:sz w:val="26"/>
                <w:rtl/>
              </w:rPr>
              <w:tab/>
              <w:t>שמו של התאגיד.</w:t>
            </w:r>
          </w:p>
        </w:tc>
      </w:tr>
      <w:tr w:rsidR="00BF4529" w14:paraId="22A2F76B" w14:textId="77777777" w:rsidTr="00BF4529">
        <w:trPr>
          <w:cantSplit/>
        </w:trPr>
        <w:tc>
          <w:tcPr>
            <w:tcW w:w="1871" w:type="dxa"/>
            <w:tcMar>
              <w:top w:w="91" w:type="dxa"/>
              <w:left w:w="0" w:type="dxa"/>
              <w:bottom w:w="91" w:type="dxa"/>
              <w:right w:w="0" w:type="dxa"/>
            </w:tcMar>
          </w:tcPr>
          <w:p w14:paraId="663A797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C5272E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20F6D0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4D750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46BAA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B74711C"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D243F72" w14:textId="77777777" w:rsidR="00BF4529" w:rsidRDefault="00BF4529" w:rsidP="00BF4529">
            <w:pPr>
              <w:pStyle w:val="TableBlock"/>
              <w:spacing w:before="0"/>
              <w:rPr>
                <w:sz w:val="26"/>
                <w:rtl/>
              </w:rPr>
            </w:pPr>
            <w:r>
              <w:rPr>
                <w:rFonts w:hint="cs"/>
                <w:sz w:val="26"/>
                <w:rtl/>
              </w:rPr>
              <w:t>(ב)</w:t>
            </w:r>
            <w:r>
              <w:rPr>
                <w:rFonts w:hint="cs"/>
                <w:sz w:val="26"/>
                <w:rtl/>
              </w:rPr>
              <w:tab/>
              <w:t>הוגש ערעור לפי סעיף 47ד, יפרסם ראש הרשות את דבר הגשת הערעור בסמוך למועד הגשתו, ואת תוצאותיו.</w:t>
            </w:r>
          </w:p>
        </w:tc>
      </w:tr>
      <w:tr w:rsidR="00BF4529" w14:paraId="0E7DBFF4" w14:textId="77777777" w:rsidTr="00BF4529">
        <w:trPr>
          <w:cantSplit/>
        </w:trPr>
        <w:tc>
          <w:tcPr>
            <w:tcW w:w="1871" w:type="dxa"/>
            <w:tcMar>
              <w:top w:w="91" w:type="dxa"/>
              <w:left w:w="0" w:type="dxa"/>
              <w:bottom w:w="91" w:type="dxa"/>
              <w:right w:w="0" w:type="dxa"/>
            </w:tcMar>
          </w:tcPr>
          <w:p w14:paraId="60FA993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8D4A88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152ED5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567B3F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3670D02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0EDF01D"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32145C0" w14:textId="77777777" w:rsidR="00BF4529" w:rsidRDefault="00BF4529" w:rsidP="00BF4529">
            <w:pPr>
              <w:pStyle w:val="TableBlock"/>
              <w:spacing w:before="0"/>
              <w:rPr>
                <w:sz w:val="26"/>
                <w:rtl/>
              </w:rPr>
            </w:pPr>
            <w:r>
              <w:rPr>
                <w:rFonts w:hint="cs"/>
                <w:sz w:val="26"/>
                <w:rtl/>
              </w:rPr>
              <w:t>(ג)</w:t>
            </w:r>
            <w:r>
              <w:rPr>
                <w:rFonts w:hint="cs"/>
                <w:sz w:val="26"/>
                <w:rtl/>
              </w:rPr>
              <w:tab/>
              <w:t>על אף האמור בסעיף זה, לא יפרסם ראש הרשות פרטים שהם בגדר מידע שרשות ציבורית מנועה מלמסור לפי סעיף 9(א) לחוק חופש המידע, התשנ"ח–1998‏</w:t>
            </w:r>
            <w:r>
              <w:rPr>
                <w:rStyle w:val="ab"/>
                <w:rFonts w:hAnsi="HadasaMFO"/>
                <w:sz w:val="26"/>
                <w:rtl/>
              </w:rPr>
              <w:footnoteReference w:id="23"/>
            </w:r>
            <w:r>
              <w:rPr>
                <w:rFonts w:hint="cs"/>
                <w:sz w:val="26"/>
                <w:rtl/>
              </w:rPr>
              <w:t>, וכן רשאי הוא שלא לפרסם פרטים לפי סעיף זה, שהם בגדר מידע שרשות ציבורית אינה חייבת למסור לפי סעיף 9(ב) לחוק האמור.</w:t>
            </w:r>
          </w:p>
        </w:tc>
      </w:tr>
      <w:tr w:rsidR="00BF4529" w14:paraId="47FEFFAF" w14:textId="77777777" w:rsidTr="00BF4529">
        <w:trPr>
          <w:cantSplit/>
        </w:trPr>
        <w:tc>
          <w:tcPr>
            <w:tcW w:w="1871" w:type="dxa"/>
            <w:tcMar>
              <w:top w:w="91" w:type="dxa"/>
              <w:left w:w="0" w:type="dxa"/>
              <w:bottom w:w="91" w:type="dxa"/>
              <w:right w:w="0" w:type="dxa"/>
            </w:tcMar>
          </w:tcPr>
          <w:p w14:paraId="0939A80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3EF7A0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528E01F"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C2AB19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ECE89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7A4D6A7" w14:textId="77777777" w:rsidR="00BF4529" w:rsidRDefault="00BF4529" w:rsidP="00BF4529">
            <w:pPr>
              <w:pStyle w:val="TableText"/>
              <w:spacing w:before="0"/>
              <w:rPr>
                <w:sz w:val="26"/>
                <w:rtl/>
              </w:rPr>
            </w:pPr>
          </w:p>
        </w:tc>
        <w:tc>
          <w:tcPr>
            <w:tcW w:w="4650" w:type="dxa"/>
            <w:gridSpan w:val="3"/>
            <w:tcMar>
              <w:top w:w="91" w:type="dxa"/>
              <w:left w:w="0" w:type="dxa"/>
              <w:bottom w:w="91" w:type="dxa"/>
              <w:right w:w="0" w:type="dxa"/>
            </w:tcMar>
            <w:hideMark/>
          </w:tcPr>
          <w:p w14:paraId="69CBBC2D" w14:textId="77777777" w:rsidR="00BF4529" w:rsidRDefault="00BF4529" w:rsidP="00BF4529">
            <w:pPr>
              <w:pStyle w:val="TableBlock"/>
              <w:spacing w:before="0"/>
              <w:rPr>
                <w:sz w:val="26"/>
                <w:rtl/>
              </w:rPr>
            </w:pPr>
            <w:r>
              <w:rPr>
                <w:rFonts w:hint="cs"/>
                <w:sz w:val="26"/>
                <w:rtl/>
              </w:rPr>
              <w:t>(ד)</w:t>
            </w:r>
            <w:r>
              <w:rPr>
                <w:rFonts w:hint="cs"/>
                <w:sz w:val="26"/>
                <w:rtl/>
              </w:rPr>
              <w:tab/>
              <w:t>פרסום לפי סעיף זה יהיה לתקופה של ארבע שנים.";</w:t>
            </w:r>
          </w:p>
        </w:tc>
      </w:tr>
      <w:tr w:rsidR="00BF4529" w14:paraId="13D0AA4F" w14:textId="77777777" w:rsidTr="00BF4529">
        <w:trPr>
          <w:cantSplit/>
        </w:trPr>
        <w:tc>
          <w:tcPr>
            <w:tcW w:w="1871" w:type="dxa"/>
            <w:tcMar>
              <w:top w:w="91" w:type="dxa"/>
              <w:left w:w="0" w:type="dxa"/>
              <w:bottom w:w="91" w:type="dxa"/>
              <w:right w:w="0" w:type="dxa"/>
            </w:tcMar>
            <w:hideMark/>
          </w:tcPr>
          <w:p w14:paraId="1CA3C7A6" w14:textId="77777777" w:rsidR="00BF4529" w:rsidRDefault="00BF4529" w:rsidP="00BF4529">
            <w:pPr>
              <w:pStyle w:val="TableSideHeading"/>
              <w:spacing w:before="0"/>
              <w:jc w:val="left"/>
              <w:rPr>
                <w:sz w:val="26"/>
                <w:rtl/>
              </w:rPr>
            </w:pPr>
            <w:r>
              <w:rPr>
                <w:rFonts w:hint="cs"/>
                <w:sz w:val="26"/>
                <w:rtl/>
              </w:rPr>
              <w:t>החלפת סעיף 48</w:t>
            </w:r>
          </w:p>
        </w:tc>
        <w:tc>
          <w:tcPr>
            <w:tcW w:w="624" w:type="dxa"/>
            <w:tcMar>
              <w:top w:w="91" w:type="dxa"/>
              <w:left w:w="0" w:type="dxa"/>
              <w:bottom w:w="91" w:type="dxa"/>
              <w:right w:w="0" w:type="dxa"/>
            </w:tcMar>
            <w:hideMark/>
          </w:tcPr>
          <w:p w14:paraId="522EF46F" w14:textId="77777777" w:rsidR="00BF4529" w:rsidRDefault="00BF4529" w:rsidP="00BF4529">
            <w:pPr>
              <w:pStyle w:val="TableText"/>
              <w:spacing w:before="0"/>
              <w:rPr>
                <w:sz w:val="26"/>
                <w:rtl/>
              </w:rPr>
            </w:pPr>
            <w:r>
              <w:rPr>
                <w:rFonts w:hint="cs"/>
                <w:sz w:val="26"/>
                <w:rtl/>
              </w:rPr>
              <w:t xml:space="preserve">47. </w:t>
            </w:r>
          </w:p>
        </w:tc>
        <w:tc>
          <w:tcPr>
            <w:tcW w:w="7146" w:type="dxa"/>
            <w:gridSpan w:val="7"/>
            <w:tcMar>
              <w:top w:w="91" w:type="dxa"/>
              <w:left w:w="0" w:type="dxa"/>
              <w:bottom w:w="91" w:type="dxa"/>
              <w:right w:w="0" w:type="dxa"/>
            </w:tcMar>
            <w:hideMark/>
          </w:tcPr>
          <w:p w14:paraId="6E642AF3" w14:textId="77777777" w:rsidR="00BF4529" w:rsidRDefault="00BF4529" w:rsidP="00BF4529">
            <w:pPr>
              <w:pStyle w:val="TableBlock"/>
              <w:spacing w:before="0"/>
              <w:rPr>
                <w:sz w:val="26"/>
                <w:rtl/>
              </w:rPr>
            </w:pPr>
            <w:r>
              <w:rPr>
                <w:rFonts w:hint="cs"/>
                <w:sz w:val="26"/>
                <w:rtl/>
              </w:rPr>
              <w:t>במקום סעיף 48 לחוק העיקרי יבוא:</w:t>
            </w:r>
          </w:p>
        </w:tc>
      </w:tr>
      <w:tr w:rsidR="00BF4529" w14:paraId="66B19197" w14:textId="77777777" w:rsidTr="00BF4529">
        <w:trPr>
          <w:cantSplit/>
        </w:trPr>
        <w:tc>
          <w:tcPr>
            <w:tcW w:w="1871" w:type="dxa"/>
            <w:tcMar>
              <w:top w:w="91" w:type="dxa"/>
              <w:left w:w="0" w:type="dxa"/>
              <w:bottom w:w="91" w:type="dxa"/>
              <w:right w:w="0" w:type="dxa"/>
            </w:tcMar>
          </w:tcPr>
          <w:p w14:paraId="4722604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CD3895D"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2A496FE8" w14:textId="77777777" w:rsidR="00BF4529" w:rsidRDefault="00BF4529" w:rsidP="00BF4529">
            <w:pPr>
              <w:pStyle w:val="TableInnerSideHeading"/>
              <w:spacing w:before="0"/>
              <w:jc w:val="left"/>
              <w:rPr>
                <w:sz w:val="26"/>
                <w:rtl/>
              </w:rPr>
            </w:pPr>
            <w:r>
              <w:rPr>
                <w:rFonts w:hint="cs"/>
                <w:sz w:val="26"/>
                <w:rtl/>
              </w:rPr>
              <w:t>"פרסום כללים של המועצה ושל ועדות מחקר</w:t>
            </w:r>
          </w:p>
        </w:tc>
        <w:tc>
          <w:tcPr>
            <w:tcW w:w="624" w:type="dxa"/>
            <w:tcMar>
              <w:top w:w="91" w:type="dxa"/>
              <w:left w:w="0" w:type="dxa"/>
              <w:bottom w:w="91" w:type="dxa"/>
              <w:right w:w="0" w:type="dxa"/>
            </w:tcMar>
            <w:hideMark/>
          </w:tcPr>
          <w:p w14:paraId="5E56D6D2" w14:textId="77777777" w:rsidR="00BF4529" w:rsidRDefault="00BF4529" w:rsidP="00BF4529">
            <w:pPr>
              <w:pStyle w:val="TableText"/>
              <w:spacing w:before="0"/>
              <w:rPr>
                <w:sz w:val="26"/>
                <w:rtl/>
              </w:rPr>
            </w:pPr>
            <w:r>
              <w:rPr>
                <w:rFonts w:hint="cs"/>
                <w:sz w:val="26"/>
                <w:rtl/>
              </w:rPr>
              <w:t>48.</w:t>
            </w:r>
          </w:p>
        </w:tc>
        <w:tc>
          <w:tcPr>
            <w:tcW w:w="4650" w:type="dxa"/>
            <w:gridSpan w:val="3"/>
            <w:tcMar>
              <w:top w:w="91" w:type="dxa"/>
              <w:left w:w="0" w:type="dxa"/>
              <w:bottom w:w="91" w:type="dxa"/>
              <w:right w:w="0" w:type="dxa"/>
            </w:tcMar>
            <w:hideMark/>
          </w:tcPr>
          <w:p w14:paraId="447C1154" w14:textId="77777777" w:rsidR="00BF4529" w:rsidRDefault="00BF4529" w:rsidP="00BF4529">
            <w:pPr>
              <w:pStyle w:val="TableBlock"/>
              <w:spacing w:before="0"/>
              <w:rPr>
                <w:sz w:val="26"/>
                <w:rtl/>
              </w:rPr>
            </w:pPr>
            <w:r>
              <w:rPr>
                <w:rFonts w:hint="cs"/>
                <w:sz w:val="26"/>
                <w:rtl/>
              </w:rPr>
              <w:t>נהלים שקבעו המועצה או ועדות מחקר לפי חוק זה יפורסמו באתר האינטרנט של הרשות."</w:t>
            </w:r>
          </w:p>
        </w:tc>
      </w:tr>
      <w:tr w:rsidR="00BF4529" w14:paraId="3DE14E0F" w14:textId="77777777" w:rsidTr="00BF4529">
        <w:trPr>
          <w:cantSplit/>
        </w:trPr>
        <w:tc>
          <w:tcPr>
            <w:tcW w:w="1871" w:type="dxa"/>
            <w:tcMar>
              <w:top w:w="91" w:type="dxa"/>
              <w:left w:w="0" w:type="dxa"/>
              <w:bottom w:w="91" w:type="dxa"/>
              <w:right w:w="0" w:type="dxa"/>
            </w:tcMar>
            <w:hideMark/>
          </w:tcPr>
          <w:p w14:paraId="452B3209" w14:textId="77777777" w:rsidR="00BF4529" w:rsidRDefault="00BF4529" w:rsidP="00BF4529">
            <w:pPr>
              <w:pStyle w:val="TableSideHeading"/>
              <w:spacing w:before="0"/>
              <w:jc w:val="left"/>
              <w:rPr>
                <w:sz w:val="26"/>
                <w:rtl/>
              </w:rPr>
            </w:pPr>
            <w:r>
              <w:rPr>
                <w:rFonts w:hint="cs"/>
                <w:sz w:val="26"/>
                <w:rtl/>
              </w:rPr>
              <w:t>ביטול סעיף 50</w:t>
            </w:r>
          </w:p>
        </w:tc>
        <w:tc>
          <w:tcPr>
            <w:tcW w:w="624" w:type="dxa"/>
            <w:tcMar>
              <w:top w:w="91" w:type="dxa"/>
              <w:left w:w="0" w:type="dxa"/>
              <w:bottom w:w="91" w:type="dxa"/>
              <w:right w:w="0" w:type="dxa"/>
            </w:tcMar>
            <w:hideMark/>
          </w:tcPr>
          <w:p w14:paraId="252B577E" w14:textId="77777777" w:rsidR="00BF4529" w:rsidRDefault="00BF4529" w:rsidP="00BF4529">
            <w:pPr>
              <w:pStyle w:val="TableText"/>
              <w:spacing w:before="0"/>
              <w:rPr>
                <w:sz w:val="26"/>
                <w:rtl/>
              </w:rPr>
            </w:pPr>
            <w:r>
              <w:rPr>
                <w:rFonts w:hint="cs"/>
                <w:sz w:val="26"/>
                <w:rtl/>
              </w:rPr>
              <w:t>48.</w:t>
            </w:r>
          </w:p>
        </w:tc>
        <w:tc>
          <w:tcPr>
            <w:tcW w:w="7146" w:type="dxa"/>
            <w:gridSpan w:val="7"/>
            <w:tcMar>
              <w:top w:w="91" w:type="dxa"/>
              <w:left w:w="0" w:type="dxa"/>
              <w:bottom w:w="91" w:type="dxa"/>
              <w:right w:w="0" w:type="dxa"/>
            </w:tcMar>
            <w:hideMark/>
          </w:tcPr>
          <w:p w14:paraId="0AC8368C" w14:textId="77777777" w:rsidR="00BF4529" w:rsidRDefault="00BF4529" w:rsidP="00BF4529">
            <w:pPr>
              <w:pStyle w:val="TableBlock"/>
              <w:spacing w:before="0"/>
              <w:rPr>
                <w:sz w:val="26"/>
                <w:rtl/>
              </w:rPr>
            </w:pPr>
            <w:r>
              <w:rPr>
                <w:rFonts w:hint="cs"/>
                <w:sz w:val="26"/>
                <w:rtl/>
              </w:rPr>
              <w:t>סעיף 50 לחוק העיקרי – בטל.</w:t>
            </w:r>
          </w:p>
        </w:tc>
      </w:tr>
      <w:tr w:rsidR="00BF4529" w14:paraId="292D9466" w14:textId="77777777" w:rsidTr="00BF4529">
        <w:trPr>
          <w:cantSplit/>
        </w:trPr>
        <w:tc>
          <w:tcPr>
            <w:tcW w:w="1871" w:type="dxa"/>
            <w:tcMar>
              <w:top w:w="91" w:type="dxa"/>
              <w:left w:w="0" w:type="dxa"/>
              <w:bottom w:w="91" w:type="dxa"/>
              <w:right w:w="0" w:type="dxa"/>
            </w:tcMar>
            <w:hideMark/>
          </w:tcPr>
          <w:p w14:paraId="077C6DF1" w14:textId="77777777" w:rsidR="00BF4529" w:rsidRDefault="00BF4529" w:rsidP="00BF4529">
            <w:pPr>
              <w:pStyle w:val="TableSideHeading"/>
              <w:spacing w:before="0"/>
              <w:jc w:val="left"/>
              <w:rPr>
                <w:sz w:val="26"/>
                <w:rtl/>
              </w:rPr>
            </w:pPr>
            <w:r>
              <w:rPr>
                <w:rFonts w:hint="cs"/>
                <w:sz w:val="26"/>
                <w:rtl/>
              </w:rPr>
              <w:t>תיקון סעיף 51</w:t>
            </w:r>
          </w:p>
        </w:tc>
        <w:tc>
          <w:tcPr>
            <w:tcW w:w="624" w:type="dxa"/>
            <w:tcMar>
              <w:top w:w="91" w:type="dxa"/>
              <w:left w:w="0" w:type="dxa"/>
              <w:bottom w:w="91" w:type="dxa"/>
              <w:right w:w="0" w:type="dxa"/>
            </w:tcMar>
            <w:hideMark/>
          </w:tcPr>
          <w:p w14:paraId="4B927DE2" w14:textId="77777777" w:rsidR="00BF4529" w:rsidRDefault="00BF4529" w:rsidP="00BF4529">
            <w:pPr>
              <w:pStyle w:val="TableText"/>
              <w:spacing w:before="0"/>
              <w:rPr>
                <w:sz w:val="26"/>
                <w:rtl/>
              </w:rPr>
            </w:pPr>
            <w:r>
              <w:rPr>
                <w:rFonts w:hint="cs"/>
                <w:sz w:val="26"/>
                <w:rtl/>
              </w:rPr>
              <w:t>49.</w:t>
            </w:r>
          </w:p>
        </w:tc>
        <w:tc>
          <w:tcPr>
            <w:tcW w:w="7146" w:type="dxa"/>
            <w:gridSpan w:val="7"/>
            <w:tcMar>
              <w:top w:w="91" w:type="dxa"/>
              <w:left w:w="0" w:type="dxa"/>
              <w:bottom w:w="91" w:type="dxa"/>
              <w:right w:w="0" w:type="dxa"/>
            </w:tcMar>
            <w:hideMark/>
          </w:tcPr>
          <w:p w14:paraId="4DF41DF1" w14:textId="77777777" w:rsidR="00BF4529" w:rsidRDefault="00BF4529" w:rsidP="00BF4529">
            <w:pPr>
              <w:pStyle w:val="TableBlock"/>
              <w:spacing w:before="0"/>
              <w:rPr>
                <w:sz w:val="26"/>
                <w:rtl/>
              </w:rPr>
            </w:pPr>
            <w:r>
              <w:rPr>
                <w:rFonts w:hint="cs"/>
                <w:sz w:val="26"/>
                <w:rtl/>
              </w:rPr>
              <w:t>בסעיף 51 לחוק העיקרי, האמור בו יסומן "(א)" ואחריו יבוא:</w:t>
            </w:r>
          </w:p>
        </w:tc>
      </w:tr>
      <w:tr w:rsidR="00BF4529" w14:paraId="1562FBDD" w14:textId="77777777" w:rsidTr="00BF4529">
        <w:trPr>
          <w:cantSplit/>
        </w:trPr>
        <w:tc>
          <w:tcPr>
            <w:tcW w:w="1871" w:type="dxa"/>
            <w:tcMar>
              <w:top w:w="91" w:type="dxa"/>
              <w:left w:w="0" w:type="dxa"/>
              <w:bottom w:w="91" w:type="dxa"/>
              <w:right w:w="0" w:type="dxa"/>
            </w:tcMar>
          </w:tcPr>
          <w:p w14:paraId="54A2CB7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464A033"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236283B2" w14:textId="77777777" w:rsidR="00BF4529" w:rsidRDefault="00BF4529" w:rsidP="00BF4529">
            <w:pPr>
              <w:pStyle w:val="TableBlock"/>
              <w:spacing w:before="0"/>
              <w:rPr>
                <w:spacing w:val="-2"/>
                <w:rtl/>
              </w:rPr>
            </w:pPr>
            <w:r>
              <w:rPr>
                <w:rFonts w:hint="cs"/>
                <w:spacing w:val="-2"/>
                <w:rtl/>
              </w:rPr>
              <w:t>"(ב)</w:t>
            </w:r>
            <w:r>
              <w:rPr>
                <w:rFonts w:hint="cs"/>
                <w:spacing w:val="-2"/>
                <w:rtl/>
              </w:rPr>
              <w:tab/>
              <w:t xml:space="preserve">אין בקביעת הרשות כתאגיד לפי חוק כאמור בסעיפים 5 ו-5ב, ובתפקידים והסמכויות שהוקנו לה כאמור בסעיפים 5א, 8א, 15לה, 15לז ו-42(ג) ו-(ה), כדי לגרוע – </w:t>
            </w:r>
          </w:p>
        </w:tc>
      </w:tr>
      <w:tr w:rsidR="00BF4529" w14:paraId="471E884F" w14:textId="77777777" w:rsidTr="00BF4529">
        <w:trPr>
          <w:cantSplit/>
        </w:trPr>
        <w:tc>
          <w:tcPr>
            <w:tcW w:w="1871" w:type="dxa"/>
            <w:tcMar>
              <w:top w:w="91" w:type="dxa"/>
              <w:left w:w="0" w:type="dxa"/>
              <w:bottom w:w="91" w:type="dxa"/>
              <w:right w:w="0" w:type="dxa"/>
            </w:tcMar>
          </w:tcPr>
          <w:p w14:paraId="1165099B" w14:textId="77777777" w:rsidR="00BF4529" w:rsidRDefault="00BF4529" w:rsidP="00BF4529">
            <w:pPr>
              <w:pStyle w:val="TableSideHeading"/>
              <w:spacing w:before="0"/>
              <w:jc w:val="left"/>
              <w:rPr>
                <w:spacing w:val="0"/>
                <w:sz w:val="26"/>
                <w:rtl/>
              </w:rPr>
            </w:pPr>
          </w:p>
        </w:tc>
        <w:tc>
          <w:tcPr>
            <w:tcW w:w="624" w:type="dxa"/>
            <w:tcMar>
              <w:top w:w="91" w:type="dxa"/>
              <w:left w:w="0" w:type="dxa"/>
              <w:bottom w:w="91" w:type="dxa"/>
              <w:right w:w="0" w:type="dxa"/>
            </w:tcMar>
          </w:tcPr>
          <w:p w14:paraId="6C2E3B4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4A3EC14"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5FA48F69" w14:textId="77777777" w:rsidR="00BF4529" w:rsidRDefault="00BF4529" w:rsidP="00BF4529">
            <w:pPr>
              <w:pStyle w:val="TableBlock"/>
              <w:spacing w:before="0"/>
              <w:rPr>
                <w:sz w:val="26"/>
                <w:rtl/>
              </w:rPr>
            </w:pPr>
            <w:r>
              <w:rPr>
                <w:rFonts w:hint="cs"/>
                <w:sz w:val="26"/>
                <w:rtl/>
              </w:rPr>
              <w:t>(1)</w:t>
            </w:r>
            <w:r>
              <w:rPr>
                <w:rFonts w:hint="cs"/>
                <w:sz w:val="26"/>
                <w:rtl/>
              </w:rPr>
              <w:tab/>
              <w:t>מסמכויות המועצה להשכלה גבוהה או ועדה מוועדותיה כאמור בסעיף 17א לחוק המועצה להשכלה גבוהה, לפי כל דין ולפי החלטות הממשלה;</w:t>
            </w:r>
          </w:p>
        </w:tc>
      </w:tr>
      <w:tr w:rsidR="00BF4529" w14:paraId="2CEC5C04" w14:textId="77777777" w:rsidTr="00BF4529">
        <w:trPr>
          <w:cantSplit/>
        </w:trPr>
        <w:tc>
          <w:tcPr>
            <w:tcW w:w="1871" w:type="dxa"/>
            <w:tcMar>
              <w:top w:w="91" w:type="dxa"/>
              <w:left w:w="0" w:type="dxa"/>
              <w:bottom w:w="91" w:type="dxa"/>
              <w:right w:w="0" w:type="dxa"/>
            </w:tcMar>
          </w:tcPr>
          <w:p w14:paraId="79601E61" w14:textId="77777777" w:rsidR="00BF4529" w:rsidRDefault="00BF4529" w:rsidP="00BF4529">
            <w:pPr>
              <w:pStyle w:val="TableSideHeading"/>
              <w:spacing w:before="0"/>
              <w:jc w:val="left"/>
              <w:rPr>
                <w:sz w:val="26"/>
                <w:highlight w:val="green"/>
                <w:rtl/>
              </w:rPr>
            </w:pPr>
          </w:p>
        </w:tc>
        <w:tc>
          <w:tcPr>
            <w:tcW w:w="624" w:type="dxa"/>
            <w:tcMar>
              <w:top w:w="91" w:type="dxa"/>
              <w:left w:w="0" w:type="dxa"/>
              <w:bottom w:w="91" w:type="dxa"/>
              <w:right w:w="0" w:type="dxa"/>
            </w:tcMar>
          </w:tcPr>
          <w:p w14:paraId="777A6DB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ECFF6B3"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B37F62F" w14:textId="77777777" w:rsidR="00BF4529" w:rsidRDefault="00BF4529" w:rsidP="00BF4529">
            <w:pPr>
              <w:pStyle w:val="TableBlock"/>
              <w:spacing w:before="0"/>
              <w:rPr>
                <w:sz w:val="26"/>
                <w:rtl/>
              </w:rPr>
            </w:pPr>
            <w:r>
              <w:rPr>
                <w:rFonts w:hint="cs"/>
                <w:sz w:val="26"/>
                <w:rtl/>
              </w:rPr>
              <w:t>(2)</w:t>
            </w:r>
            <w:r>
              <w:rPr>
                <w:rFonts w:hint="cs"/>
                <w:sz w:val="26"/>
                <w:rtl/>
              </w:rPr>
              <w:tab/>
              <w:t>מסמכויות הנתונות למשרדי הממשלה לפי כל דין או לפי החלטות הממשלה שהתקבלו עד יום י"ט באלול התשע"ד (14 בספטמבר 2014), בדבר העברת סמכויות משר אחד למשנהו או בדבר העברת שטחי פעולה ממשרד למשרד מכוח סעיף 31 לחוק-יסוד: הממשלה‏</w:t>
            </w:r>
            <w:r>
              <w:rPr>
                <w:rStyle w:val="ab"/>
                <w:rFonts w:hAnsi="HadasaMFO"/>
                <w:sz w:val="26"/>
                <w:rtl/>
              </w:rPr>
              <w:footnoteReference w:id="24"/>
            </w:r>
            <w:r>
              <w:rPr>
                <w:rFonts w:hint="cs"/>
                <w:sz w:val="26"/>
                <w:rtl/>
              </w:rPr>
              <w:t>, ומסמכויות, תחומים ושטחי פעולה שהיה ניתן להקנות עד לתאריך האמור, למשרדי הממשלה, לרבות בהחלטות הממשלה מכוח הסעיף האמור, והכול בשים לב לסמכויות שהיו נתונות למינהל למחקר ופיתוח תעשייתי במשרד הכלכלה לפי חוק זה עד לתאריך האמור."</w:t>
            </w:r>
          </w:p>
        </w:tc>
      </w:tr>
      <w:tr w:rsidR="00BF4529" w14:paraId="5175A1C2" w14:textId="77777777" w:rsidTr="00BF4529">
        <w:trPr>
          <w:cantSplit/>
        </w:trPr>
        <w:tc>
          <w:tcPr>
            <w:tcW w:w="1871" w:type="dxa"/>
            <w:tcMar>
              <w:top w:w="91" w:type="dxa"/>
              <w:left w:w="0" w:type="dxa"/>
              <w:bottom w:w="91" w:type="dxa"/>
              <w:right w:w="0" w:type="dxa"/>
            </w:tcMar>
            <w:hideMark/>
          </w:tcPr>
          <w:p w14:paraId="0292D182" w14:textId="77777777" w:rsidR="00BF4529" w:rsidRDefault="00BF4529" w:rsidP="00BF4529">
            <w:pPr>
              <w:pStyle w:val="TableSideHeading"/>
              <w:spacing w:before="0"/>
              <w:jc w:val="left"/>
              <w:rPr>
                <w:sz w:val="26"/>
                <w:rtl/>
              </w:rPr>
            </w:pPr>
            <w:r>
              <w:rPr>
                <w:rFonts w:hint="cs"/>
                <w:sz w:val="26"/>
                <w:rtl/>
              </w:rPr>
              <w:t>החלפת סעיף 52</w:t>
            </w:r>
          </w:p>
        </w:tc>
        <w:tc>
          <w:tcPr>
            <w:tcW w:w="624" w:type="dxa"/>
            <w:tcMar>
              <w:top w:w="91" w:type="dxa"/>
              <w:left w:w="0" w:type="dxa"/>
              <w:bottom w:w="91" w:type="dxa"/>
              <w:right w:w="0" w:type="dxa"/>
            </w:tcMar>
            <w:hideMark/>
          </w:tcPr>
          <w:p w14:paraId="557C29B7" w14:textId="77777777" w:rsidR="00BF4529" w:rsidRDefault="00BF4529" w:rsidP="00BF4529">
            <w:pPr>
              <w:pStyle w:val="TableText"/>
              <w:spacing w:before="0"/>
              <w:rPr>
                <w:sz w:val="26"/>
                <w:rtl/>
              </w:rPr>
            </w:pPr>
            <w:r>
              <w:rPr>
                <w:rFonts w:hint="cs"/>
                <w:sz w:val="26"/>
                <w:rtl/>
              </w:rPr>
              <w:t>50.</w:t>
            </w:r>
          </w:p>
        </w:tc>
        <w:tc>
          <w:tcPr>
            <w:tcW w:w="7146" w:type="dxa"/>
            <w:gridSpan w:val="7"/>
            <w:tcMar>
              <w:top w:w="91" w:type="dxa"/>
              <w:left w:w="0" w:type="dxa"/>
              <w:bottom w:w="91" w:type="dxa"/>
              <w:right w:w="0" w:type="dxa"/>
            </w:tcMar>
            <w:hideMark/>
          </w:tcPr>
          <w:p w14:paraId="175921E2" w14:textId="77777777" w:rsidR="00BF4529" w:rsidRDefault="00BF4529" w:rsidP="00BF4529">
            <w:pPr>
              <w:pStyle w:val="TableBlock"/>
              <w:spacing w:before="0"/>
              <w:rPr>
                <w:sz w:val="26"/>
                <w:rtl/>
              </w:rPr>
            </w:pPr>
            <w:r>
              <w:rPr>
                <w:rFonts w:hint="cs"/>
                <w:sz w:val="26"/>
                <w:rtl/>
              </w:rPr>
              <w:t xml:space="preserve">במקום סעיף 52 לחוק העיקרי יבוא: </w:t>
            </w:r>
          </w:p>
        </w:tc>
      </w:tr>
      <w:tr w:rsidR="00BF4529" w14:paraId="3BCA5C3E" w14:textId="77777777" w:rsidTr="00BF4529">
        <w:trPr>
          <w:cantSplit/>
        </w:trPr>
        <w:tc>
          <w:tcPr>
            <w:tcW w:w="1871" w:type="dxa"/>
            <w:tcMar>
              <w:top w:w="91" w:type="dxa"/>
              <w:left w:w="0" w:type="dxa"/>
              <w:bottom w:w="91" w:type="dxa"/>
              <w:right w:w="0" w:type="dxa"/>
            </w:tcMar>
          </w:tcPr>
          <w:p w14:paraId="28CB7455" w14:textId="77777777" w:rsidR="00BF4529" w:rsidRDefault="00BF4529" w:rsidP="00BF4529">
            <w:pPr>
              <w:pStyle w:val="TableSideHeading"/>
              <w:spacing w:before="0" w:line="276" w:lineRule="auto"/>
              <w:jc w:val="left"/>
              <w:rPr>
                <w:sz w:val="26"/>
                <w:rtl/>
              </w:rPr>
            </w:pPr>
          </w:p>
        </w:tc>
        <w:tc>
          <w:tcPr>
            <w:tcW w:w="624" w:type="dxa"/>
            <w:tcMar>
              <w:top w:w="91" w:type="dxa"/>
              <w:left w:w="0" w:type="dxa"/>
              <w:bottom w:w="91" w:type="dxa"/>
              <w:right w:w="0" w:type="dxa"/>
            </w:tcMar>
          </w:tcPr>
          <w:p w14:paraId="203AA717" w14:textId="77777777" w:rsidR="00BF4529" w:rsidRDefault="00BF4529" w:rsidP="00BF4529">
            <w:pPr>
              <w:pStyle w:val="TableText"/>
              <w:spacing w:before="0"/>
              <w:rPr>
                <w:sz w:val="26"/>
                <w:rtl/>
              </w:rPr>
            </w:pPr>
          </w:p>
        </w:tc>
        <w:tc>
          <w:tcPr>
            <w:tcW w:w="1872" w:type="dxa"/>
            <w:gridSpan w:val="3"/>
            <w:tcMar>
              <w:top w:w="91" w:type="dxa"/>
              <w:left w:w="0" w:type="dxa"/>
              <w:bottom w:w="91" w:type="dxa"/>
              <w:right w:w="0" w:type="dxa"/>
            </w:tcMar>
            <w:hideMark/>
          </w:tcPr>
          <w:p w14:paraId="0528D867" w14:textId="77777777" w:rsidR="00BF4529" w:rsidRDefault="00BF4529" w:rsidP="00BF4529">
            <w:pPr>
              <w:pStyle w:val="TableInnerSideHeading"/>
              <w:spacing w:before="0"/>
              <w:jc w:val="left"/>
              <w:rPr>
                <w:sz w:val="26"/>
                <w:rtl/>
              </w:rPr>
            </w:pPr>
            <w:r>
              <w:rPr>
                <w:rFonts w:hint="cs"/>
                <w:sz w:val="26"/>
                <w:rtl/>
              </w:rPr>
              <w:t>"אגרות</w:t>
            </w:r>
          </w:p>
        </w:tc>
        <w:tc>
          <w:tcPr>
            <w:tcW w:w="624" w:type="dxa"/>
            <w:tcMar>
              <w:top w:w="91" w:type="dxa"/>
              <w:left w:w="0" w:type="dxa"/>
              <w:bottom w:w="91" w:type="dxa"/>
              <w:right w:w="0" w:type="dxa"/>
            </w:tcMar>
            <w:hideMark/>
          </w:tcPr>
          <w:p w14:paraId="0B029FFE" w14:textId="77777777" w:rsidR="00BF4529" w:rsidRDefault="00BF4529" w:rsidP="00BF4529">
            <w:pPr>
              <w:pStyle w:val="TableText"/>
              <w:spacing w:before="0"/>
              <w:rPr>
                <w:sz w:val="26"/>
                <w:rtl/>
              </w:rPr>
            </w:pPr>
            <w:r>
              <w:rPr>
                <w:rFonts w:hint="cs"/>
                <w:sz w:val="26"/>
                <w:rtl/>
              </w:rPr>
              <w:t>52.</w:t>
            </w:r>
          </w:p>
        </w:tc>
        <w:tc>
          <w:tcPr>
            <w:tcW w:w="4650" w:type="dxa"/>
            <w:gridSpan w:val="3"/>
            <w:tcMar>
              <w:top w:w="91" w:type="dxa"/>
              <w:left w:w="0" w:type="dxa"/>
              <w:bottom w:w="91" w:type="dxa"/>
              <w:right w:w="0" w:type="dxa"/>
            </w:tcMar>
            <w:hideMark/>
          </w:tcPr>
          <w:p w14:paraId="7EC08C11" w14:textId="77777777" w:rsidR="00BF4529" w:rsidRDefault="00BF4529" w:rsidP="00BF4529">
            <w:pPr>
              <w:pStyle w:val="TableBlock"/>
              <w:spacing w:before="0"/>
              <w:rPr>
                <w:sz w:val="26"/>
                <w:rtl/>
              </w:rPr>
            </w:pPr>
            <w:r>
              <w:rPr>
                <w:rFonts w:hint="cs"/>
                <w:sz w:val="26"/>
                <w:rtl/>
              </w:rPr>
              <w:t>השרים, באישור ועדת הכספים של הכנסת, רשאים לקבוע אגרות בעד טיפול בבקשות לפי חוק זה או כל שירות אחר הניתן על ידי הרשות."</w:t>
            </w:r>
          </w:p>
        </w:tc>
      </w:tr>
      <w:tr w:rsidR="00BF4529" w14:paraId="06B69352" w14:textId="77777777" w:rsidTr="00BF4529">
        <w:trPr>
          <w:cantSplit/>
        </w:trPr>
        <w:tc>
          <w:tcPr>
            <w:tcW w:w="1871" w:type="dxa"/>
            <w:tcMar>
              <w:top w:w="91" w:type="dxa"/>
              <w:left w:w="0" w:type="dxa"/>
              <w:bottom w:w="91" w:type="dxa"/>
              <w:right w:w="0" w:type="dxa"/>
            </w:tcMar>
            <w:hideMark/>
          </w:tcPr>
          <w:p w14:paraId="5D4177EF" w14:textId="77777777" w:rsidR="00BF4529" w:rsidRDefault="00BF4529" w:rsidP="00BF4529">
            <w:pPr>
              <w:pStyle w:val="TableSideHeading"/>
              <w:spacing w:before="0"/>
              <w:jc w:val="left"/>
              <w:rPr>
                <w:sz w:val="26"/>
                <w:rtl/>
              </w:rPr>
            </w:pPr>
            <w:r>
              <w:rPr>
                <w:rFonts w:hint="cs"/>
                <w:sz w:val="26"/>
                <w:rtl/>
              </w:rPr>
              <w:t>הוספת סעיף 54</w:t>
            </w:r>
          </w:p>
        </w:tc>
        <w:tc>
          <w:tcPr>
            <w:tcW w:w="624" w:type="dxa"/>
            <w:tcMar>
              <w:top w:w="91" w:type="dxa"/>
              <w:left w:w="0" w:type="dxa"/>
              <w:bottom w:w="91" w:type="dxa"/>
              <w:right w:w="0" w:type="dxa"/>
            </w:tcMar>
            <w:hideMark/>
          </w:tcPr>
          <w:p w14:paraId="33A2FB9E" w14:textId="77777777" w:rsidR="00BF4529" w:rsidRDefault="00BF4529" w:rsidP="00BF4529">
            <w:pPr>
              <w:pStyle w:val="TableText"/>
              <w:spacing w:before="0"/>
              <w:rPr>
                <w:sz w:val="26"/>
                <w:rtl/>
              </w:rPr>
            </w:pPr>
            <w:r>
              <w:rPr>
                <w:rFonts w:hint="cs"/>
                <w:sz w:val="26"/>
                <w:rtl/>
              </w:rPr>
              <w:t>51.</w:t>
            </w:r>
          </w:p>
        </w:tc>
        <w:tc>
          <w:tcPr>
            <w:tcW w:w="7146" w:type="dxa"/>
            <w:gridSpan w:val="7"/>
            <w:tcMar>
              <w:top w:w="91" w:type="dxa"/>
              <w:left w:w="0" w:type="dxa"/>
              <w:bottom w:w="91" w:type="dxa"/>
              <w:right w:w="0" w:type="dxa"/>
            </w:tcMar>
            <w:hideMark/>
          </w:tcPr>
          <w:p w14:paraId="0E9BB68A" w14:textId="77777777" w:rsidR="00BF4529" w:rsidRDefault="00BF4529" w:rsidP="00BF4529">
            <w:pPr>
              <w:pStyle w:val="TableBlock"/>
              <w:spacing w:before="0"/>
              <w:rPr>
                <w:sz w:val="26"/>
                <w:rtl/>
              </w:rPr>
            </w:pPr>
            <w:r>
              <w:rPr>
                <w:rFonts w:hint="cs"/>
                <w:sz w:val="26"/>
                <w:rtl/>
              </w:rPr>
              <w:t>אחרי סעיף 53 לחוק העיקרי יבוא:</w:t>
            </w:r>
          </w:p>
        </w:tc>
      </w:tr>
      <w:tr w:rsidR="00BF4529" w14:paraId="29B766D8" w14:textId="77777777" w:rsidTr="00BF4529">
        <w:trPr>
          <w:cantSplit/>
          <w:trHeight w:val="60"/>
        </w:trPr>
        <w:tc>
          <w:tcPr>
            <w:tcW w:w="1871" w:type="dxa"/>
          </w:tcPr>
          <w:p w14:paraId="253E5355" w14:textId="77777777" w:rsidR="00BF4529" w:rsidRDefault="00BF4529" w:rsidP="00BF4529">
            <w:pPr>
              <w:pStyle w:val="TableSideHeading"/>
              <w:keepLines w:val="0"/>
              <w:spacing w:before="0"/>
              <w:jc w:val="left"/>
              <w:rPr>
                <w:rtl/>
              </w:rPr>
            </w:pPr>
          </w:p>
        </w:tc>
        <w:tc>
          <w:tcPr>
            <w:tcW w:w="624" w:type="dxa"/>
          </w:tcPr>
          <w:p w14:paraId="630FB39A" w14:textId="77777777" w:rsidR="00BF4529" w:rsidRDefault="00BF4529" w:rsidP="00BF4529">
            <w:pPr>
              <w:pStyle w:val="TableText"/>
              <w:keepLines w:val="0"/>
              <w:spacing w:before="0"/>
            </w:pPr>
          </w:p>
        </w:tc>
        <w:tc>
          <w:tcPr>
            <w:tcW w:w="1872" w:type="dxa"/>
            <w:gridSpan w:val="3"/>
            <w:hideMark/>
          </w:tcPr>
          <w:p w14:paraId="6C69FEF9" w14:textId="77777777" w:rsidR="00BF4529" w:rsidRDefault="00BF4529" w:rsidP="00BF4529">
            <w:pPr>
              <w:pStyle w:val="TableInnerSideHeading"/>
              <w:spacing w:before="0"/>
              <w:jc w:val="left"/>
            </w:pPr>
            <w:r>
              <w:rPr>
                <w:rFonts w:hint="cs"/>
                <w:rtl/>
              </w:rPr>
              <w:t>"דיווח לממשלה ולכנסת</w:t>
            </w:r>
          </w:p>
        </w:tc>
        <w:tc>
          <w:tcPr>
            <w:tcW w:w="624" w:type="dxa"/>
            <w:hideMark/>
          </w:tcPr>
          <w:p w14:paraId="3967831B" w14:textId="11BCA976" w:rsidR="00BF4529" w:rsidRDefault="00C6213D" w:rsidP="00BF4529">
            <w:pPr>
              <w:pStyle w:val="TableText"/>
              <w:spacing w:before="0"/>
              <w:rPr>
                <w:rtl/>
              </w:rPr>
            </w:pPr>
            <w:r>
              <w:rPr>
                <w:rFonts w:hint="cs"/>
                <w:rtl/>
              </w:rPr>
              <w:t>54.</w:t>
            </w:r>
          </w:p>
        </w:tc>
        <w:tc>
          <w:tcPr>
            <w:tcW w:w="4650" w:type="dxa"/>
            <w:gridSpan w:val="3"/>
            <w:hideMark/>
          </w:tcPr>
          <w:p w14:paraId="531D64F8" w14:textId="77777777" w:rsidR="00BF4529" w:rsidRDefault="00BF4529" w:rsidP="00BF4529">
            <w:pPr>
              <w:pStyle w:val="TableBlock"/>
              <w:spacing w:before="0"/>
              <w:rPr>
                <w:rtl/>
              </w:rPr>
            </w:pPr>
            <w:r>
              <w:rPr>
                <w:rFonts w:hint="cs"/>
                <w:sz w:val="26"/>
                <w:rtl/>
              </w:rPr>
              <w:t>(א)</w:t>
            </w:r>
            <w:r>
              <w:rPr>
                <w:rFonts w:hint="cs"/>
                <w:sz w:val="26"/>
                <w:rtl/>
              </w:rPr>
              <w:tab/>
              <w:t>ראש הרשות ידווח, מדי שנה, לשר הכלכלה ולשר האוצר על כל אלה:</w:t>
            </w:r>
          </w:p>
        </w:tc>
      </w:tr>
      <w:tr w:rsidR="00BF4529" w14:paraId="093FC21D" w14:textId="77777777" w:rsidTr="00BF4529">
        <w:trPr>
          <w:cantSplit/>
          <w:trHeight w:val="60"/>
        </w:trPr>
        <w:tc>
          <w:tcPr>
            <w:tcW w:w="1871" w:type="dxa"/>
          </w:tcPr>
          <w:p w14:paraId="7BF143C2" w14:textId="77777777" w:rsidR="00BF4529" w:rsidRDefault="00BF4529" w:rsidP="00BF4529">
            <w:pPr>
              <w:pStyle w:val="TableBlock"/>
              <w:spacing w:before="0"/>
              <w:jc w:val="left"/>
              <w:rPr>
                <w:rtl/>
              </w:rPr>
            </w:pPr>
          </w:p>
        </w:tc>
        <w:tc>
          <w:tcPr>
            <w:tcW w:w="624" w:type="dxa"/>
          </w:tcPr>
          <w:p w14:paraId="71C15AC4" w14:textId="77777777" w:rsidR="00BF4529" w:rsidRDefault="00BF4529" w:rsidP="00BF4529">
            <w:pPr>
              <w:pStyle w:val="TableText"/>
              <w:spacing w:before="0"/>
              <w:ind w:right="0"/>
            </w:pPr>
          </w:p>
        </w:tc>
        <w:tc>
          <w:tcPr>
            <w:tcW w:w="624" w:type="dxa"/>
          </w:tcPr>
          <w:p w14:paraId="21C4039F" w14:textId="77777777" w:rsidR="00BF4529" w:rsidRDefault="00BF4529" w:rsidP="00BF4529">
            <w:pPr>
              <w:pStyle w:val="TableText"/>
              <w:spacing w:before="0"/>
              <w:ind w:right="0"/>
            </w:pPr>
          </w:p>
        </w:tc>
        <w:tc>
          <w:tcPr>
            <w:tcW w:w="624" w:type="dxa"/>
          </w:tcPr>
          <w:p w14:paraId="77CBAC52" w14:textId="77777777" w:rsidR="00BF4529" w:rsidRDefault="00BF4529" w:rsidP="00BF4529">
            <w:pPr>
              <w:pStyle w:val="TableText"/>
              <w:spacing w:before="0"/>
              <w:ind w:right="0"/>
            </w:pPr>
          </w:p>
        </w:tc>
        <w:tc>
          <w:tcPr>
            <w:tcW w:w="624" w:type="dxa"/>
          </w:tcPr>
          <w:p w14:paraId="5B9EC384" w14:textId="77777777" w:rsidR="00BF4529" w:rsidRDefault="00BF4529" w:rsidP="00BF4529">
            <w:pPr>
              <w:pStyle w:val="TableText"/>
              <w:spacing w:before="0"/>
              <w:ind w:right="0"/>
            </w:pPr>
          </w:p>
        </w:tc>
        <w:tc>
          <w:tcPr>
            <w:tcW w:w="624" w:type="dxa"/>
          </w:tcPr>
          <w:p w14:paraId="74BF975C" w14:textId="77777777" w:rsidR="00BF4529" w:rsidRDefault="00BF4529" w:rsidP="00BF4529">
            <w:pPr>
              <w:pStyle w:val="TableText"/>
              <w:spacing w:before="0"/>
              <w:ind w:right="0"/>
            </w:pPr>
          </w:p>
        </w:tc>
        <w:tc>
          <w:tcPr>
            <w:tcW w:w="624" w:type="dxa"/>
          </w:tcPr>
          <w:p w14:paraId="751EA0A6" w14:textId="77777777" w:rsidR="00BF4529" w:rsidRDefault="00BF4529" w:rsidP="00BF4529">
            <w:pPr>
              <w:pStyle w:val="TableText"/>
              <w:spacing w:before="0"/>
              <w:ind w:right="0"/>
            </w:pPr>
          </w:p>
        </w:tc>
        <w:tc>
          <w:tcPr>
            <w:tcW w:w="4026" w:type="dxa"/>
            <w:gridSpan w:val="2"/>
            <w:hideMark/>
          </w:tcPr>
          <w:p w14:paraId="330606CD" w14:textId="77777777" w:rsidR="00BF4529" w:rsidRDefault="00BF4529" w:rsidP="00BF4529">
            <w:pPr>
              <w:pStyle w:val="TableText"/>
              <w:spacing w:before="0"/>
              <w:ind w:right="0"/>
            </w:pPr>
            <w:r>
              <w:rPr>
                <w:rFonts w:hint="cs"/>
                <w:sz w:val="26"/>
                <w:rtl/>
              </w:rPr>
              <w:t>(1)</w:t>
            </w:r>
            <w:r>
              <w:rPr>
                <w:rFonts w:hint="cs"/>
                <w:sz w:val="26"/>
                <w:rtl/>
              </w:rPr>
              <w:tab/>
              <w:t>התפתחות החדשנות הטכנולוגית בענפי התעשייה ובענפי השירותים בה;</w:t>
            </w:r>
          </w:p>
        </w:tc>
      </w:tr>
      <w:tr w:rsidR="00BF4529" w14:paraId="101B7B16" w14:textId="77777777" w:rsidTr="00BF4529">
        <w:trPr>
          <w:cantSplit/>
          <w:trHeight w:val="60"/>
        </w:trPr>
        <w:tc>
          <w:tcPr>
            <w:tcW w:w="1871" w:type="dxa"/>
          </w:tcPr>
          <w:p w14:paraId="6E068BA1" w14:textId="77777777" w:rsidR="00BF4529" w:rsidRDefault="00BF4529" w:rsidP="00BF4529">
            <w:pPr>
              <w:pStyle w:val="TableBlock"/>
              <w:spacing w:before="0"/>
              <w:jc w:val="left"/>
              <w:rPr>
                <w:rtl/>
              </w:rPr>
            </w:pPr>
          </w:p>
        </w:tc>
        <w:tc>
          <w:tcPr>
            <w:tcW w:w="624" w:type="dxa"/>
          </w:tcPr>
          <w:p w14:paraId="0C278911" w14:textId="77777777" w:rsidR="00BF4529" w:rsidRDefault="00BF4529" w:rsidP="00BF4529">
            <w:pPr>
              <w:pStyle w:val="TableText"/>
              <w:spacing w:before="0"/>
              <w:rPr>
                <w:rtl/>
              </w:rPr>
            </w:pPr>
          </w:p>
        </w:tc>
        <w:tc>
          <w:tcPr>
            <w:tcW w:w="624" w:type="dxa"/>
          </w:tcPr>
          <w:p w14:paraId="63C2021A" w14:textId="77777777" w:rsidR="00BF4529" w:rsidRDefault="00BF4529" w:rsidP="00BF4529">
            <w:pPr>
              <w:pStyle w:val="TableText"/>
              <w:spacing w:before="0"/>
              <w:ind w:right="0"/>
            </w:pPr>
          </w:p>
        </w:tc>
        <w:tc>
          <w:tcPr>
            <w:tcW w:w="624" w:type="dxa"/>
          </w:tcPr>
          <w:p w14:paraId="24D790BD" w14:textId="77777777" w:rsidR="00BF4529" w:rsidRDefault="00BF4529" w:rsidP="00BF4529">
            <w:pPr>
              <w:pStyle w:val="TableText"/>
              <w:spacing w:before="0"/>
              <w:ind w:right="0"/>
            </w:pPr>
          </w:p>
        </w:tc>
        <w:tc>
          <w:tcPr>
            <w:tcW w:w="624" w:type="dxa"/>
          </w:tcPr>
          <w:p w14:paraId="7CD86EB6" w14:textId="77777777" w:rsidR="00BF4529" w:rsidRDefault="00BF4529" w:rsidP="00BF4529">
            <w:pPr>
              <w:pStyle w:val="TableText"/>
              <w:spacing w:before="0"/>
              <w:ind w:right="0"/>
            </w:pPr>
          </w:p>
        </w:tc>
        <w:tc>
          <w:tcPr>
            <w:tcW w:w="624" w:type="dxa"/>
          </w:tcPr>
          <w:p w14:paraId="161C23F8" w14:textId="77777777" w:rsidR="00BF4529" w:rsidRDefault="00BF4529" w:rsidP="00BF4529">
            <w:pPr>
              <w:pStyle w:val="TableText"/>
              <w:spacing w:before="0"/>
              <w:ind w:right="0"/>
            </w:pPr>
          </w:p>
        </w:tc>
        <w:tc>
          <w:tcPr>
            <w:tcW w:w="624" w:type="dxa"/>
          </w:tcPr>
          <w:p w14:paraId="509CB1A4" w14:textId="77777777" w:rsidR="00BF4529" w:rsidRDefault="00BF4529" w:rsidP="00BF4529">
            <w:pPr>
              <w:pStyle w:val="TableText"/>
              <w:spacing w:before="0"/>
              <w:ind w:right="0"/>
            </w:pPr>
          </w:p>
        </w:tc>
        <w:tc>
          <w:tcPr>
            <w:tcW w:w="4026" w:type="dxa"/>
            <w:gridSpan w:val="2"/>
            <w:hideMark/>
          </w:tcPr>
          <w:p w14:paraId="2657C489" w14:textId="77777777" w:rsidR="00BF4529" w:rsidRDefault="00BF4529" w:rsidP="00BF4529">
            <w:pPr>
              <w:pStyle w:val="TableText"/>
              <w:spacing w:before="0"/>
              <w:ind w:right="0"/>
              <w:rPr>
                <w:sz w:val="26"/>
              </w:rPr>
            </w:pPr>
            <w:r>
              <w:rPr>
                <w:rFonts w:hint="cs"/>
                <w:sz w:val="26"/>
                <w:rtl/>
              </w:rPr>
              <w:t>(2)</w:t>
            </w:r>
            <w:r>
              <w:rPr>
                <w:rFonts w:hint="cs"/>
                <w:sz w:val="26"/>
                <w:rtl/>
              </w:rPr>
              <w:tab/>
              <w:t>מסלולי ההטבות שהמועצה קבעה בשנה שקדמה למועד הדיווח, מטרותיהם ויעדיהם;</w:t>
            </w:r>
          </w:p>
        </w:tc>
      </w:tr>
      <w:tr w:rsidR="00BF4529" w14:paraId="3534014B" w14:textId="77777777" w:rsidTr="00BF4529">
        <w:trPr>
          <w:cantSplit/>
          <w:trHeight w:val="60"/>
        </w:trPr>
        <w:tc>
          <w:tcPr>
            <w:tcW w:w="1871" w:type="dxa"/>
          </w:tcPr>
          <w:p w14:paraId="094DC121" w14:textId="77777777" w:rsidR="00BF4529" w:rsidRDefault="00BF4529" w:rsidP="00BF4529">
            <w:pPr>
              <w:pStyle w:val="TableBlock"/>
              <w:spacing w:before="0"/>
              <w:jc w:val="left"/>
              <w:rPr>
                <w:rtl/>
              </w:rPr>
            </w:pPr>
          </w:p>
        </w:tc>
        <w:tc>
          <w:tcPr>
            <w:tcW w:w="624" w:type="dxa"/>
          </w:tcPr>
          <w:p w14:paraId="06F6C311" w14:textId="77777777" w:rsidR="00BF4529" w:rsidRDefault="00BF4529" w:rsidP="00BF4529">
            <w:pPr>
              <w:pStyle w:val="TableText"/>
              <w:spacing w:before="0"/>
              <w:rPr>
                <w:rtl/>
              </w:rPr>
            </w:pPr>
          </w:p>
        </w:tc>
        <w:tc>
          <w:tcPr>
            <w:tcW w:w="624" w:type="dxa"/>
          </w:tcPr>
          <w:p w14:paraId="43A61FDE" w14:textId="77777777" w:rsidR="00BF4529" w:rsidRDefault="00BF4529" w:rsidP="00BF4529">
            <w:pPr>
              <w:pStyle w:val="TableText"/>
              <w:spacing w:before="0"/>
              <w:ind w:right="0"/>
            </w:pPr>
          </w:p>
        </w:tc>
        <w:tc>
          <w:tcPr>
            <w:tcW w:w="624" w:type="dxa"/>
          </w:tcPr>
          <w:p w14:paraId="5721666E" w14:textId="77777777" w:rsidR="00BF4529" w:rsidRDefault="00BF4529" w:rsidP="00BF4529">
            <w:pPr>
              <w:pStyle w:val="TableText"/>
              <w:spacing w:before="0"/>
              <w:ind w:right="0"/>
            </w:pPr>
          </w:p>
        </w:tc>
        <w:tc>
          <w:tcPr>
            <w:tcW w:w="624" w:type="dxa"/>
          </w:tcPr>
          <w:p w14:paraId="3763818C" w14:textId="77777777" w:rsidR="00BF4529" w:rsidRDefault="00BF4529" w:rsidP="00BF4529">
            <w:pPr>
              <w:pStyle w:val="TableText"/>
              <w:spacing w:before="0"/>
              <w:ind w:right="0"/>
            </w:pPr>
          </w:p>
        </w:tc>
        <w:tc>
          <w:tcPr>
            <w:tcW w:w="624" w:type="dxa"/>
          </w:tcPr>
          <w:p w14:paraId="7F6DADCC" w14:textId="77777777" w:rsidR="00BF4529" w:rsidRDefault="00BF4529" w:rsidP="00BF4529">
            <w:pPr>
              <w:pStyle w:val="TableText"/>
              <w:spacing w:before="0"/>
              <w:ind w:right="0"/>
            </w:pPr>
          </w:p>
        </w:tc>
        <w:tc>
          <w:tcPr>
            <w:tcW w:w="624" w:type="dxa"/>
          </w:tcPr>
          <w:p w14:paraId="2DB1786D" w14:textId="77777777" w:rsidR="00BF4529" w:rsidRDefault="00BF4529" w:rsidP="00BF4529">
            <w:pPr>
              <w:pStyle w:val="TableText"/>
              <w:spacing w:before="0"/>
              <w:ind w:right="0"/>
            </w:pPr>
          </w:p>
        </w:tc>
        <w:tc>
          <w:tcPr>
            <w:tcW w:w="4026" w:type="dxa"/>
            <w:gridSpan w:val="2"/>
            <w:hideMark/>
          </w:tcPr>
          <w:p w14:paraId="0C65B741" w14:textId="77777777" w:rsidR="00BF4529" w:rsidRDefault="00BF4529" w:rsidP="00BF4529">
            <w:pPr>
              <w:pStyle w:val="TableText"/>
              <w:spacing w:before="0"/>
              <w:ind w:right="0"/>
              <w:rPr>
                <w:sz w:val="26"/>
              </w:rPr>
            </w:pPr>
            <w:r>
              <w:rPr>
                <w:rFonts w:hint="cs"/>
                <w:sz w:val="26"/>
                <w:rtl/>
              </w:rPr>
              <w:t>(3)</w:t>
            </w:r>
            <w:r>
              <w:rPr>
                <w:rFonts w:hint="cs"/>
                <w:sz w:val="26"/>
                <w:rtl/>
              </w:rPr>
              <w:tab/>
              <w:t>הערכת פעילות מסלולי ההטבה והשפעותיהם על פי מטרותיהם;</w:t>
            </w:r>
          </w:p>
        </w:tc>
      </w:tr>
      <w:tr w:rsidR="00BF4529" w14:paraId="44DD31D6" w14:textId="77777777" w:rsidTr="00BF4529">
        <w:trPr>
          <w:cantSplit/>
          <w:trHeight w:val="60"/>
        </w:trPr>
        <w:tc>
          <w:tcPr>
            <w:tcW w:w="1871" w:type="dxa"/>
          </w:tcPr>
          <w:p w14:paraId="27227B6E" w14:textId="77777777" w:rsidR="00BF4529" w:rsidRDefault="00BF4529" w:rsidP="00BF4529">
            <w:pPr>
              <w:pStyle w:val="TableBlock"/>
              <w:spacing w:before="0"/>
              <w:jc w:val="left"/>
              <w:rPr>
                <w:rtl/>
              </w:rPr>
            </w:pPr>
          </w:p>
        </w:tc>
        <w:tc>
          <w:tcPr>
            <w:tcW w:w="624" w:type="dxa"/>
          </w:tcPr>
          <w:p w14:paraId="70E5F4FD" w14:textId="77777777" w:rsidR="00BF4529" w:rsidRDefault="00BF4529" w:rsidP="00BF4529">
            <w:pPr>
              <w:pStyle w:val="TableText"/>
              <w:spacing w:before="0"/>
              <w:rPr>
                <w:rtl/>
              </w:rPr>
            </w:pPr>
          </w:p>
        </w:tc>
        <w:tc>
          <w:tcPr>
            <w:tcW w:w="624" w:type="dxa"/>
          </w:tcPr>
          <w:p w14:paraId="40F4796F" w14:textId="77777777" w:rsidR="00BF4529" w:rsidRDefault="00BF4529" w:rsidP="00BF4529">
            <w:pPr>
              <w:pStyle w:val="TableText"/>
              <w:spacing w:before="0"/>
              <w:ind w:right="0"/>
            </w:pPr>
          </w:p>
        </w:tc>
        <w:tc>
          <w:tcPr>
            <w:tcW w:w="624" w:type="dxa"/>
          </w:tcPr>
          <w:p w14:paraId="7DE363F9" w14:textId="77777777" w:rsidR="00BF4529" w:rsidRDefault="00BF4529" w:rsidP="00BF4529">
            <w:pPr>
              <w:pStyle w:val="TableText"/>
              <w:spacing w:before="0"/>
              <w:ind w:right="0"/>
            </w:pPr>
          </w:p>
        </w:tc>
        <w:tc>
          <w:tcPr>
            <w:tcW w:w="624" w:type="dxa"/>
          </w:tcPr>
          <w:p w14:paraId="177F40B2" w14:textId="77777777" w:rsidR="00BF4529" w:rsidRDefault="00BF4529" w:rsidP="00BF4529">
            <w:pPr>
              <w:pStyle w:val="TableText"/>
              <w:spacing w:before="0"/>
              <w:ind w:right="0"/>
            </w:pPr>
          </w:p>
        </w:tc>
        <w:tc>
          <w:tcPr>
            <w:tcW w:w="624" w:type="dxa"/>
          </w:tcPr>
          <w:p w14:paraId="07E19C3F" w14:textId="77777777" w:rsidR="00BF4529" w:rsidRDefault="00BF4529" w:rsidP="00BF4529">
            <w:pPr>
              <w:pStyle w:val="TableText"/>
              <w:spacing w:before="0"/>
              <w:ind w:right="0"/>
            </w:pPr>
          </w:p>
        </w:tc>
        <w:tc>
          <w:tcPr>
            <w:tcW w:w="624" w:type="dxa"/>
          </w:tcPr>
          <w:p w14:paraId="7533DD79" w14:textId="77777777" w:rsidR="00BF4529" w:rsidRDefault="00BF4529" w:rsidP="00BF4529">
            <w:pPr>
              <w:pStyle w:val="TableText"/>
              <w:spacing w:before="0"/>
              <w:ind w:right="0"/>
            </w:pPr>
          </w:p>
        </w:tc>
        <w:tc>
          <w:tcPr>
            <w:tcW w:w="4026" w:type="dxa"/>
            <w:gridSpan w:val="2"/>
            <w:hideMark/>
          </w:tcPr>
          <w:p w14:paraId="61C45AD3" w14:textId="77777777" w:rsidR="00BF4529" w:rsidRDefault="00BF4529" w:rsidP="00BF4529">
            <w:pPr>
              <w:pStyle w:val="TableText"/>
              <w:spacing w:before="0"/>
              <w:ind w:right="0"/>
              <w:rPr>
                <w:sz w:val="26"/>
              </w:rPr>
            </w:pPr>
            <w:r>
              <w:rPr>
                <w:rFonts w:hint="cs"/>
                <w:sz w:val="26"/>
                <w:rtl/>
              </w:rPr>
              <w:t>(4)</w:t>
            </w:r>
            <w:r>
              <w:rPr>
                <w:rFonts w:hint="cs"/>
                <w:sz w:val="26"/>
                <w:rtl/>
              </w:rPr>
              <w:tab/>
              <w:t>השפעתם של פעילות הרשות ומסלולי ההטבה על יצירת מקומות עבודה וצמצום פערים חברתיים-כלכליים, ובכלל זה על הנגב והגליל;</w:t>
            </w:r>
          </w:p>
        </w:tc>
      </w:tr>
      <w:tr w:rsidR="00BF4529" w14:paraId="1479EB19" w14:textId="77777777" w:rsidTr="00BF4529">
        <w:trPr>
          <w:cantSplit/>
          <w:trHeight w:val="60"/>
        </w:trPr>
        <w:tc>
          <w:tcPr>
            <w:tcW w:w="1871" w:type="dxa"/>
          </w:tcPr>
          <w:p w14:paraId="74CDA8C5" w14:textId="77777777" w:rsidR="00BF4529" w:rsidRDefault="00BF4529" w:rsidP="00BF4529">
            <w:pPr>
              <w:pStyle w:val="TableBlock"/>
              <w:spacing w:before="0"/>
              <w:jc w:val="left"/>
              <w:rPr>
                <w:rtl/>
              </w:rPr>
            </w:pPr>
          </w:p>
        </w:tc>
        <w:tc>
          <w:tcPr>
            <w:tcW w:w="624" w:type="dxa"/>
          </w:tcPr>
          <w:p w14:paraId="10D07917" w14:textId="77777777" w:rsidR="00BF4529" w:rsidRDefault="00BF4529" w:rsidP="00BF4529">
            <w:pPr>
              <w:pStyle w:val="TableText"/>
              <w:spacing w:before="0"/>
              <w:rPr>
                <w:rtl/>
              </w:rPr>
            </w:pPr>
          </w:p>
        </w:tc>
        <w:tc>
          <w:tcPr>
            <w:tcW w:w="624" w:type="dxa"/>
          </w:tcPr>
          <w:p w14:paraId="28C23402" w14:textId="77777777" w:rsidR="00BF4529" w:rsidRDefault="00BF4529" w:rsidP="00BF4529">
            <w:pPr>
              <w:pStyle w:val="TableText"/>
              <w:spacing w:before="0"/>
              <w:ind w:right="0"/>
            </w:pPr>
          </w:p>
        </w:tc>
        <w:tc>
          <w:tcPr>
            <w:tcW w:w="624" w:type="dxa"/>
          </w:tcPr>
          <w:p w14:paraId="3D520399" w14:textId="77777777" w:rsidR="00BF4529" w:rsidRDefault="00BF4529" w:rsidP="00BF4529">
            <w:pPr>
              <w:pStyle w:val="TableText"/>
              <w:spacing w:before="0"/>
              <w:ind w:right="0"/>
            </w:pPr>
          </w:p>
        </w:tc>
        <w:tc>
          <w:tcPr>
            <w:tcW w:w="624" w:type="dxa"/>
          </w:tcPr>
          <w:p w14:paraId="0E60DA61" w14:textId="77777777" w:rsidR="00BF4529" w:rsidRDefault="00BF4529" w:rsidP="00BF4529">
            <w:pPr>
              <w:pStyle w:val="TableText"/>
              <w:spacing w:before="0"/>
              <w:ind w:right="0"/>
            </w:pPr>
          </w:p>
        </w:tc>
        <w:tc>
          <w:tcPr>
            <w:tcW w:w="624" w:type="dxa"/>
          </w:tcPr>
          <w:p w14:paraId="34A66DE4" w14:textId="77777777" w:rsidR="00BF4529" w:rsidRDefault="00BF4529" w:rsidP="00BF4529">
            <w:pPr>
              <w:pStyle w:val="TableText"/>
              <w:spacing w:before="0"/>
              <w:ind w:right="0"/>
            </w:pPr>
          </w:p>
        </w:tc>
        <w:tc>
          <w:tcPr>
            <w:tcW w:w="624" w:type="dxa"/>
          </w:tcPr>
          <w:p w14:paraId="6FD29593" w14:textId="77777777" w:rsidR="00BF4529" w:rsidRDefault="00BF4529" w:rsidP="00BF4529">
            <w:pPr>
              <w:pStyle w:val="TableText"/>
              <w:spacing w:before="0"/>
              <w:ind w:right="0"/>
            </w:pPr>
          </w:p>
        </w:tc>
        <w:tc>
          <w:tcPr>
            <w:tcW w:w="4026" w:type="dxa"/>
            <w:gridSpan w:val="2"/>
            <w:hideMark/>
          </w:tcPr>
          <w:p w14:paraId="7CC108C2" w14:textId="77777777" w:rsidR="00BF4529" w:rsidRDefault="00BF4529" w:rsidP="00BF4529">
            <w:pPr>
              <w:pStyle w:val="TableText"/>
              <w:spacing w:before="0"/>
              <w:ind w:right="0"/>
              <w:rPr>
                <w:sz w:val="26"/>
              </w:rPr>
            </w:pPr>
            <w:r>
              <w:rPr>
                <w:rFonts w:hint="cs"/>
                <w:sz w:val="26"/>
                <w:rtl/>
              </w:rPr>
              <w:t>(5)</w:t>
            </w:r>
            <w:r>
              <w:rPr>
                <w:rFonts w:hint="cs"/>
                <w:sz w:val="26"/>
                <w:rtl/>
              </w:rPr>
              <w:tab/>
              <w:t>תקציב הרשות וביצועו, לרבות אם נקבעו מסלולי הטבות לפי סעיפים 15לא או 15לח.</w:t>
            </w:r>
          </w:p>
        </w:tc>
      </w:tr>
      <w:tr w:rsidR="00BF4529" w14:paraId="725732E7" w14:textId="77777777" w:rsidTr="00BF4529">
        <w:trPr>
          <w:cantSplit/>
          <w:trHeight w:val="60"/>
        </w:trPr>
        <w:tc>
          <w:tcPr>
            <w:tcW w:w="1871" w:type="dxa"/>
          </w:tcPr>
          <w:p w14:paraId="243CD1DC" w14:textId="77777777" w:rsidR="00BF4529" w:rsidRDefault="00BF4529" w:rsidP="00BF4529">
            <w:pPr>
              <w:pStyle w:val="TableBlock"/>
              <w:spacing w:before="0"/>
              <w:jc w:val="left"/>
              <w:rPr>
                <w:rtl/>
              </w:rPr>
            </w:pPr>
          </w:p>
        </w:tc>
        <w:tc>
          <w:tcPr>
            <w:tcW w:w="624" w:type="dxa"/>
          </w:tcPr>
          <w:p w14:paraId="4C4BAC1A" w14:textId="77777777" w:rsidR="00BF4529" w:rsidRDefault="00BF4529" w:rsidP="00BF4529">
            <w:pPr>
              <w:pStyle w:val="TableText"/>
              <w:spacing w:before="0"/>
              <w:rPr>
                <w:rtl/>
              </w:rPr>
            </w:pPr>
          </w:p>
        </w:tc>
        <w:tc>
          <w:tcPr>
            <w:tcW w:w="624" w:type="dxa"/>
          </w:tcPr>
          <w:p w14:paraId="0E1650B8" w14:textId="77777777" w:rsidR="00BF4529" w:rsidRDefault="00BF4529" w:rsidP="00BF4529">
            <w:pPr>
              <w:pStyle w:val="TableText"/>
              <w:spacing w:before="0"/>
              <w:ind w:right="0"/>
            </w:pPr>
          </w:p>
        </w:tc>
        <w:tc>
          <w:tcPr>
            <w:tcW w:w="624" w:type="dxa"/>
          </w:tcPr>
          <w:p w14:paraId="09234C35" w14:textId="77777777" w:rsidR="00BF4529" w:rsidRDefault="00BF4529" w:rsidP="00BF4529">
            <w:pPr>
              <w:pStyle w:val="TableText"/>
              <w:spacing w:before="0"/>
              <w:ind w:right="0"/>
            </w:pPr>
          </w:p>
        </w:tc>
        <w:tc>
          <w:tcPr>
            <w:tcW w:w="624" w:type="dxa"/>
          </w:tcPr>
          <w:p w14:paraId="2A2F4AEC" w14:textId="77777777" w:rsidR="00BF4529" w:rsidRDefault="00BF4529" w:rsidP="00BF4529">
            <w:pPr>
              <w:pStyle w:val="TableText"/>
              <w:spacing w:before="0"/>
              <w:ind w:right="0"/>
            </w:pPr>
          </w:p>
        </w:tc>
        <w:tc>
          <w:tcPr>
            <w:tcW w:w="624" w:type="dxa"/>
          </w:tcPr>
          <w:p w14:paraId="735A0604" w14:textId="77777777" w:rsidR="00BF4529" w:rsidRDefault="00BF4529" w:rsidP="00BF4529">
            <w:pPr>
              <w:pStyle w:val="TableText"/>
              <w:spacing w:before="0"/>
              <w:ind w:right="0"/>
            </w:pPr>
          </w:p>
        </w:tc>
        <w:tc>
          <w:tcPr>
            <w:tcW w:w="4650" w:type="dxa"/>
            <w:gridSpan w:val="3"/>
            <w:hideMark/>
          </w:tcPr>
          <w:p w14:paraId="5FA5AFD4" w14:textId="77777777" w:rsidR="00BF4529" w:rsidRDefault="00BF4529" w:rsidP="00BF4529">
            <w:pPr>
              <w:pStyle w:val="TableText"/>
              <w:spacing w:before="0"/>
              <w:ind w:right="0"/>
              <w:rPr>
                <w:sz w:val="26"/>
              </w:rPr>
            </w:pPr>
            <w:r>
              <w:rPr>
                <w:rFonts w:hint="cs"/>
                <w:sz w:val="26"/>
                <w:rtl/>
              </w:rPr>
              <w:t>(ב)</w:t>
            </w:r>
            <w:r>
              <w:rPr>
                <w:rFonts w:hint="cs"/>
                <w:sz w:val="26"/>
                <w:rtl/>
              </w:rPr>
              <w:tab/>
              <w:t>דיווח כאמור בסעיף קטן (א) יוגש לוועדת הכספים של הכנסת לא יאוחר מיום 1 במרס של כל שנה.</w:t>
            </w:r>
          </w:p>
        </w:tc>
      </w:tr>
      <w:tr w:rsidR="00BF4529" w14:paraId="256B2710" w14:textId="77777777" w:rsidTr="00BF4529">
        <w:trPr>
          <w:cantSplit/>
          <w:trHeight w:val="60"/>
        </w:trPr>
        <w:tc>
          <w:tcPr>
            <w:tcW w:w="1871" w:type="dxa"/>
          </w:tcPr>
          <w:p w14:paraId="1648AE6C" w14:textId="77777777" w:rsidR="00BF4529" w:rsidRDefault="00BF4529" w:rsidP="00BF4529">
            <w:pPr>
              <w:pStyle w:val="TableBlock"/>
              <w:spacing w:before="0"/>
              <w:jc w:val="left"/>
              <w:rPr>
                <w:rtl/>
              </w:rPr>
            </w:pPr>
          </w:p>
        </w:tc>
        <w:tc>
          <w:tcPr>
            <w:tcW w:w="624" w:type="dxa"/>
          </w:tcPr>
          <w:p w14:paraId="7D582B4A" w14:textId="77777777" w:rsidR="00BF4529" w:rsidRDefault="00BF4529" w:rsidP="00BF4529">
            <w:pPr>
              <w:pStyle w:val="TableText"/>
              <w:spacing w:before="0"/>
              <w:rPr>
                <w:rtl/>
              </w:rPr>
            </w:pPr>
          </w:p>
        </w:tc>
        <w:tc>
          <w:tcPr>
            <w:tcW w:w="624" w:type="dxa"/>
          </w:tcPr>
          <w:p w14:paraId="3A81AFB8" w14:textId="77777777" w:rsidR="00BF4529" w:rsidRDefault="00BF4529" w:rsidP="00BF4529">
            <w:pPr>
              <w:pStyle w:val="TableText"/>
              <w:spacing w:before="0"/>
              <w:ind w:right="0"/>
            </w:pPr>
          </w:p>
        </w:tc>
        <w:tc>
          <w:tcPr>
            <w:tcW w:w="624" w:type="dxa"/>
          </w:tcPr>
          <w:p w14:paraId="1C3EE6CF" w14:textId="77777777" w:rsidR="00BF4529" w:rsidRDefault="00BF4529" w:rsidP="00BF4529">
            <w:pPr>
              <w:pStyle w:val="TableText"/>
              <w:spacing w:before="0"/>
              <w:ind w:right="0"/>
            </w:pPr>
          </w:p>
        </w:tc>
        <w:tc>
          <w:tcPr>
            <w:tcW w:w="624" w:type="dxa"/>
          </w:tcPr>
          <w:p w14:paraId="3429592F" w14:textId="77777777" w:rsidR="00BF4529" w:rsidRDefault="00BF4529" w:rsidP="00BF4529">
            <w:pPr>
              <w:pStyle w:val="TableText"/>
              <w:spacing w:before="0"/>
              <w:ind w:right="0"/>
            </w:pPr>
          </w:p>
        </w:tc>
        <w:tc>
          <w:tcPr>
            <w:tcW w:w="624" w:type="dxa"/>
          </w:tcPr>
          <w:p w14:paraId="314F2C94" w14:textId="77777777" w:rsidR="00BF4529" w:rsidRDefault="00BF4529" w:rsidP="00BF4529">
            <w:pPr>
              <w:pStyle w:val="TableText"/>
              <w:spacing w:before="0"/>
              <w:ind w:right="0"/>
            </w:pPr>
          </w:p>
        </w:tc>
        <w:tc>
          <w:tcPr>
            <w:tcW w:w="4650" w:type="dxa"/>
            <w:gridSpan w:val="3"/>
            <w:hideMark/>
          </w:tcPr>
          <w:p w14:paraId="456DEEB3" w14:textId="77777777" w:rsidR="00BF4529" w:rsidRDefault="00BF4529" w:rsidP="00BF4529">
            <w:pPr>
              <w:pStyle w:val="TableText"/>
              <w:spacing w:before="0"/>
              <w:ind w:right="0"/>
              <w:rPr>
                <w:sz w:val="26"/>
              </w:rPr>
            </w:pPr>
            <w:r>
              <w:rPr>
                <w:rFonts w:hint="cs"/>
                <w:sz w:val="26"/>
                <w:rtl/>
              </w:rPr>
              <w:t xml:space="preserve">(ג) </w:t>
            </w:r>
            <w:r>
              <w:rPr>
                <w:rFonts w:hint="cs"/>
                <w:sz w:val="26"/>
                <w:rtl/>
              </w:rPr>
              <w:tab/>
              <w:t>דיווח לפי סעיף זה לא יפגע בחובת הסודיות שנקבעה בדין לגבי אדם."</w:t>
            </w:r>
          </w:p>
        </w:tc>
      </w:tr>
      <w:tr w:rsidR="00BF4529" w14:paraId="55C2349A" w14:textId="77777777" w:rsidTr="00BF4529">
        <w:trPr>
          <w:cantSplit/>
        </w:trPr>
        <w:tc>
          <w:tcPr>
            <w:tcW w:w="1871" w:type="dxa"/>
            <w:tcMar>
              <w:top w:w="91" w:type="dxa"/>
              <w:left w:w="0" w:type="dxa"/>
              <w:bottom w:w="91" w:type="dxa"/>
              <w:right w:w="0" w:type="dxa"/>
            </w:tcMar>
            <w:hideMark/>
          </w:tcPr>
          <w:p w14:paraId="1AC66915" w14:textId="77777777" w:rsidR="00BF4529" w:rsidRDefault="00BF4529" w:rsidP="00BF4529">
            <w:pPr>
              <w:pStyle w:val="TableSideHeading"/>
              <w:spacing w:before="0"/>
              <w:jc w:val="left"/>
              <w:rPr>
                <w:sz w:val="26"/>
                <w:rtl/>
              </w:rPr>
            </w:pPr>
            <w:r>
              <w:rPr>
                <w:rFonts w:hint="cs"/>
                <w:sz w:val="26"/>
                <w:rtl/>
              </w:rPr>
              <w:t>ביטול התוספת</w:t>
            </w:r>
          </w:p>
        </w:tc>
        <w:tc>
          <w:tcPr>
            <w:tcW w:w="624" w:type="dxa"/>
            <w:tcMar>
              <w:top w:w="91" w:type="dxa"/>
              <w:left w:w="0" w:type="dxa"/>
              <w:bottom w:w="91" w:type="dxa"/>
              <w:right w:w="0" w:type="dxa"/>
            </w:tcMar>
            <w:hideMark/>
          </w:tcPr>
          <w:p w14:paraId="48B9FD0E" w14:textId="77777777" w:rsidR="00BF4529" w:rsidRDefault="00BF4529" w:rsidP="00BF4529">
            <w:pPr>
              <w:pStyle w:val="TableText"/>
              <w:spacing w:before="0"/>
              <w:rPr>
                <w:sz w:val="26"/>
                <w:rtl/>
              </w:rPr>
            </w:pPr>
            <w:r>
              <w:rPr>
                <w:rFonts w:hint="cs"/>
                <w:sz w:val="26"/>
                <w:rtl/>
              </w:rPr>
              <w:t>52.</w:t>
            </w:r>
          </w:p>
        </w:tc>
        <w:tc>
          <w:tcPr>
            <w:tcW w:w="7146" w:type="dxa"/>
            <w:gridSpan w:val="7"/>
            <w:tcMar>
              <w:top w:w="91" w:type="dxa"/>
              <w:left w:w="0" w:type="dxa"/>
              <w:bottom w:w="91" w:type="dxa"/>
              <w:right w:w="0" w:type="dxa"/>
            </w:tcMar>
            <w:hideMark/>
          </w:tcPr>
          <w:p w14:paraId="222DE54B" w14:textId="77777777" w:rsidR="00BF4529" w:rsidRDefault="00BF4529" w:rsidP="00BF4529">
            <w:pPr>
              <w:pStyle w:val="TableBlock"/>
              <w:spacing w:before="0"/>
              <w:rPr>
                <w:sz w:val="26"/>
                <w:rtl/>
              </w:rPr>
            </w:pPr>
            <w:r>
              <w:rPr>
                <w:rFonts w:hint="cs"/>
                <w:sz w:val="26"/>
                <w:rtl/>
              </w:rPr>
              <w:t>התוספת לחוק העיקרי – בטלה.</w:t>
            </w:r>
          </w:p>
        </w:tc>
      </w:tr>
      <w:tr w:rsidR="00BF4529" w14:paraId="315746B9" w14:textId="77777777" w:rsidTr="00BF4529">
        <w:trPr>
          <w:cantSplit/>
        </w:trPr>
        <w:tc>
          <w:tcPr>
            <w:tcW w:w="1871" w:type="dxa"/>
            <w:tcMar>
              <w:top w:w="91" w:type="dxa"/>
              <w:left w:w="0" w:type="dxa"/>
              <w:bottom w:w="91" w:type="dxa"/>
              <w:right w:w="0" w:type="dxa"/>
            </w:tcMar>
            <w:hideMark/>
          </w:tcPr>
          <w:p w14:paraId="17938A24" w14:textId="77777777" w:rsidR="00BF4529" w:rsidRDefault="00BF4529" w:rsidP="00BF4529">
            <w:pPr>
              <w:pStyle w:val="TableSideHeading"/>
              <w:spacing w:before="0"/>
              <w:jc w:val="left"/>
              <w:rPr>
                <w:sz w:val="26"/>
                <w:rtl/>
              </w:rPr>
            </w:pPr>
            <w:r>
              <w:rPr>
                <w:rFonts w:hint="cs"/>
                <w:sz w:val="26"/>
                <w:rtl/>
              </w:rPr>
              <w:t>תיקון חוק הרשות לפיתוח ירושלים</w:t>
            </w:r>
          </w:p>
          <w:p w14:paraId="1668E74B" w14:textId="1227547B" w:rsidR="0060096F" w:rsidRDefault="0060096F" w:rsidP="00BF4529">
            <w:pPr>
              <w:pStyle w:val="TableSideHeading"/>
              <w:spacing w:before="0"/>
              <w:jc w:val="left"/>
              <w:rPr>
                <w:sz w:val="26"/>
                <w:rtl/>
              </w:rPr>
            </w:pPr>
            <w:r>
              <w:rPr>
                <w:rFonts w:hint="cs"/>
                <w:sz w:val="26"/>
                <w:rtl/>
              </w:rPr>
              <w:t>[מס 7]</w:t>
            </w:r>
          </w:p>
        </w:tc>
        <w:tc>
          <w:tcPr>
            <w:tcW w:w="624" w:type="dxa"/>
            <w:tcMar>
              <w:top w:w="91" w:type="dxa"/>
              <w:left w:w="0" w:type="dxa"/>
              <w:bottom w:w="91" w:type="dxa"/>
              <w:right w:w="0" w:type="dxa"/>
            </w:tcMar>
            <w:hideMark/>
          </w:tcPr>
          <w:p w14:paraId="517DD893" w14:textId="77777777" w:rsidR="00BF4529" w:rsidRDefault="00BF4529" w:rsidP="00BF4529">
            <w:pPr>
              <w:pStyle w:val="TableText"/>
              <w:spacing w:before="0"/>
              <w:rPr>
                <w:sz w:val="26"/>
                <w:rtl/>
              </w:rPr>
            </w:pPr>
            <w:r>
              <w:rPr>
                <w:rFonts w:hint="cs"/>
                <w:sz w:val="26"/>
                <w:rtl/>
              </w:rPr>
              <w:t>53.</w:t>
            </w:r>
          </w:p>
        </w:tc>
        <w:tc>
          <w:tcPr>
            <w:tcW w:w="7146" w:type="dxa"/>
            <w:gridSpan w:val="7"/>
            <w:tcMar>
              <w:top w:w="91" w:type="dxa"/>
              <w:left w:w="0" w:type="dxa"/>
              <w:bottom w:w="91" w:type="dxa"/>
              <w:right w:w="0" w:type="dxa"/>
            </w:tcMar>
            <w:hideMark/>
          </w:tcPr>
          <w:p w14:paraId="63EA5F4F" w14:textId="77777777" w:rsidR="00BF4529" w:rsidRDefault="00BF4529" w:rsidP="00BF4529">
            <w:pPr>
              <w:pStyle w:val="TableBlock"/>
              <w:spacing w:before="0"/>
              <w:rPr>
                <w:sz w:val="26"/>
                <w:rtl/>
              </w:rPr>
            </w:pPr>
            <w:r>
              <w:rPr>
                <w:rFonts w:hint="cs"/>
                <w:sz w:val="26"/>
                <w:rtl/>
              </w:rPr>
              <w:t>בחוק הרשות לפיתוח ירושלים, התשמ"ח–1988</w:t>
            </w:r>
            <w:r>
              <w:rPr>
                <w:rStyle w:val="ab"/>
                <w:rFonts w:hAnsi="HadasaMFO"/>
                <w:sz w:val="26"/>
                <w:rtl/>
              </w:rPr>
              <w:footnoteReference w:id="25"/>
            </w:r>
            <w:r>
              <w:rPr>
                <w:rFonts w:hint="cs"/>
                <w:sz w:val="26"/>
                <w:rtl/>
              </w:rPr>
              <w:t>, בסעיף 22ג, בהגדרה ""מפעל עתיר ידע", "מפעל עתיר טכנולוגיה"", במקום "שהמדען הראשי במשרד התעשייה המסחר והתעסוקה" יבוא "שראש הרשות הלאומית לחדשנות טכנולוגית כמשמעותו בחוק לעידוד מחקר, פיתוח וחדשנות טכנולוגית בתעשייה, התשמ"ד–1984".</w:t>
            </w:r>
          </w:p>
        </w:tc>
      </w:tr>
      <w:tr w:rsidR="00BF4529" w14:paraId="455C26B2" w14:textId="77777777" w:rsidTr="00BF4529">
        <w:trPr>
          <w:cantSplit/>
        </w:trPr>
        <w:tc>
          <w:tcPr>
            <w:tcW w:w="1871" w:type="dxa"/>
            <w:tcMar>
              <w:top w:w="91" w:type="dxa"/>
              <w:left w:w="0" w:type="dxa"/>
              <w:bottom w:w="91" w:type="dxa"/>
              <w:right w:w="0" w:type="dxa"/>
            </w:tcMar>
            <w:hideMark/>
          </w:tcPr>
          <w:p w14:paraId="09E0BE84" w14:textId="77777777" w:rsidR="00BF4529" w:rsidRDefault="00BF4529" w:rsidP="00BF4529">
            <w:pPr>
              <w:pStyle w:val="TableSideHeading"/>
              <w:spacing w:before="0"/>
              <w:jc w:val="left"/>
              <w:rPr>
                <w:sz w:val="26"/>
                <w:rtl/>
              </w:rPr>
            </w:pPr>
            <w:r>
              <w:rPr>
                <w:rFonts w:hint="cs"/>
                <w:sz w:val="26"/>
                <w:rtl/>
              </w:rPr>
              <w:t>תיקון חוק בתי משפט לעניינים מינהליים</w:t>
            </w:r>
          </w:p>
          <w:p w14:paraId="7C40E5B2" w14:textId="0DF97A8A" w:rsidR="0060096F" w:rsidRDefault="0060096F" w:rsidP="00BF4529">
            <w:pPr>
              <w:pStyle w:val="TableSideHeading"/>
              <w:spacing w:before="0"/>
              <w:jc w:val="left"/>
              <w:rPr>
                <w:sz w:val="26"/>
                <w:rtl/>
              </w:rPr>
            </w:pPr>
            <w:r>
              <w:rPr>
                <w:rFonts w:hint="cs"/>
                <w:sz w:val="26"/>
                <w:rtl/>
              </w:rPr>
              <w:t>[מס' 91]</w:t>
            </w:r>
          </w:p>
        </w:tc>
        <w:tc>
          <w:tcPr>
            <w:tcW w:w="624" w:type="dxa"/>
            <w:tcMar>
              <w:top w:w="91" w:type="dxa"/>
              <w:left w:w="0" w:type="dxa"/>
              <w:bottom w:w="91" w:type="dxa"/>
              <w:right w:w="0" w:type="dxa"/>
            </w:tcMar>
            <w:hideMark/>
          </w:tcPr>
          <w:p w14:paraId="60B8CA3C" w14:textId="77777777" w:rsidR="00BF4529" w:rsidRDefault="00BF4529" w:rsidP="00BF4529">
            <w:pPr>
              <w:pStyle w:val="TableText"/>
              <w:spacing w:before="0"/>
              <w:rPr>
                <w:sz w:val="26"/>
                <w:rtl/>
              </w:rPr>
            </w:pPr>
            <w:r>
              <w:rPr>
                <w:rFonts w:hint="cs"/>
                <w:sz w:val="26"/>
                <w:rtl/>
              </w:rPr>
              <w:t>54.</w:t>
            </w:r>
          </w:p>
        </w:tc>
        <w:tc>
          <w:tcPr>
            <w:tcW w:w="7146" w:type="dxa"/>
            <w:gridSpan w:val="7"/>
            <w:tcMar>
              <w:top w:w="91" w:type="dxa"/>
              <w:left w:w="0" w:type="dxa"/>
              <w:bottom w:w="91" w:type="dxa"/>
              <w:right w:w="0" w:type="dxa"/>
            </w:tcMar>
            <w:hideMark/>
          </w:tcPr>
          <w:p w14:paraId="2C334148" w14:textId="77777777" w:rsidR="00BF4529" w:rsidRDefault="00BF4529" w:rsidP="00BF4529">
            <w:pPr>
              <w:pStyle w:val="TableBlock"/>
              <w:spacing w:before="0"/>
              <w:rPr>
                <w:sz w:val="26"/>
                <w:rtl/>
              </w:rPr>
            </w:pPr>
            <w:r>
              <w:rPr>
                <w:rFonts w:hint="cs"/>
                <w:sz w:val="26"/>
                <w:rtl/>
              </w:rPr>
              <w:t>בחוק בתי משפט לעניינים מינהליים, התש"ס–2000‏</w:t>
            </w:r>
            <w:r>
              <w:rPr>
                <w:rStyle w:val="ab"/>
                <w:rFonts w:hAnsi="HadasaMFO"/>
                <w:sz w:val="26"/>
                <w:rtl/>
              </w:rPr>
              <w:footnoteReference w:id="26"/>
            </w:r>
            <w:r>
              <w:rPr>
                <w:rFonts w:hint="cs"/>
                <w:sz w:val="26"/>
                <w:rtl/>
              </w:rPr>
              <w:t>, בתוספת הראשונה, בסופה יבוא:</w:t>
            </w:r>
          </w:p>
        </w:tc>
      </w:tr>
      <w:tr w:rsidR="00BF4529" w14:paraId="4FAA6D1B" w14:textId="77777777" w:rsidTr="00BF4529">
        <w:trPr>
          <w:cantSplit/>
        </w:trPr>
        <w:tc>
          <w:tcPr>
            <w:tcW w:w="1871" w:type="dxa"/>
          </w:tcPr>
          <w:p w14:paraId="7B4555B3" w14:textId="77777777" w:rsidR="00BF4529" w:rsidRDefault="00BF4529" w:rsidP="00BF4529">
            <w:pPr>
              <w:pStyle w:val="TableSideHeading"/>
              <w:spacing w:before="0"/>
              <w:ind w:right="0"/>
              <w:jc w:val="left"/>
              <w:rPr>
                <w:sz w:val="26"/>
                <w:rtl/>
              </w:rPr>
            </w:pPr>
          </w:p>
        </w:tc>
        <w:tc>
          <w:tcPr>
            <w:tcW w:w="624" w:type="dxa"/>
            <w:tcMar>
              <w:top w:w="91" w:type="dxa"/>
              <w:left w:w="0" w:type="dxa"/>
              <w:bottom w:w="91" w:type="dxa"/>
              <w:right w:w="0" w:type="dxa"/>
            </w:tcMar>
          </w:tcPr>
          <w:p w14:paraId="2DF5A878"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44CC18F" w14:textId="77777777" w:rsidR="00BF4529" w:rsidRDefault="00BF4529" w:rsidP="00BF4529">
            <w:pPr>
              <w:pStyle w:val="TableBlock"/>
              <w:spacing w:before="0"/>
              <w:rPr>
                <w:rtl/>
              </w:rPr>
            </w:pPr>
            <w:r>
              <w:rPr>
                <w:rFonts w:hint="cs"/>
                <w:rtl/>
              </w:rPr>
              <w:t>"51.</w:t>
            </w:r>
            <w:r>
              <w:rPr>
                <w:rFonts w:hint="cs"/>
                <w:rtl/>
              </w:rPr>
              <w:tab/>
            </w:r>
            <w:r>
              <w:rPr>
                <w:rFonts w:hint="cs"/>
                <w:b/>
                <w:bCs/>
                <w:rtl/>
              </w:rPr>
              <w:t>מחקר ופיתוח</w:t>
            </w:r>
            <w:r>
              <w:rPr>
                <w:rFonts w:hint="cs"/>
                <w:rtl/>
              </w:rPr>
              <w:t xml:space="preserve"> – החלטה של רשות לפי חוק לעידוד מחקר, פיתוח וחדשנות טכנולוגית בתעשייה, התשמ"ד–1984, למעט החלטה של המועצה לפי החוק האמור."</w:t>
            </w:r>
          </w:p>
        </w:tc>
      </w:tr>
      <w:tr w:rsidR="00BF4529" w14:paraId="06FB3F93" w14:textId="77777777" w:rsidTr="00BF4529">
        <w:trPr>
          <w:cantSplit/>
        </w:trPr>
        <w:tc>
          <w:tcPr>
            <w:tcW w:w="1871" w:type="dxa"/>
            <w:tcMar>
              <w:top w:w="91" w:type="dxa"/>
              <w:left w:w="0" w:type="dxa"/>
              <w:bottom w:w="91" w:type="dxa"/>
              <w:right w:w="0" w:type="dxa"/>
            </w:tcMar>
            <w:hideMark/>
          </w:tcPr>
          <w:p w14:paraId="58287CB3" w14:textId="77777777" w:rsidR="00BF4529" w:rsidRDefault="00BF4529" w:rsidP="00BF4529">
            <w:pPr>
              <w:pStyle w:val="TableSideHeading"/>
              <w:spacing w:before="0"/>
              <w:jc w:val="left"/>
              <w:rPr>
                <w:sz w:val="26"/>
                <w:rtl/>
              </w:rPr>
            </w:pPr>
            <w:r>
              <w:rPr>
                <w:rFonts w:hint="cs"/>
                <w:sz w:val="26"/>
                <w:rtl/>
              </w:rPr>
              <w:t>תיקון חוק השידור הציבורי</w:t>
            </w:r>
          </w:p>
        </w:tc>
        <w:tc>
          <w:tcPr>
            <w:tcW w:w="624" w:type="dxa"/>
            <w:tcMar>
              <w:top w:w="91" w:type="dxa"/>
              <w:left w:w="0" w:type="dxa"/>
              <w:bottom w:w="91" w:type="dxa"/>
              <w:right w:w="0" w:type="dxa"/>
            </w:tcMar>
            <w:hideMark/>
          </w:tcPr>
          <w:p w14:paraId="2444BB57" w14:textId="77777777" w:rsidR="00BF4529" w:rsidRDefault="00BF4529" w:rsidP="00BF4529">
            <w:pPr>
              <w:pStyle w:val="TableText"/>
              <w:spacing w:before="0"/>
              <w:rPr>
                <w:sz w:val="26"/>
                <w:rtl/>
              </w:rPr>
            </w:pPr>
            <w:r>
              <w:rPr>
                <w:rFonts w:hint="cs"/>
                <w:sz w:val="26"/>
                <w:rtl/>
              </w:rPr>
              <w:t>55.</w:t>
            </w:r>
          </w:p>
        </w:tc>
        <w:tc>
          <w:tcPr>
            <w:tcW w:w="7146" w:type="dxa"/>
            <w:gridSpan w:val="7"/>
            <w:tcMar>
              <w:top w:w="91" w:type="dxa"/>
              <w:left w:w="0" w:type="dxa"/>
              <w:bottom w:w="91" w:type="dxa"/>
              <w:right w:w="0" w:type="dxa"/>
            </w:tcMar>
            <w:hideMark/>
          </w:tcPr>
          <w:p w14:paraId="7BD3CA0D" w14:textId="77777777" w:rsidR="00BF4529" w:rsidRDefault="00BF4529" w:rsidP="00BF4529">
            <w:pPr>
              <w:pStyle w:val="TableBlock"/>
              <w:spacing w:before="0"/>
              <w:rPr>
                <w:sz w:val="26"/>
                <w:rtl/>
              </w:rPr>
            </w:pPr>
            <w:r>
              <w:rPr>
                <w:rFonts w:hint="cs"/>
                <w:sz w:val="26"/>
                <w:rtl/>
              </w:rPr>
              <w:t>בחוק השידור הציבורי, התשע"ד–2014‏</w:t>
            </w:r>
            <w:r>
              <w:rPr>
                <w:rStyle w:val="ab"/>
                <w:rFonts w:hAnsi="HadasaMFO"/>
                <w:sz w:val="26"/>
                <w:rtl/>
              </w:rPr>
              <w:footnoteReference w:id="27"/>
            </w:r>
            <w:r>
              <w:rPr>
                <w:rFonts w:hint="cs"/>
                <w:sz w:val="26"/>
                <w:rtl/>
              </w:rPr>
              <w:t xml:space="preserve">, בסעיף 83 – </w:t>
            </w:r>
          </w:p>
        </w:tc>
      </w:tr>
      <w:tr w:rsidR="00BF4529" w14:paraId="645E9B2B" w14:textId="77777777" w:rsidTr="00BF4529">
        <w:trPr>
          <w:cantSplit/>
        </w:trPr>
        <w:tc>
          <w:tcPr>
            <w:tcW w:w="1871" w:type="dxa"/>
          </w:tcPr>
          <w:p w14:paraId="6FC29EC6" w14:textId="77777777" w:rsidR="00BF4529" w:rsidRDefault="00BF4529" w:rsidP="00BF4529">
            <w:pPr>
              <w:pStyle w:val="TableSideHeading"/>
              <w:spacing w:before="0"/>
              <w:ind w:right="0"/>
              <w:jc w:val="left"/>
              <w:rPr>
                <w:sz w:val="26"/>
                <w:rtl/>
              </w:rPr>
            </w:pPr>
          </w:p>
        </w:tc>
        <w:tc>
          <w:tcPr>
            <w:tcW w:w="624" w:type="dxa"/>
            <w:tcMar>
              <w:top w:w="91" w:type="dxa"/>
              <w:left w:w="0" w:type="dxa"/>
              <w:bottom w:w="91" w:type="dxa"/>
              <w:right w:w="0" w:type="dxa"/>
            </w:tcMar>
          </w:tcPr>
          <w:p w14:paraId="185210D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F5D9660" w14:textId="77777777" w:rsidR="00BF4529" w:rsidRDefault="00BF4529" w:rsidP="00BF4529">
            <w:pPr>
              <w:pStyle w:val="TableBlock"/>
              <w:spacing w:before="0"/>
              <w:rPr>
                <w:sz w:val="26"/>
                <w:rtl/>
              </w:rPr>
            </w:pPr>
            <w:r>
              <w:rPr>
                <w:rFonts w:hint="cs"/>
                <w:sz w:val="26"/>
                <w:rtl/>
              </w:rPr>
              <w:t>(1)</w:t>
            </w:r>
            <w:r>
              <w:rPr>
                <w:rFonts w:hint="cs"/>
                <w:sz w:val="26"/>
                <w:rtl/>
              </w:rPr>
              <w:tab/>
              <w:t>במקום סעיף קטן (א) יבוא:</w:t>
            </w:r>
          </w:p>
        </w:tc>
      </w:tr>
      <w:tr w:rsidR="00BF4529" w14:paraId="29632CD0" w14:textId="77777777" w:rsidTr="00BF4529">
        <w:trPr>
          <w:cantSplit/>
        </w:trPr>
        <w:tc>
          <w:tcPr>
            <w:tcW w:w="1871" w:type="dxa"/>
            <w:tcMar>
              <w:top w:w="91" w:type="dxa"/>
              <w:left w:w="0" w:type="dxa"/>
              <w:bottom w:w="91" w:type="dxa"/>
              <w:right w:w="0" w:type="dxa"/>
            </w:tcMar>
          </w:tcPr>
          <w:p w14:paraId="1C73A69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BCB1D9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A3AF3CF"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2A830C1" w14:textId="77777777" w:rsidR="00BF4529" w:rsidRDefault="00BF4529" w:rsidP="00BF4529">
            <w:pPr>
              <w:pStyle w:val="TableBlock"/>
              <w:spacing w:before="0"/>
              <w:rPr>
                <w:sz w:val="26"/>
                <w:rtl/>
              </w:rPr>
            </w:pPr>
            <w:r>
              <w:rPr>
                <w:rFonts w:hint="cs"/>
                <w:sz w:val="26"/>
                <w:rtl/>
              </w:rPr>
              <w:t>"(א)</w:t>
            </w:r>
            <w:r>
              <w:rPr>
                <w:rFonts w:hint="cs"/>
                <w:sz w:val="26"/>
                <w:rtl/>
              </w:rPr>
              <w:tab/>
              <w:t>בסעיף זה –</w:t>
            </w:r>
          </w:p>
        </w:tc>
      </w:tr>
      <w:tr w:rsidR="00BF4529" w14:paraId="28F03563" w14:textId="77777777" w:rsidTr="00BF4529">
        <w:trPr>
          <w:cantSplit/>
        </w:trPr>
        <w:tc>
          <w:tcPr>
            <w:tcW w:w="1871" w:type="dxa"/>
            <w:tcMar>
              <w:top w:w="91" w:type="dxa"/>
              <w:left w:w="0" w:type="dxa"/>
              <w:bottom w:w="91" w:type="dxa"/>
              <w:right w:w="0" w:type="dxa"/>
            </w:tcMar>
          </w:tcPr>
          <w:p w14:paraId="5CBAF31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B0C96CB"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D01B0A0"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4E1E3E2" w14:textId="77777777" w:rsidR="00BF4529" w:rsidRDefault="00BF4529" w:rsidP="00BF4529">
            <w:pPr>
              <w:pStyle w:val="TableBlockOutdent"/>
              <w:spacing w:before="0"/>
              <w:rPr>
                <w:sz w:val="26"/>
                <w:rtl/>
              </w:rPr>
            </w:pPr>
            <w:r>
              <w:rPr>
                <w:rFonts w:hint="cs"/>
                <w:sz w:val="26"/>
                <w:rtl/>
              </w:rPr>
              <w:t>"הרשות", "ראש הרשות", "מחקר" ו"פיתוח" – כמשמעותם בחוק לעידוד מחקר ופיתוח בתעשייה;</w:t>
            </w:r>
          </w:p>
        </w:tc>
      </w:tr>
      <w:tr w:rsidR="00BF4529" w14:paraId="1158E013" w14:textId="77777777" w:rsidTr="00BF4529">
        <w:trPr>
          <w:cantSplit/>
        </w:trPr>
        <w:tc>
          <w:tcPr>
            <w:tcW w:w="1871" w:type="dxa"/>
            <w:tcMar>
              <w:top w:w="91" w:type="dxa"/>
              <w:left w:w="0" w:type="dxa"/>
              <w:bottom w:w="91" w:type="dxa"/>
              <w:right w:w="0" w:type="dxa"/>
            </w:tcMar>
          </w:tcPr>
          <w:p w14:paraId="223CDA1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387E7B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D05FBE"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57F5F22F" w14:textId="77777777" w:rsidR="00BF4529" w:rsidRDefault="00BF4529" w:rsidP="00BF4529">
            <w:pPr>
              <w:pStyle w:val="TableBlockOutdent"/>
              <w:spacing w:before="0"/>
              <w:rPr>
                <w:sz w:val="26"/>
                <w:rtl/>
              </w:rPr>
            </w:pPr>
            <w:r>
              <w:rPr>
                <w:rFonts w:hint="cs"/>
                <w:sz w:val="26"/>
                <w:rtl/>
              </w:rPr>
              <w:t>"חוק לעידוד מחקר ופיתוח בתעשייה" – חוק לעידוד מחקר, פיתוח וחדשנות טכנולוגית בתעשייה, התשמ"ד–1984.";</w:t>
            </w:r>
          </w:p>
        </w:tc>
      </w:tr>
      <w:tr w:rsidR="00BF4529" w14:paraId="3536093D" w14:textId="77777777" w:rsidTr="00BF4529">
        <w:trPr>
          <w:cantSplit/>
        </w:trPr>
        <w:tc>
          <w:tcPr>
            <w:tcW w:w="1871" w:type="dxa"/>
            <w:tcMar>
              <w:top w:w="91" w:type="dxa"/>
              <w:left w:w="0" w:type="dxa"/>
              <w:bottom w:w="91" w:type="dxa"/>
              <w:right w:w="0" w:type="dxa"/>
            </w:tcMar>
          </w:tcPr>
          <w:p w14:paraId="1998FB11"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CE47D91"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04B1D49C" w14:textId="77777777" w:rsidR="00BF4529" w:rsidRDefault="00BF4529" w:rsidP="00BF4529">
            <w:pPr>
              <w:pStyle w:val="TableBlock"/>
              <w:spacing w:before="0"/>
              <w:rPr>
                <w:sz w:val="26"/>
                <w:rtl/>
              </w:rPr>
            </w:pPr>
            <w:r>
              <w:rPr>
                <w:rFonts w:hint="cs"/>
                <w:sz w:val="26"/>
                <w:rtl/>
              </w:rPr>
              <w:t>(2)</w:t>
            </w:r>
            <w:r>
              <w:rPr>
                <w:rFonts w:hint="cs"/>
                <w:sz w:val="26"/>
                <w:rtl/>
              </w:rPr>
              <w:tab/>
              <w:t>בכל מקום, במקום "המינהל" יבוא "הרשות";</w:t>
            </w:r>
          </w:p>
        </w:tc>
      </w:tr>
      <w:tr w:rsidR="00BF4529" w14:paraId="55F3A508" w14:textId="77777777" w:rsidTr="00BF4529">
        <w:trPr>
          <w:cantSplit/>
        </w:trPr>
        <w:tc>
          <w:tcPr>
            <w:tcW w:w="1871" w:type="dxa"/>
            <w:tcMar>
              <w:top w:w="91" w:type="dxa"/>
              <w:left w:w="0" w:type="dxa"/>
              <w:bottom w:w="91" w:type="dxa"/>
              <w:right w:w="0" w:type="dxa"/>
            </w:tcMar>
          </w:tcPr>
          <w:p w14:paraId="750D353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6BF4078" w14:textId="77777777" w:rsidR="00BF4529" w:rsidRDefault="00BF4529" w:rsidP="00BF4529">
            <w:pPr>
              <w:pStyle w:val="TableText"/>
              <w:spacing w:before="0"/>
              <w:rPr>
                <w:rtl/>
              </w:rPr>
            </w:pPr>
          </w:p>
        </w:tc>
        <w:tc>
          <w:tcPr>
            <w:tcW w:w="7146" w:type="dxa"/>
            <w:gridSpan w:val="7"/>
            <w:tcMar>
              <w:top w:w="91" w:type="dxa"/>
              <w:left w:w="0" w:type="dxa"/>
              <w:bottom w:w="91" w:type="dxa"/>
              <w:right w:w="0" w:type="dxa"/>
            </w:tcMar>
            <w:hideMark/>
          </w:tcPr>
          <w:p w14:paraId="42190C24" w14:textId="77777777" w:rsidR="00BF4529" w:rsidRDefault="00BF4529" w:rsidP="00BF4529">
            <w:pPr>
              <w:pStyle w:val="TableBlock"/>
              <w:spacing w:before="0"/>
              <w:rPr>
                <w:sz w:val="26"/>
                <w:rtl/>
              </w:rPr>
            </w:pPr>
            <w:r>
              <w:rPr>
                <w:rFonts w:hint="cs"/>
                <w:sz w:val="26"/>
                <w:rtl/>
              </w:rPr>
              <w:t>(3)</w:t>
            </w:r>
            <w:r>
              <w:rPr>
                <w:rFonts w:hint="cs"/>
                <w:sz w:val="26"/>
                <w:rtl/>
              </w:rPr>
              <w:tab/>
              <w:t>בסעיף קטן (ו), במקום "שהוא מבצע" יבוא "שהיא מבצעת".</w:t>
            </w:r>
          </w:p>
        </w:tc>
      </w:tr>
      <w:tr w:rsidR="00BF4529" w14:paraId="293BE872" w14:textId="77777777" w:rsidTr="00BF4529">
        <w:trPr>
          <w:cantSplit/>
        </w:trPr>
        <w:tc>
          <w:tcPr>
            <w:tcW w:w="1871" w:type="dxa"/>
            <w:tcMar>
              <w:top w:w="91" w:type="dxa"/>
              <w:left w:w="0" w:type="dxa"/>
              <w:bottom w:w="91" w:type="dxa"/>
              <w:right w:w="0" w:type="dxa"/>
            </w:tcMar>
            <w:hideMark/>
          </w:tcPr>
          <w:p w14:paraId="7F0F0995" w14:textId="77777777" w:rsidR="00BF4529" w:rsidRDefault="00BF4529" w:rsidP="00BF4529">
            <w:pPr>
              <w:pStyle w:val="TableSideHeading"/>
              <w:spacing w:before="0"/>
              <w:jc w:val="left"/>
              <w:rPr>
                <w:sz w:val="26"/>
                <w:rtl/>
              </w:rPr>
            </w:pPr>
            <w:r>
              <w:rPr>
                <w:rFonts w:hint="cs"/>
                <w:sz w:val="26"/>
                <w:rtl/>
              </w:rPr>
              <w:t>תחילה והוראות מעבר</w:t>
            </w:r>
          </w:p>
        </w:tc>
        <w:tc>
          <w:tcPr>
            <w:tcW w:w="624" w:type="dxa"/>
            <w:tcMar>
              <w:top w:w="91" w:type="dxa"/>
              <w:left w:w="0" w:type="dxa"/>
              <w:bottom w:w="91" w:type="dxa"/>
              <w:right w:w="0" w:type="dxa"/>
            </w:tcMar>
            <w:hideMark/>
          </w:tcPr>
          <w:p w14:paraId="7EEF859F" w14:textId="77777777" w:rsidR="00BF4529" w:rsidRDefault="00BF4529" w:rsidP="00BF4529">
            <w:pPr>
              <w:pStyle w:val="TableText"/>
              <w:spacing w:before="0"/>
              <w:rPr>
                <w:sz w:val="26"/>
                <w:rtl/>
              </w:rPr>
            </w:pPr>
            <w:r>
              <w:rPr>
                <w:rFonts w:hint="cs"/>
                <w:sz w:val="26"/>
                <w:rtl/>
              </w:rPr>
              <w:t>56.</w:t>
            </w:r>
          </w:p>
        </w:tc>
        <w:tc>
          <w:tcPr>
            <w:tcW w:w="7146" w:type="dxa"/>
            <w:gridSpan w:val="7"/>
            <w:tcMar>
              <w:top w:w="91" w:type="dxa"/>
              <w:left w:w="0" w:type="dxa"/>
              <w:bottom w:w="91" w:type="dxa"/>
              <w:right w:w="0" w:type="dxa"/>
            </w:tcMar>
            <w:hideMark/>
          </w:tcPr>
          <w:p w14:paraId="45E62590" w14:textId="77777777" w:rsidR="00BF4529" w:rsidRDefault="00BF4529" w:rsidP="00BF4529">
            <w:pPr>
              <w:pStyle w:val="TableBlock"/>
              <w:spacing w:before="0"/>
              <w:rPr>
                <w:sz w:val="26"/>
                <w:rtl/>
              </w:rPr>
            </w:pPr>
            <w:r>
              <w:rPr>
                <w:rFonts w:hint="cs"/>
                <w:sz w:val="26"/>
                <w:rtl/>
              </w:rPr>
              <w:t>(א)</w:t>
            </w:r>
            <w:r>
              <w:rPr>
                <w:rFonts w:hint="cs"/>
                <w:sz w:val="26"/>
                <w:rtl/>
              </w:rPr>
              <w:tab/>
              <w:t>תחילתו של חוק זה ביום כ' בטבת התשע"ו (1 בינואר 2016) (להלן – יום התחילה); ואולם, הוראות סעיף 5(ב) לחוק העיקרי, כנוסחו בסעיף 7 לחוק זה, יקוימו בתוך שלוש שנים מיום פרסומו של חוק זה.</w:t>
            </w:r>
          </w:p>
        </w:tc>
      </w:tr>
      <w:tr w:rsidR="00BF4529" w14:paraId="3749602A" w14:textId="77777777" w:rsidTr="00BF4529">
        <w:trPr>
          <w:cantSplit/>
        </w:trPr>
        <w:tc>
          <w:tcPr>
            <w:tcW w:w="1871" w:type="dxa"/>
            <w:tcMar>
              <w:top w:w="91" w:type="dxa"/>
              <w:left w:w="0" w:type="dxa"/>
              <w:bottom w:w="91" w:type="dxa"/>
              <w:right w:w="0" w:type="dxa"/>
            </w:tcMar>
          </w:tcPr>
          <w:p w14:paraId="7A511CC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4CAD7F1" w14:textId="77777777" w:rsidR="00BF4529" w:rsidRDefault="00BF4529" w:rsidP="00BF4529">
            <w:pPr>
              <w:pStyle w:val="TableText"/>
              <w:spacing w:before="0"/>
              <w:rPr>
                <w:rtl/>
              </w:rPr>
            </w:pPr>
          </w:p>
        </w:tc>
        <w:tc>
          <w:tcPr>
            <w:tcW w:w="7146" w:type="dxa"/>
            <w:gridSpan w:val="7"/>
            <w:tcMar>
              <w:top w:w="91" w:type="dxa"/>
              <w:left w:w="0" w:type="dxa"/>
              <w:bottom w:w="91" w:type="dxa"/>
              <w:right w:w="0" w:type="dxa"/>
            </w:tcMar>
            <w:hideMark/>
          </w:tcPr>
          <w:p w14:paraId="44CAE894" w14:textId="77777777" w:rsidR="00BF4529" w:rsidRDefault="00BF4529" w:rsidP="00BF4529">
            <w:pPr>
              <w:pStyle w:val="TableBlock"/>
              <w:spacing w:before="0"/>
              <w:rPr>
                <w:sz w:val="26"/>
                <w:rtl/>
              </w:rPr>
            </w:pPr>
            <w:r>
              <w:rPr>
                <w:rFonts w:hint="cs"/>
                <w:sz w:val="26"/>
                <w:rtl/>
              </w:rPr>
              <w:t>(ב)</w:t>
            </w:r>
            <w:r>
              <w:rPr>
                <w:rFonts w:hint="cs"/>
                <w:sz w:val="26"/>
                <w:rtl/>
              </w:rPr>
              <w:tab/>
              <w:t>בתוך שנה מיום התחילה ייקבעו הסכמים כוללים עם העובדים בנוגע לזכויותיהם; שר האוצר, באישור ועדת הכספים של הכנסת, רשאי, בצו, להאריך תקופה זו בתקופה אחת נוספת.</w:t>
            </w:r>
          </w:p>
        </w:tc>
      </w:tr>
      <w:tr w:rsidR="00BF4529" w14:paraId="43EF95DD" w14:textId="77777777" w:rsidTr="00BF4529">
        <w:trPr>
          <w:cantSplit/>
        </w:trPr>
        <w:tc>
          <w:tcPr>
            <w:tcW w:w="1871" w:type="dxa"/>
            <w:tcMar>
              <w:top w:w="91" w:type="dxa"/>
              <w:left w:w="0" w:type="dxa"/>
              <w:bottom w:w="91" w:type="dxa"/>
              <w:right w:w="0" w:type="dxa"/>
            </w:tcMar>
          </w:tcPr>
          <w:p w14:paraId="14FB0267"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C97E668"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6A6F1E70" w14:textId="77777777" w:rsidR="00BF4529" w:rsidRDefault="00BF4529" w:rsidP="00BF4529">
            <w:pPr>
              <w:pStyle w:val="TableBlock"/>
              <w:spacing w:before="0"/>
              <w:rPr>
                <w:sz w:val="26"/>
                <w:rtl/>
              </w:rPr>
            </w:pPr>
            <w:r>
              <w:rPr>
                <w:rFonts w:hint="cs"/>
                <w:sz w:val="26"/>
                <w:rtl/>
              </w:rPr>
              <w:t>(ג)</w:t>
            </w:r>
            <w:r>
              <w:rPr>
                <w:rFonts w:hint="cs"/>
                <w:sz w:val="26"/>
                <w:rtl/>
              </w:rPr>
              <w:tab/>
              <w:t>מיום התחילה ואילך יראו את המסלולים הישנים כמסלולי הטבות שקבעה המועצה לפי החוק העיקרי כנוסחו בחוק זה, בשינויים המחויבים, ובכלל זה הסדרים הנוגעים להעדפה אזורית הקבועים במסלולים כאמור; מי שקיבל הטבה במסגרת המסלולים הישנים, יראו אותו כאילו קיבל את ההטבה מהרשות בהתאם להוראות החוק העיקרי כנוסחו בחוק זה.</w:t>
            </w:r>
          </w:p>
        </w:tc>
      </w:tr>
      <w:tr w:rsidR="00BF4529" w14:paraId="0F06D599" w14:textId="77777777" w:rsidTr="00BF4529">
        <w:trPr>
          <w:cantSplit/>
        </w:trPr>
        <w:tc>
          <w:tcPr>
            <w:tcW w:w="1871" w:type="dxa"/>
            <w:tcMar>
              <w:top w:w="91" w:type="dxa"/>
              <w:left w:w="0" w:type="dxa"/>
              <w:bottom w:w="91" w:type="dxa"/>
              <w:right w:w="0" w:type="dxa"/>
            </w:tcMar>
          </w:tcPr>
          <w:p w14:paraId="59551DB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1610A69"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72D92254" w14:textId="77777777" w:rsidR="00BF4529" w:rsidRDefault="00BF4529" w:rsidP="00BF4529">
            <w:pPr>
              <w:pStyle w:val="TableBlock"/>
              <w:spacing w:before="0"/>
              <w:rPr>
                <w:sz w:val="26"/>
                <w:rtl/>
              </w:rPr>
            </w:pPr>
            <w:r>
              <w:rPr>
                <w:rFonts w:hint="cs"/>
                <w:sz w:val="26"/>
                <w:rtl/>
              </w:rPr>
              <w:t>(ד)</w:t>
            </w:r>
            <w:r>
              <w:rPr>
                <w:rFonts w:hint="cs"/>
                <w:sz w:val="26"/>
                <w:rtl/>
              </w:rPr>
              <w:tab/>
              <w:t xml:space="preserve">הסכמי שיתוף פעולה בין-לאומיים במחקר ופיתוח, לרבות הסכמים כאמור עם תאגידים רב-לאומיים, שנחתמו טרם הקמת הרשות והיו באחריות המדען הראשי או המינהל למחקר ופיתוח תעשייתי במשרד הכלכלה או שהופעלו על ידיהם, יהיו באחריות הרשות ויופעלו על ידיה. </w:t>
            </w:r>
          </w:p>
        </w:tc>
      </w:tr>
      <w:tr w:rsidR="00BF4529" w14:paraId="06B4A18C" w14:textId="77777777" w:rsidTr="00BF4529">
        <w:trPr>
          <w:cantSplit/>
        </w:trPr>
        <w:tc>
          <w:tcPr>
            <w:tcW w:w="1871" w:type="dxa"/>
            <w:tcMar>
              <w:top w:w="91" w:type="dxa"/>
              <w:left w:w="0" w:type="dxa"/>
              <w:bottom w:w="91" w:type="dxa"/>
              <w:right w:w="0" w:type="dxa"/>
            </w:tcMar>
          </w:tcPr>
          <w:p w14:paraId="143D036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3B888CC"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964AFAF" w14:textId="77777777" w:rsidR="00BF4529" w:rsidRDefault="00BF4529" w:rsidP="00BF4529">
            <w:pPr>
              <w:pStyle w:val="TableBlock"/>
              <w:spacing w:before="0"/>
              <w:rPr>
                <w:sz w:val="26"/>
                <w:rtl/>
              </w:rPr>
            </w:pPr>
            <w:r>
              <w:rPr>
                <w:rFonts w:hint="cs"/>
                <w:sz w:val="26"/>
                <w:rtl/>
              </w:rPr>
              <w:t>(ה)</w:t>
            </w:r>
            <w:r>
              <w:rPr>
                <w:rFonts w:hint="cs"/>
                <w:sz w:val="26"/>
                <w:rtl/>
              </w:rPr>
              <w:tab/>
              <w:t xml:space="preserve">לעניין מינוי המועצה הראשונה לפי סעיף 8ב(ד) לחוק העיקרי כנוסחו בסעיף 8 לחוק זה, יחולו הוראות הסעיף האמור בשינויים אלה: </w:t>
            </w:r>
          </w:p>
        </w:tc>
      </w:tr>
      <w:tr w:rsidR="00BF4529" w14:paraId="60E4E038" w14:textId="77777777" w:rsidTr="00BF4529">
        <w:trPr>
          <w:cantSplit/>
        </w:trPr>
        <w:tc>
          <w:tcPr>
            <w:tcW w:w="1871" w:type="dxa"/>
            <w:tcMar>
              <w:top w:w="91" w:type="dxa"/>
              <w:left w:w="0" w:type="dxa"/>
              <w:bottom w:w="91" w:type="dxa"/>
              <w:right w:w="0" w:type="dxa"/>
            </w:tcMar>
          </w:tcPr>
          <w:p w14:paraId="5AA62A9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3BC953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4B4EE7D"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0C2E2241" w14:textId="77777777" w:rsidR="00BF4529" w:rsidRDefault="00BF4529" w:rsidP="00BF4529">
            <w:pPr>
              <w:pStyle w:val="TableBlock"/>
              <w:spacing w:before="0"/>
              <w:rPr>
                <w:sz w:val="26"/>
                <w:rtl/>
              </w:rPr>
            </w:pPr>
            <w:r>
              <w:rPr>
                <w:rFonts w:hint="cs"/>
                <w:sz w:val="26"/>
                <w:rtl/>
              </w:rPr>
              <w:t>(1)</w:t>
            </w:r>
            <w:r>
              <w:rPr>
                <w:rFonts w:hint="cs"/>
                <w:sz w:val="26"/>
                <w:rtl/>
              </w:rPr>
              <w:tab/>
              <w:t>הליכים למינוי ועדת האיתור כמשמעותה בסעיף 8ב(ד) לחוק העיקרי כנוסחו בסעיף 8 לחוק זה, שהחלו לפני יום פרסומו של חוק זה, יראו אותם כאילו נעשו לפי אותו סעיף, ובלבד שנעשו בהתאם להוראות אותו סעיף;</w:t>
            </w:r>
          </w:p>
        </w:tc>
      </w:tr>
      <w:tr w:rsidR="00BF4529" w14:paraId="379890EA" w14:textId="77777777" w:rsidTr="00BF4529">
        <w:trPr>
          <w:cantSplit/>
        </w:trPr>
        <w:tc>
          <w:tcPr>
            <w:tcW w:w="1871" w:type="dxa"/>
            <w:tcMar>
              <w:top w:w="91" w:type="dxa"/>
              <w:left w:w="0" w:type="dxa"/>
              <w:bottom w:w="91" w:type="dxa"/>
              <w:right w:w="0" w:type="dxa"/>
            </w:tcMar>
          </w:tcPr>
          <w:p w14:paraId="477A9E8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621A219"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354843C"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C619B89" w14:textId="77777777" w:rsidR="00BF4529" w:rsidRDefault="00BF4529" w:rsidP="00BF4529">
            <w:pPr>
              <w:pStyle w:val="TableBlock"/>
              <w:spacing w:before="0"/>
              <w:rPr>
                <w:sz w:val="26"/>
                <w:rtl/>
              </w:rPr>
            </w:pPr>
            <w:r>
              <w:rPr>
                <w:rFonts w:hint="cs"/>
                <w:sz w:val="26"/>
                <w:rtl/>
              </w:rPr>
              <w:t>(2)</w:t>
            </w:r>
            <w:r>
              <w:rPr>
                <w:rFonts w:hint="cs"/>
                <w:sz w:val="26"/>
                <w:rtl/>
              </w:rPr>
              <w:tab/>
              <w:t>ועדת האיתור תקבע את אמות המידה כאמור בסעיף 8ב(ה) לחוק העיקרי כנוסחו בסעיף 8 לחוק זה, לפי הצעת המדען הראשי והממונה על התקציבים במשרד האוצר.</w:t>
            </w:r>
          </w:p>
        </w:tc>
      </w:tr>
      <w:tr w:rsidR="00BF4529" w14:paraId="00CD24B8" w14:textId="77777777" w:rsidTr="00BF4529">
        <w:trPr>
          <w:cantSplit/>
        </w:trPr>
        <w:tc>
          <w:tcPr>
            <w:tcW w:w="1871" w:type="dxa"/>
            <w:tcMar>
              <w:top w:w="91" w:type="dxa"/>
              <w:left w:w="0" w:type="dxa"/>
              <w:bottom w:w="91" w:type="dxa"/>
              <w:right w:w="0" w:type="dxa"/>
            </w:tcMar>
          </w:tcPr>
          <w:p w14:paraId="72FC390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1256B9B"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239E0907" w14:textId="77777777" w:rsidR="00BF4529" w:rsidRDefault="00BF4529" w:rsidP="00BF4529">
            <w:pPr>
              <w:pStyle w:val="TableBlock"/>
              <w:spacing w:before="0"/>
              <w:rPr>
                <w:sz w:val="26"/>
                <w:rtl/>
              </w:rPr>
            </w:pPr>
            <w:r>
              <w:rPr>
                <w:rFonts w:hint="cs"/>
                <w:sz w:val="26"/>
                <w:rtl/>
              </w:rPr>
              <w:t>(ו)</w:t>
            </w:r>
            <w:r>
              <w:rPr>
                <w:rFonts w:hint="cs"/>
                <w:sz w:val="26"/>
                <w:rtl/>
              </w:rPr>
              <w:tab/>
              <w:t>על אף האמור בסעיף 8ח לחוק העיקרי כנוסחו בסעיף 8 לחוק זה, ניתן למנות מנהל כללי זמני לרשות (להלן – המנהל הכללי הזמני) לפני יום התחילה, בהתאם להוראות אלה:</w:t>
            </w:r>
          </w:p>
        </w:tc>
      </w:tr>
      <w:tr w:rsidR="00BF4529" w14:paraId="624D1D54" w14:textId="77777777" w:rsidTr="00BF4529">
        <w:trPr>
          <w:cantSplit/>
        </w:trPr>
        <w:tc>
          <w:tcPr>
            <w:tcW w:w="1871" w:type="dxa"/>
            <w:tcMar>
              <w:top w:w="91" w:type="dxa"/>
              <w:left w:w="0" w:type="dxa"/>
              <w:bottom w:w="91" w:type="dxa"/>
              <w:right w:w="0" w:type="dxa"/>
            </w:tcMar>
          </w:tcPr>
          <w:p w14:paraId="59064BC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196268D"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851CDEE"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55561414" w14:textId="77777777" w:rsidR="00BF4529" w:rsidRDefault="00BF4529" w:rsidP="00BF4529">
            <w:pPr>
              <w:pStyle w:val="TableBlock"/>
              <w:spacing w:before="0"/>
              <w:rPr>
                <w:sz w:val="26"/>
                <w:rtl/>
              </w:rPr>
            </w:pPr>
            <w:r>
              <w:rPr>
                <w:rFonts w:hint="cs"/>
                <w:sz w:val="26"/>
                <w:rtl/>
              </w:rPr>
              <w:t>(1)</w:t>
            </w:r>
            <w:r>
              <w:rPr>
                <w:rFonts w:hint="cs"/>
                <w:sz w:val="26"/>
                <w:rtl/>
              </w:rPr>
              <w:tab/>
              <w:t>הוועדה למינוי מנהל כללי זמני (להלן – ועדת המינוי) תורכב מעובדי המדינה העתידים לכהן במועצה, יחד עם שני נציגי הציבור שמונו לוועדת המחקר לפי סעיף 9(א)(5) לחוק העיקרי כנוסחו ערב יום התחילה, ובראש ועדת המינוי יכהן המדען הראשי;</w:t>
            </w:r>
          </w:p>
        </w:tc>
      </w:tr>
      <w:tr w:rsidR="00BF4529" w14:paraId="7CAF6396" w14:textId="77777777" w:rsidTr="00BF4529">
        <w:trPr>
          <w:cantSplit/>
        </w:trPr>
        <w:tc>
          <w:tcPr>
            <w:tcW w:w="1871" w:type="dxa"/>
            <w:tcMar>
              <w:top w:w="91" w:type="dxa"/>
              <w:left w:w="0" w:type="dxa"/>
              <w:bottom w:w="91" w:type="dxa"/>
              <w:right w:w="0" w:type="dxa"/>
            </w:tcMar>
          </w:tcPr>
          <w:p w14:paraId="436B061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BD593B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4B91D5BC"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4C174EC" w14:textId="77777777" w:rsidR="00BF4529" w:rsidRDefault="00BF4529" w:rsidP="00BF4529">
            <w:pPr>
              <w:pStyle w:val="TableBlock"/>
              <w:spacing w:before="0"/>
              <w:rPr>
                <w:sz w:val="26"/>
                <w:rtl/>
              </w:rPr>
            </w:pPr>
            <w:r>
              <w:rPr>
                <w:rFonts w:hint="cs"/>
                <w:sz w:val="26"/>
                <w:rtl/>
              </w:rPr>
              <w:t>(2)</w:t>
            </w:r>
            <w:r>
              <w:rPr>
                <w:rFonts w:hint="cs"/>
                <w:sz w:val="26"/>
                <w:rtl/>
              </w:rPr>
              <w:tab/>
              <w:t xml:space="preserve">על ועדת המינוי ועל חבריה יחולו הוראות סעיף 8ב(ו) לחוק העיקרי כנוסחו בסעיף 8 לחוק זה; </w:t>
            </w:r>
          </w:p>
        </w:tc>
      </w:tr>
      <w:tr w:rsidR="00BF4529" w14:paraId="5831410C" w14:textId="77777777" w:rsidTr="00BF4529">
        <w:trPr>
          <w:cantSplit/>
        </w:trPr>
        <w:tc>
          <w:tcPr>
            <w:tcW w:w="1871" w:type="dxa"/>
            <w:tcMar>
              <w:top w:w="91" w:type="dxa"/>
              <w:left w:w="0" w:type="dxa"/>
              <w:bottom w:w="91" w:type="dxa"/>
              <w:right w:w="0" w:type="dxa"/>
            </w:tcMar>
          </w:tcPr>
          <w:p w14:paraId="6F8C7A3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B3A3CAA"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436431E"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0B98508" w14:textId="77777777" w:rsidR="00BF4529" w:rsidRDefault="00BF4529" w:rsidP="00BF4529">
            <w:pPr>
              <w:pStyle w:val="TableBlock"/>
              <w:spacing w:before="0"/>
              <w:rPr>
                <w:sz w:val="26"/>
                <w:rtl/>
              </w:rPr>
            </w:pPr>
            <w:r>
              <w:rPr>
                <w:rFonts w:hint="cs"/>
                <w:sz w:val="26"/>
                <w:rtl/>
              </w:rPr>
              <w:t>(3)</w:t>
            </w:r>
            <w:r>
              <w:rPr>
                <w:rFonts w:hint="cs"/>
                <w:sz w:val="26"/>
                <w:rtl/>
              </w:rPr>
              <w:tab/>
              <w:t>ועדת המינוי תאתר מועמדים לפי אמות מידה שנקבעו בהתאם לסעיף 8ח(ד) לחוק העיקרי כנוסחו בסעיף 8 לחוק זה;</w:t>
            </w:r>
          </w:p>
        </w:tc>
      </w:tr>
      <w:tr w:rsidR="00BF4529" w14:paraId="0648BD72" w14:textId="77777777" w:rsidTr="00BF4529">
        <w:trPr>
          <w:cantSplit/>
        </w:trPr>
        <w:tc>
          <w:tcPr>
            <w:tcW w:w="1871" w:type="dxa"/>
            <w:tcMar>
              <w:top w:w="91" w:type="dxa"/>
              <w:left w:w="0" w:type="dxa"/>
              <w:bottom w:w="91" w:type="dxa"/>
              <w:right w:w="0" w:type="dxa"/>
            </w:tcMar>
          </w:tcPr>
          <w:p w14:paraId="74994B9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7F5BEB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9A24AD2"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121D3A0D" w14:textId="77777777" w:rsidR="00BF4529" w:rsidRDefault="00BF4529" w:rsidP="00BF4529">
            <w:pPr>
              <w:pStyle w:val="TableBlock"/>
              <w:spacing w:before="0"/>
              <w:rPr>
                <w:sz w:val="26"/>
                <w:rtl/>
              </w:rPr>
            </w:pPr>
            <w:r>
              <w:rPr>
                <w:rFonts w:hint="cs"/>
                <w:sz w:val="26"/>
                <w:rtl/>
              </w:rPr>
              <w:t>(4)</w:t>
            </w:r>
            <w:r>
              <w:rPr>
                <w:rFonts w:hint="cs"/>
                <w:sz w:val="26"/>
                <w:rtl/>
              </w:rPr>
              <w:tab/>
              <w:t xml:space="preserve">על מינוי המנהל הכללי הזמני יחולו הוראות סעיף 8ח(ג) לחוק העיקרי כנוסחו בסעיף 8 לחוק זה; </w:t>
            </w:r>
          </w:p>
        </w:tc>
      </w:tr>
      <w:tr w:rsidR="00BF4529" w14:paraId="07943BAD" w14:textId="77777777" w:rsidTr="00BF4529">
        <w:trPr>
          <w:cantSplit/>
        </w:trPr>
        <w:tc>
          <w:tcPr>
            <w:tcW w:w="1871" w:type="dxa"/>
            <w:tcMar>
              <w:top w:w="91" w:type="dxa"/>
              <w:left w:w="0" w:type="dxa"/>
              <w:bottom w:w="91" w:type="dxa"/>
              <w:right w:w="0" w:type="dxa"/>
            </w:tcMar>
          </w:tcPr>
          <w:p w14:paraId="2F988526"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938C84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2679ACA"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BAA192A" w14:textId="77777777" w:rsidR="00BF4529" w:rsidRDefault="00BF4529" w:rsidP="00BF4529">
            <w:pPr>
              <w:pStyle w:val="TableBlock"/>
              <w:spacing w:before="0"/>
              <w:rPr>
                <w:sz w:val="26"/>
                <w:rtl/>
              </w:rPr>
            </w:pPr>
            <w:r>
              <w:rPr>
                <w:rFonts w:hint="cs"/>
                <w:sz w:val="26"/>
                <w:rtl/>
              </w:rPr>
              <w:t>(5)</w:t>
            </w:r>
            <w:r>
              <w:rPr>
                <w:rFonts w:hint="cs"/>
                <w:sz w:val="26"/>
                <w:rtl/>
              </w:rPr>
              <w:tab/>
              <w:t>המנהל הכללי הזמני יתמנה לתקופה של שנה או עד למינוי מנהל כללי קבוע, לפי המוקדם; אין באמור כדי למנוע את מינויו של המנהל הכללי הזמני למנהל הכללי הקבוע, ובלבד שמינוי כאמור יאושר בידי רוב של עובדי המדינה החברים במועצה וכן רוב של החברים מקרב הציבור במועצה;</w:t>
            </w:r>
          </w:p>
        </w:tc>
      </w:tr>
      <w:tr w:rsidR="00BF4529" w14:paraId="02A19730" w14:textId="77777777" w:rsidTr="00BF4529">
        <w:trPr>
          <w:cantSplit/>
        </w:trPr>
        <w:tc>
          <w:tcPr>
            <w:tcW w:w="1871" w:type="dxa"/>
            <w:tcMar>
              <w:top w:w="91" w:type="dxa"/>
              <w:left w:w="0" w:type="dxa"/>
              <w:bottom w:w="91" w:type="dxa"/>
              <w:right w:w="0" w:type="dxa"/>
            </w:tcMar>
          </w:tcPr>
          <w:p w14:paraId="5CC20009"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9884F36"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1D537A59"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68976DC" w14:textId="77777777" w:rsidR="00BF4529" w:rsidRDefault="00BF4529" w:rsidP="00BF4529">
            <w:pPr>
              <w:pStyle w:val="TableBlock"/>
              <w:spacing w:before="0"/>
              <w:rPr>
                <w:sz w:val="26"/>
                <w:rtl/>
              </w:rPr>
            </w:pPr>
            <w:r>
              <w:rPr>
                <w:rFonts w:hint="cs"/>
                <w:sz w:val="26"/>
                <w:rtl/>
              </w:rPr>
              <w:t>(6)</w:t>
            </w:r>
            <w:r>
              <w:rPr>
                <w:rFonts w:hint="cs"/>
                <w:sz w:val="26"/>
                <w:rtl/>
              </w:rPr>
              <w:tab/>
              <w:t>על אף האמור בפסקה (5), רשאית ועדת המינוי, בנסיבות מיוחדות, להאריך את הכהונה של המנהל הכללי הזמני בשנה אחת נוספת, ובלבד שטרם מונתה מועצה לרשות.</w:t>
            </w:r>
          </w:p>
        </w:tc>
      </w:tr>
      <w:tr w:rsidR="00BF4529" w14:paraId="714D2268" w14:textId="77777777" w:rsidTr="00BF4529">
        <w:trPr>
          <w:cantSplit/>
        </w:trPr>
        <w:tc>
          <w:tcPr>
            <w:tcW w:w="1871" w:type="dxa"/>
            <w:tcMar>
              <w:top w:w="91" w:type="dxa"/>
              <w:left w:w="0" w:type="dxa"/>
              <w:bottom w:w="91" w:type="dxa"/>
              <w:right w:w="0" w:type="dxa"/>
            </w:tcMar>
          </w:tcPr>
          <w:p w14:paraId="0C31C7E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CCFD7D7" w14:textId="77777777" w:rsidR="00BF4529" w:rsidRDefault="00BF4529" w:rsidP="00BF4529">
            <w:pPr>
              <w:pStyle w:val="TableText"/>
              <w:spacing w:before="0"/>
              <w:rPr>
                <w:sz w:val="26"/>
                <w:rtl/>
              </w:rPr>
            </w:pPr>
          </w:p>
        </w:tc>
        <w:tc>
          <w:tcPr>
            <w:tcW w:w="624" w:type="dxa"/>
            <w:tcMar>
              <w:top w:w="91" w:type="dxa"/>
              <w:left w:w="0" w:type="dxa"/>
              <w:bottom w:w="91" w:type="dxa"/>
              <w:right w:w="0" w:type="dxa"/>
            </w:tcMar>
            <w:hideMark/>
          </w:tcPr>
          <w:p w14:paraId="7C9856E4" w14:textId="77777777" w:rsidR="00BF4529" w:rsidRDefault="00BF4529" w:rsidP="00BF4529">
            <w:pPr>
              <w:pStyle w:val="TableText"/>
              <w:spacing w:before="0"/>
              <w:rPr>
                <w:sz w:val="26"/>
                <w:rtl/>
              </w:rPr>
            </w:pPr>
            <w:r>
              <w:rPr>
                <w:rFonts w:hint="cs"/>
                <w:sz w:val="26"/>
                <w:rtl/>
              </w:rPr>
              <w:t>(ז)</w:t>
            </w:r>
            <w:r>
              <w:rPr>
                <w:rFonts w:hint="cs"/>
                <w:sz w:val="26"/>
                <w:rtl/>
              </w:rPr>
              <w:tab/>
            </w:r>
          </w:p>
        </w:tc>
        <w:tc>
          <w:tcPr>
            <w:tcW w:w="6522" w:type="dxa"/>
            <w:gridSpan w:val="6"/>
            <w:tcMar>
              <w:top w:w="91" w:type="dxa"/>
              <w:left w:w="0" w:type="dxa"/>
              <w:bottom w:w="91" w:type="dxa"/>
              <w:right w:w="0" w:type="dxa"/>
            </w:tcMar>
            <w:hideMark/>
          </w:tcPr>
          <w:p w14:paraId="7B4A6D39" w14:textId="77777777" w:rsidR="00BF4529" w:rsidRDefault="00BF4529" w:rsidP="00BF4529">
            <w:pPr>
              <w:pStyle w:val="TableBlock"/>
              <w:spacing w:before="0"/>
              <w:rPr>
                <w:sz w:val="26"/>
                <w:rtl/>
              </w:rPr>
            </w:pPr>
            <w:r>
              <w:rPr>
                <w:rFonts w:hint="cs"/>
                <w:sz w:val="26"/>
                <w:rtl/>
              </w:rPr>
              <w:t>(1)</w:t>
            </w:r>
            <w:r>
              <w:rPr>
                <w:rFonts w:hint="cs"/>
                <w:sz w:val="26"/>
                <w:rtl/>
              </w:rPr>
              <w:tab/>
              <w:t>למנהל הכללי הזמני יהיו נתונות הסמכויות הנדרשות להקמת התשתית הנדרשת לתחילת פעולתה של הרשות, וסמכויות אלה בלבד; בכלל זה, תהיה למנהל הכללי הזמני סמכות לקבל לעבודה ברשות עשרה עובדים לכל היותר, לתפקידים הנדרשים לשם הקמת הרשות, ובהם גם יועץ משפטי.</w:t>
            </w:r>
          </w:p>
        </w:tc>
      </w:tr>
      <w:tr w:rsidR="00BF4529" w14:paraId="5B78FCE6" w14:textId="77777777" w:rsidTr="00BF4529">
        <w:trPr>
          <w:cantSplit/>
        </w:trPr>
        <w:tc>
          <w:tcPr>
            <w:tcW w:w="1871" w:type="dxa"/>
            <w:tcMar>
              <w:top w:w="91" w:type="dxa"/>
              <w:left w:w="0" w:type="dxa"/>
              <w:bottom w:w="91" w:type="dxa"/>
              <w:right w:w="0" w:type="dxa"/>
            </w:tcMar>
          </w:tcPr>
          <w:p w14:paraId="372DF5F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9425DF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21AFCDC"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606345C8" w14:textId="77777777" w:rsidR="00BF4529" w:rsidRDefault="00BF4529" w:rsidP="00BF4529">
            <w:pPr>
              <w:pStyle w:val="TableBlock"/>
              <w:spacing w:before="0"/>
              <w:rPr>
                <w:sz w:val="26"/>
                <w:rtl/>
              </w:rPr>
            </w:pPr>
            <w:r>
              <w:rPr>
                <w:rFonts w:hint="cs"/>
                <w:sz w:val="26"/>
                <w:rtl/>
              </w:rPr>
              <w:t>(2)</w:t>
            </w:r>
            <w:r>
              <w:rPr>
                <w:rFonts w:hint="cs"/>
                <w:sz w:val="26"/>
                <w:rtl/>
              </w:rPr>
              <w:tab/>
              <w:t>עובדים כאמור בפסקה (1) יועסקו לתקופה שלא תעלה על שנה מיום תחילת עבודתם, אולם המנהל הכללי הזמני רשאי להאריך בנסיבות מיוחדות את תקופת העסקתם בשנה אחת נוספת; אין בהוראות פסקה זו כדי למנוע את קבלת העובדים האמורים לעבודה ברשות בתום תקופת העסקתם הזמנית, בהתאם להליכי המינוי אשר יחולו על תפקידים אלה.</w:t>
            </w:r>
          </w:p>
        </w:tc>
      </w:tr>
      <w:tr w:rsidR="00BF4529" w14:paraId="04F6B526" w14:textId="77777777" w:rsidTr="00BF4529">
        <w:trPr>
          <w:cantSplit/>
        </w:trPr>
        <w:tc>
          <w:tcPr>
            <w:tcW w:w="1871" w:type="dxa"/>
            <w:tcMar>
              <w:top w:w="91" w:type="dxa"/>
              <w:left w:w="0" w:type="dxa"/>
              <w:bottom w:w="91" w:type="dxa"/>
              <w:right w:w="0" w:type="dxa"/>
            </w:tcMar>
          </w:tcPr>
          <w:p w14:paraId="4B8ADBF8"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9259FD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23711641"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446F82B8" w14:textId="77777777" w:rsidR="00BF4529" w:rsidRDefault="00BF4529" w:rsidP="00BF4529">
            <w:pPr>
              <w:pStyle w:val="TableBlock"/>
              <w:spacing w:before="0"/>
              <w:rPr>
                <w:sz w:val="26"/>
                <w:rtl/>
              </w:rPr>
            </w:pPr>
            <w:r>
              <w:rPr>
                <w:rFonts w:hint="cs"/>
                <w:sz w:val="26"/>
                <w:rtl/>
              </w:rPr>
              <w:t>(3)</w:t>
            </w:r>
            <w:r>
              <w:rPr>
                <w:rFonts w:hint="cs"/>
                <w:sz w:val="26"/>
                <w:rtl/>
              </w:rPr>
              <w:tab/>
              <w:t xml:space="preserve">בהפעלת הסמכויות האמורות בסעיף קטן זה, כל התחייבות, הזמנה, חוזה או הסכם יהיו טעונים אישור של נציג החשב הכללי במשרד האוצר. </w:t>
            </w:r>
          </w:p>
        </w:tc>
      </w:tr>
      <w:tr w:rsidR="00BF4529" w14:paraId="7F652AC8" w14:textId="77777777" w:rsidTr="00BF4529">
        <w:trPr>
          <w:cantSplit/>
        </w:trPr>
        <w:tc>
          <w:tcPr>
            <w:tcW w:w="1871" w:type="dxa"/>
            <w:tcMar>
              <w:top w:w="91" w:type="dxa"/>
              <w:left w:w="0" w:type="dxa"/>
              <w:bottom w:w="91" w:type="dxa"/>
              <w:right w:w="0" w:type="dxa"/>
            </w:tcMar>
          </w:tcPr>
          <w:p w14:paraId="0790204A"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F33742D"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3FCAC27" w14:textId="77777777" w:rsidR="00BF4529" w:rsidRDefault="00BF4529" w:rsidP="00BF4529">
            <w:pPr>
              <w:pStyle w:val="TableBlock"/>
              <w:spacing w:before="0"/>
              <w:rPr>
                <w:sz w:val="26"/>
                <w:rtl/>
              </w:rPr>
            </w:pPr>
            <w:r>
              <w:rPr>
                <w:rFonts w:hint="cs"/>
                <w:sz w:val="26"/>
                <w:rtl/>
              </w:rPr>
              <w:t>(ח)</w:t>
            </w:r>
            <w:r>
              <w:rPr>
                <w:rFonts w:hint="cs"/>
                <w:sz w:val="26"/>
                <w:rtl/>
              </w:rPr>
              <w:tab/>
              <w:t xml:space="preserve">עד למינוי המנהל הכללי הזמני לפי סעיף קטן (ו), רשאי המדען הראשי להפעיל את סמכויות המנהל הכללי הזמני לפי סעיפים קטנים (ז) ו-(יא). </w:t>
            </w:r>
          </w:p>
        </w:tc>
      </w:tr>
      <w:tr w:rsidR="00BF4529" w14:paraId="19F3E95B" w14:textId="77777777" w:rsidTr="00BF4529">
        <w:trPr>
          <w:cantSplit/>
        </w:trPr>
        <w:tc>
          <w:tcPr>
            <w:tcW w:w="1871" w:type="dxa"/>
            <w:tcMar>
              <w:top w:w="91" w:type="dxa"/>
              <w:left w:w="0" w:type="dxa"/>
              <w:bottom w:w="91" w:type="dxa"/>
              <w:right w:w="0" w:type="dxa"/>
            </w:tcMar>
          </w:tcPr>
          <w:p w14:paraId="672739F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6E75D38"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4F018CA" w14:textId="77777777" w:rsidR="00BF4529" w:rsidRDefault="00BF4529" w:rsidP="00BF4529">
            <w:pPr>
              <w:pStyle w:val="TableBlock"/>
              <w:spacing w:before="0"/>
              <w:rPr>
                <w:sz w:val="26"/>
                <w:rtl/>
              </w:rPr>
            </w:pPr>
            <w:r>
              <w:rPr>
                <w:rFonts w:hint="cs"/>
                <w:sz w:val="26"/>
                <w:rtl/>
              </w:rPr>
              <w:t>(ט)</w:t>
            </w:r>
            <w:r>
              <w:rPr>
                <w:rFonts w:hint="cs"/>
                <w:sz w:val="26"/>
                <w:rtl/>
              </w:rPr>
              <w:tab/>
              <w:t xml:space="preserve">על אף האמור בסעיף 9 לחוק העיקרי כנוסחו בסעיף 9 לחוק זה, עד תום שלוש שנים מיום התחילה או עד להחלטה אחרת של המועצה, לפי המוקדם, יראו את הוועדות שהפעילו את המסלולים הישנים כוועדות מחקר שמונו לפי הסעיף האמור. </w:t>
            </w:r>
          </w:p>
        </w:tc>
      </w:tr>
      <w:tr w:rsidR="00BF4529" w14:paraId="0BAA8A89" w14:textId="77777777" w:rsidTr="00BF4529">
        <w:trPr>
          <w:cantSplit/>
        </w:trPr>
        <w:tc>
          <w:tcPr>
            <w:tcW w:w="1871" w:type="dxa"/>
            <w:tcMar>
              <w:top w:w="91" w:type="dxa"/>
              <w:left w:w="0" w:type="dxa"/>
              <w:bottom w:w="91" w:type="dxa"/>
              <w:right w:w="0" w:type="dxa"/>
            </w:tcMar>
          </w:tcPr>
          <w:p w14:paraId="3D4C181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B44B72B"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0633C8C9" w14:textId="77777777" w:rsidR="00BF4529" w:rsidRDefault="00BF4529" w:rsidP="00BF4529">
            <w:pPr>
              <w:pStyle w:val="TableBlock"/>
              <w:spacing w:before="0"/>
              <w:rPr>
                <w:sz w:val="26"/>
                <w:rtl/>
              </w:rPr>
            </w:pPr>
            <w:r>
              <w:rPr>
                <w:rFonts w:hint="cs"/>
                <w:sz w:val="26"/>
                <w:rtl/>
              </w:rPr>
              <w:t>(י)</w:t>
            </w:r>
            <w:r>
              <w:rPr>
                <w:rFonts w:hint="cs"/>
                <w:sz w:val="26"/>
                <w:rtl/>
              </w:rPr>
              <w:tab/>
              <w:t xml:space="preserve">עד תום שנה מיום מינוי כלל חברי המועצה לפי סעיף 8ב לחוק העיקרי כנוסחו בסעיף 8 לחוק זה או עד להחלטה אחרת של המועצה בנוגע להוראות המסלולים הישנים, לפי המוקדם, ימשיכו לחול על המסלולים הישנים – </w:t>
            </w:r>
          </w:p>
        </w:tc>
      </w:tr>
      <w:tr w:rsidR="00BF4529" w14:paraId="62F28EA1" w14:textId="77777777" w:rsidTr="00BF4529">
        <w:trPr>
          <w:cantSplit/>
        </w:trPr>
        <w:tc>
          <w:tcPr>
            <w:tcW w:w="1871" w:type="dxa"/>
            <w:tcMar>
              <w:top w:w="91" w:type="dxa"/>
              <w:left w:w="0" w:type="dxa"/>
              <w:bottom w:w="91" w:type="dxa"/>
              <w:right w:w="0" w:type="dxa"/>
            </w:tcMar>
          </w:tcPr>
          <w:p w14:paraId="2891502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9BC023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6CACE378"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3F9F7259" w14:textId="77777777" w:rsidR="00BF4529" w:rsidRDefault="00BF4529" w:rsidP="00BF4529">
            <w:pPr>
              <w:pStyle w:val="TableBlock"/>
              <w:spacing w:before="0"/>
              <w:rPr>
                <w:sz w:val="26"/>
                <w:rtl/>
              </w:rPr>
            </w:pPr>
            <w:r>
              <w:rPr>
                <w:rFonts w:hint="cs"/>
                <w:sz w:val="26"/>
                <w:rtl/>
              </w:rPr>
              <w:t>(1)</w:t>
            </w:r>
            <w:r>
              <w:rPr>
                <w:rFonts w:hint="cs"/>
                <w:sz w:val="26"/>
                <w:rtl/>
              </w:rPr>
              <w:t> </w:t>
            </w:r>
            <w:r>
              <w:rPr>
                <w:rFonts w:hint="cs"/>
                <w:sz w:val="26"/>
                <w:rtl/>
              </w:rPr>
              <w:tab/>
              <w:t>הוראות החוק העיקרי כנוסחן ערב יום התחילה;</w:t>
            </w:r>
          </w:p>
        </w:tc>
      </w:tr>
      <w:tr w:rsidR="00BF4529" w14:paraId="0990C03A" w14:textId="77777777" w:rsidTr="00BF4529">
        <w:trPr>
          <w:cantSplit/>
        </w:trPr>
        <w:tc>
          <w:tcPr>
            <w:tcW w:w="1871" w:type="dxa"/>
            <w:tcMar>
              <w:top w:w="91" w:type="dxa"/>
              <w:left w:w="0" w:type="dxa"/>
              <w:bottom w:w="91" w:type="dxa"/>
              <w:right w:w="0" w:type="dxa"/>
            </w:tcMar>
          </w:tcPr>
          <w:p w14:paraId="0E56AF9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E9A624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3B85F3B"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032A51CC" w14:textId="77777777" w:rsidR="00BF4529" w:rsidRDefault="00BF4529" w:rsidP="00BF4529">
            <w:pPr>
              <w:pStyle w:val="TableBlock"/>
              <w:spacing w:before="0"/>
              <w:rPr>
                <w:sz w:val="26"/>
                <w:rtl/>
              </w:rPr>
            </w:pPr>
            <w:r>
              <w:rPr>
                <w:rFonts w:hint="cs"/>
                <w:sz w:val="26"/>
                <w:rtl/>
              </w:rPr>
              <w:t>(2)</w:t>
            </w:r>
            <w:r>
              <w:rPr>
                <w:rFonts w:hint="cs"/>
                <w:sz w:val="26"/>
                <w:rtl/>
              </w:rPr>
              <w:t> </w:t>
            </w:r>
            <w:r>
              <w:rPr>
                <w:rFonts w:hint="cs"/>
                <w:sz w:val="26"/>
                <w:rtl/>
              </w:rPr>
              <w:tab/>
              <w:t>תקנות שהותקנו לפי סעיפים 19ב(ב1) ו-(ז), 21(ג) ו-28(ג) לחוק העיקרי ותקנות בענייני אגרות שהותקנו לפי סעיף 52 לחוק העיקרי, כנוסחן ערב יום התחילה.</w:t>
            </w:r>
          </w:p>
        </w:tc>
      </w:tr>
      <w:tr w:rsidR="00BF4529" w14:paraId="1E01045F" w14:textId="77777777" w:rsidTr="00BF4529">
        <w:trPr>
          <w:cantSplit/>
        </w:trPr>
        <w:tc>
          <w:tcPr>
            <w:tcW w:w="1871" w:type="dxa"/>
            <w:tcMar>
              <w:top w:w="91" w:type="dxa"/>
              <w:left w:w="0" w:type="dxa"/>
              <w:bottom w:w="91" w:type="dxa"/>
              <w:right w:w="0" w:type="dxa"/>
            </w:tcMar>
          </w:tcPr>
          <w:p w14:paraId="112B1EA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E42E1B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hideMark/>
          </w:tcPr>
          <w:p w14:paraId="26DB09C2" w14:textId="77777777" w:rsidR="00BF4529" w:rsidRDefault="00BF4529" w:rsidP="00BF4529">
            <w:pPr>
              <w:pStyle w:val="TableText"/>
              <w:spacing w:before="0"/>
              <w:rPr>
                <w:sz w:val="26"/>
                <w:rtl/>
              </w:rPr>
            </w:pPr>
            <w:r>
              <w:rPr>
                <w:rFonts w:hint="cs"/>
                <w:sz w:val="26"/>
                <w:rtl/>
              </w:rPr>
              <w:t>(יא)</w:t>
            </w:r>
            <w:r>
              <w:rPr>
                <w:rFonts w:hint="cs"/>
                <w:sz w:val="26"/>
                <w:rtl/>
              </w:rPr>
              <w:tab/>
            </w:r>
          </w:p>
        </w:tc>
        <w:tc>
          <w:tcPr>
            <w:tcW w:w="6522" w:type="dxa"/>
            <w:gridSpan w:val="6"/>
            <w:tcMar>
              <w:top w:w="91" w:type="dxa"/>
              <w:left w:w="0" w:type="dxa"/>
              <w:bottom w:w="91" w:type="dxa"/>
              <w:right w:w="0" w:type="dxa"/>
            </w:tcMar>
            <w:hideMark/>
          </w:tcPr>
          <w:p w14:paraId="3C121D76" w14:textId="77777777" w:rsidR="00BF4529" w:rsidRDefault="00BF4529" w:rsidP="00BF4529">
            <w:pPr>
              <w:pStyle w:val="TableBlock"/>
              <w:spacing w:before="0"/>
              <w:rPr>
                <w:sz w:val="26"/>
                <w:rtl/>
              </w:rPr>
            </w:pPr>
            <w:r>
              <w:rPr>
                <w:rFonts w:hint="cs"/>
                <w:sz w:val="26"/>
                <w:rtl/>
              </w:rPr>
              <w:t>(1)</w:t>
            </w:r>
            <w:r>
              <w:rPr>
                <w:rFonts w:hint="cs"/>
                <w:sz w:val="26"/>
                <w:rtl/>
              </w:rPr>
              <w:tab/>
              <w:t xml:space="preserve">על אף האמור בסעיף קטן (ז), בתוך שלושה חודשים מיום מינויו יציע המנהל הכללי הראשון של הרשות שמינתה המועצה או המנהל הכללי הזמני של הרשות שמינתה הוועדה למינוי מנהל כללי זמני, לפי העניין (בסעיף קטן זה – המנהל הכללי של הרשות), לעובדי המדען הראשי ולעובדי העמותה להתקבל לרשות כעובדי הרשות. </w:t>
            </w:r>
          </w:p>
        </w:tc>
      </w:tr>
      <w:tr w:rsidR="00BF4529" w14:paraId="1445C03A" w14:textId="77777777" w:rsidTr="00BF4529">
        <w:trPr>
          <w:cantSplit/>
        </w:trPr>
        <w:tc>
          <w:tcPr>
            <w:tcW w:w="1871" w:type="dxa"/>
            <w:tcMar>
              <w:top w:w="91" w:type="dxa"/>
              <w:left w:w="0" w:type="dxa"/>
              <w:bottom w:w="91" w:type="dxa"/>
              <w:right w:w="0" w:type="dxa"/>
            </w:tcMar>
          </w:tcPr>
          <w:p w14:paraId="2811757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0D37473"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B27380C"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A9DD6C8" w14:textId="77777777" w:rsidR="00BF4529" w:rsidRDefault="00BF4529" w:rsidP="00BF4529">
            <w:pPr>
              <w:pStyle w:val="TableBlock"/>
              <w:spacing w:before="0"/>
              <w:rPr>
                <w:sz w:val="26"/>
                <w:rtl/>
              </w:rPr>
            </w:pPr>
            <w:r>
              <w:rPr>
                <w:rFonts w:hint="cs"/>
                <w:sz w:val="26"/>
                <w:rtl/>
              </w:rPr>
              <w:t>(2)</w:t>
            </w:r>
            <w:r>
              <w:rPr>
                <w:rFonts w:hint="cs"/>
                <w:sz w:val="26"/>
                <w:rtl/>
              </w:rPr>
              <w:tab/>
              <w:t>על אף האמור בפסקה (1) –</w:t>
            </w:r>
          </w:p>
        </w:tc>
      </w:tr>
      <w:tr w:rsidR="00BF4529" w14:paraId="34A2770A" w14:textId="77777777" w:rsidTr="00BF4529">
        <w:trPr>
          <w:cantSplit/>
        </w:trPr>
        <w:tc>
          <w:tcPr>
            <w:tcW w:w="1871" w:type="dxa"/>
            <w:tcMar>
              <w:top w:w="91" w:type="dxa"/>
              <w:left w:w="0" w:type="dxa"/>
              <w:bottom w:w="91" w:type="dxa"/>
              <w:right w:w="0" w:type="dxa"/>
            </w:tcMar>
          </w:tcPr>
          <w:p w14:paraId="52EC376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B173FF1"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5FCD73E"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FDA456E"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53A679FB" w14:textId="77777777" w:rsidR="00BF4529" w:rsidRDefault="00BF4529" w:rsidP="00BF4529">
            <w:pPr>
              <w:pStyle w:val="TableBlock"/>
              <w:spacing w:before="0"/>
              <w:rPr>
                <w:sz w:val="26"/>
                <w:rtl/>
              </w:rPr>
            </w:pPr>
            <w:r>
              <w:rPr>
                <w:rFonts w:hint="cs"/>
                <w:sz w:val="26"/>
                <w:rtl/>
              </w:rPr>
              <w:t>(א)</w:t>
            </w:r>
            <w:r>
              <w:rPr>
                <w:rFonts w:hint="cs"/>
                <w:sz w:val="26"/>
                <w:rtl/>
              </w:rPr>
              <w:tab/>
              <w:t>לגבי המנהל הכללי של העמותה ועובדים בכירים, למעט ראשי מינהלות המדען הראשי הכפופים לו במישרין, המנהל הכללי של הרשות רשאי להציע להם להתקבל לרשות כעובדי הרשות כאמור באותה פסקה, אך לא תחול עליו חובה לעשות זאת;</w:t>
            </w:r>
          </w:p>
        </w:tc>
      </w:tr>
      <w:tr w:rsidR="00BF4529" w14:paraId="5B828B47" w14:textId="77777777" w:rsidTr="00BF4529">
        <w:trPr>
          <w:cantSplit/>
        </w:trPr>
        <w:tc>
          <w:tcPr>
            <w:tcW w:w="1871" w:type="dxa"/>
            <w:tcMar>
              <w:top w:w="91" w:type="dxa"/>
              <w:left w:w="0" w:type="dxa"/>
              <w:bottom w:w="91" w:type="dxa"/>
              <w:right w:w="0" w:type="dxa"/>
            </w:tcMar>
          </w:tcPr>
          <w:p w14:paraId="57BD80D7" w14:textId="77777777" w:rsidR="00BF4529" w:rsidRDefault="00BF4529" w:rsidP="00BF4529">
            <w:pPr>
              <w:pStyle w:val="TableSideHeading"/>
              <w:spacing w:before="0" w:line="276" w:lineRule="auto"/>
              <w:jc w:val="left"/>
              <w:rPr>
                <w:sz w:val="24"/>
                <w:szCs w:val="24"/>
                <w:rtl/>
              </w:rPr>
            </w:pPr>
          </w:p>
        </w:tc>
        <w:tc>
          <w:tcPr>
            <w:tcW w:w="624" w:type="dxa"/>
            <w:tcMar>
              <w:top w:w="91" w:type="dxa"/>
              <w:left w:w="0" w:type="dxa"/>
              <w:bottom w:w="91" w:type="dxa"/>
              <w:right w:w="0" w:type="dxa"/>
            </w:tcMar>
          </w:tcPr>
          <w:p w14:paraId="1C049984"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7821585"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548094D6" w14:textId="77777777" w:rsidR="00BF4529" w:rsidRDefault="00BF4529" w:rsidP="00BF4529">
            <w:pPr>
              <w:pStyle w:val="TableText"/>
              <w:spacing w:before="0"/>
              <w:rPr>
                <w:sz w:val="26"/>
                <w:rtl/>
              </w:rPr>
            </w:pPr>
          </w:p>
        </w:tc>
        <w:tc>
          <w:tcPr>
            <w:tcW w:w="5898" w:type="dxa"/>
            <w:gridSpan w:val="5"/>
            <w:tcMar>
              <w:top w:w="91" w:type="dxa"/>
              <w:left w:w="0" w:type="dxa"/>
              <w:bottom w:w="91" w:type="dxa"/>
              <w:right w:w="0" w:type="dxa"/>
            </w:tcMar>
            <w:hideMark/>
          </w:tcPr>
          <w:p w14:paraId="63DAC9F4" w14:textId="77777777" w:rsidR="00BF4529" w:rsidRDefault="00BF4529" w:rsidP="00BF4529">
            <w:pPr>
              <w:pStyle w:val="TableBlock"/>
              <w:spacing w:before="0"/>
              <w:rPr>
                <w:sz w:val="26"/>
                <w:rtl/>
              </w:rPr>
            </w:pPr>
            <w:r>
              <w:rPr>
                <w:rFonts w:hint="cs"/>
                <w:sz w:val="26"/>
                <w:rtl/>
              </w:rPr>
              <w:t>(ב)</w:t>
            </w:r>
            <w:r>
              <w:rPr>
                <w:rFonts w:hint="cs"/>
                <w:sz w:val="26"/>
                <w:rtl/>
              </w:rPr>
              <w:tab/>
              <w:t>לא ייקלט עובד שלא היה עובד המדינה אם מתקיימת בו נסיבה שבשלה אין לקלוט אותו כעובד בשירות המדינה.</w:t>
            </w:r>
          </w:p>
        </w:tc>
      </w:tr>
      <w:tr w:rsidR="00BF4529" w14:paraId="4BC87451" w14:textId="77777777" w:rsidTr="00BF4529">
        <w:trPr>
          <w:cantSplit/>
        </w:trPr>
        <w:tc>
          <w:tcPr>
            <w:tcW w:w="1871" w:type="dxa"/>
            <w:tcMar>
              <w:top w:w="91" w:type="dxa"/>
              <w:left w:w="0" w:type="dxa"/>
              <w:bottom w:w="91" w:type="dxa"/>
              <w:right w:w="0" w:type="dxa"/>
            </w:tcMar>
          </w:tcPr>
          <w:p w14:paraId="3A260360"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F5C58E2"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74CABC3A"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20A3ED04" w14:textId="77777777" w:rsidR="00BF4529" w:rsidRDefault="00BF4529" w:rsidP="00BF4529">
            <w:pPr>
              <w:pStyle w:val="TableBlock"/>
              <w:spacing w:before="0"/>
              <w:rPr>
                <w:sz w:val="26"/>
                <w:rtl/>
              </w:rPr>
            </w:pPr>
            <w:r>
              <w:rPr>
                <w:rFonts w:hint="cs"/>
                <w:sz w:val="26"/>
                <w:rtl/>
              </w:rPr>
              <w:t>(3)</w:t>
            </w:r>
            <w:r>
              <w:rPr>
                <w:rFonts w:hint="cs"/>
                <w:sz w:val="26"/>
                <w:rtl/>
              </w:rPr>
              <w:tab/>
              <w:t>עובד המדען הראשי או עובד העמותה, שהמנהל הכללי של הרשות הציע לו להתקבל לעבוד ברשות לפי הוראות פסקה (1) או (2), ישיב להצעה בתוך 21 ימים מיום קבלתה; לא השיב העובד להצעה בתוך התקופה האמורה, יראו אותו כמי שסירב להצעה.</w:t>
            </w:r>
          </w:p>
        </w:tc>
      </w:tr>
      <w:tr w:rsidR="00BF4529" w14:paraId="33334861" w14:textId="77777777" w:rsidTr="00BF4529">
        <w:trPr>
          <w:cantSplit/>
        </w:trPr>
        <w:tc>
          <w:tcPr>
            <w:tcW w:w="1871" w:type="dxa"/>
            <w:tcMar>
              <w:top w:w="91" w:type="dxa"/>
              <w:left w:w="0" w:type="dxa"/>
              <w:bottom w:w="91" w:type="dxa"/>
              <w:right w:w="0" w:type="dxa"/>
            </w:tcMar>
          </w:tcPr>
          <w:p w14:paraId="6423144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0CEB5C0" w14:textId="77777777" w:rsidR="00BF4529" w:rsidRDefault="00BF4529" w:rsidP="00BF4529">
            <w:pPr>
              <w:pStyle w:val="TableText"/>
              <w:spacing w:before="0"/>
              <w:rPr>
                <w:sz w:val="26"/>
                <w:rtl/>
              </w:rPr>
            </w:pPr>
          </w:p>
        </w:tc>
        <w:tc>
          <w:tcPr>
            <w:tcW w:w="624" w:type="dxa"/>
            <w:tcMar>
              <w:top w:w="91" w:type="dxa"/>
              <w:left w:w="0" w:type="dxa"/>
              <w:bottom w:w="91" w:type="dxa"/>
              <w:right w:w="0" w:type="dxa"/>
            </w:tcMar>
          </w:tcPr>
          <w:p w14:paraId="051F502F"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1D53CEDA" w14:textId="77777777" w:rsidR="00BF4529" w:rsidRDefault="00BF4529" w:rsidP="00BF4529">
            <w:pPr>
              <w:pStyle w:val="TableBlock"/>
              <w:spacing w:before="0"/>
              <w:rPr>
                <w:sz w:val="26"/>
                <w:rtl/>
              </w:rPr>
            </w:pPr>
            <w:r>
              <w:rPr>
                <w:rFonts w:hint="cs"/>
                <w:sz w:val="26"/>
                <w:rtl/>
              </w:rPr>
              <w:t>(4)</w:t>
            </w:r>
            <w:r>
              <w:rPr>
                <w:rFonts w:hint="cs"/>
                <w:sz w:val="26"/>
                <w:rtl/>
              </w:rPr>
              <w:tab/>
              <w:t>התקבל עובד לרשות לפי הוראות פסקאות (1) ו-(3), יחולו עליו תנאי העבודה שחלו עליו כדין, כעובד המדען הראשי או כעובד העמותה, לפי העניין, ערב קליטתו ברשות, ובלבד שאושר לרשות, לפי הוראות סעיף 29 לחוק יסודות התקציב, התשמ"ה–1985 (להלן – חוק יסודות התקציב), להנהיג תנאים אלה.</w:t>
            </w:r>
          </w:p>
        </w:tc>
      </w:tr>
      <w:tr w:rsidR="00BF4529" w14:paraId="3868C4A2" w14:textId="77777777" w:rsidTr="00BF4529">
        <w:trPr>
          <w:cantSplit/>
        </w:trPr>
        <w:tc>
          <w:tcPr>
            <w:tcW w:w="1871" w:type="dxa"/>
            <w:tcMar>
              <w:top w:w="91" w:type="dxa"/>
              <w:left w:w="0" w:type="dxa"/>
              <w:bottom w:w="91" w:type="dxa"/>
              <w:right w:w="0" w:type="dxa"/>
            </w:tcMar>
          </w:tcPr>
          <w:p w14:paraId="516C7A25"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996AD2A" w14:textId="77777777" w:rsidR="00BF4529" w:rsidRDefault="00BF4529" w:rsidP="00BF4529">
            <w:pPr>
              <w:pStyle w:val="TableText"/>
              <w:spacing w:before="0"/>
              <w:rPr>
                <w:rtl/>
              </w:rPr>
            </w:pPr>
          </w:p>
        </w:tc>
        <w:tc>
          <w:tcPr>
            <w:tcW w:w="624" w:type="dxa"/>
            <w:tcMar>
              <w:top w:w="91" w:type="dxa"/>
              <w:left w:w="0" w:type="dxa"/>
              <w:bottom w:w="91" w:type="dxa"/>
              <w:right w:w="0" w:type="dxa"/>
            </w:tcMar>
          </w:tcPr>
          <w:p w14:paraId="347E084A"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6210C52A" w14:textId="77777777" w:rsidR="00BF4529" w:rsidRDefault="00BF4529" w:rsidP="00BF4529">
            <w:pPr>
              <w:pStyle w:val="TableBlock"/>
              <w:spacing w:before="0"/>
              <w:rPr>
                <w:sz w:val="26"/>
                <w:rtl/>
              </w:rPr>
            </w:pPr>
            <w:r>
              <w:rPr>
                <w:rFonts w:hint="cs"/>
                <w:sz w:val="26"/>
                <w:rtl/>
              </w:rPr>
              <w:t>(5)</w:t>
            </w:r>
            <w:r>
              <w:rPr>
                <w:rFonts w:hint="cs"/>
                <w:sz w:val="26"/>
                <w:rtl/>
              </w:rPr>
              <w:tab/>
              <w:t>על אף האמור בפסקה (4), נחתם הסכם קיבוצי מיוחד, כמשמעותו בחוק הסכמים קיבוציים, התשי"ז–1957</w:t>
            </w:r>
            <w:r>
              <w:rPr>
                <w:rStyle w:val="ab"/>
                <w:sz w:val="26"/>
                <w:rtl/>
              </w:rPr>
              <w:footnoteReference w:id="28"/>
            </w:r>
            <w:r>
              <w:rPr>
                <w:rFonts w:hint="cs"/>
                <w:sz w:val="26"/>
                <w:rtl/>
              </w:rPr>
              <w:t>, בין הרשות ובין ארגון העובדים המייצג את המספר הגדול ביותר של עובדי הרשות, המסדיר את שכרם ותנאי עבודתם, ואשר אושר לפי סעיף 29 לחוק יסודות התקציב, יחולו הוראות הסכם זה.</w:t>
            </w:r>
          </w:p>
        </w:tc>
      </w:tr>
      <w:tr w:rsidR="00BF4529" w14:paraId="778399FF" w14:textId="77777777" w:rsidTr="00BF4529">
        <w:trPr>
          <w:cantSplit/>
        </w:trPr>
        <w:tc>
          <w:tcPr>
            <w:tcW w:w="1871" w:type="dxa"/>
            <w:tcMar>
              <w:top w:w="91" w:type="dxa"/>
              <w:left w:w="0" w:type="dxa"/>
              <w:bottom w:w="91" w:type="dxa"/>
              <w:right w:w="0" w:type="dxa"/>
            </w:tcMar>
          </w:tcPr>
          <w:p w14:paraId="264C55A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97F3A4A" w14:textId="77777777" w:rsidR="00BF4529" w:rsidRDefault="00BF4529" w:rsidP="00BF4529">
            <w:pPr>
              <w:pStyle w:val="TableText"/>
              <w:spacing w:before="0"/>
              <w:rPr>
                <w:rtl/>
              </w:rPr>
            </w:pPr>
          </w:p>
        </w:tc>
        <w:tc>
          <w:tcPr>
            <w:tcW w:w="624" w:type="dxa"/>
            <w:tcMar>
              <w:top w:w="91" w:type="dxa"/>
              <w:left w:w="0" w:type="dxa"/>
              <w:bottom w:w="91" w:type="dxa"/>
              <w:right w:w="0" w:type="dxa"/>
            </w:tcMar>
          </w:tcPr>
          <w:p w14:paraId="00EC196E"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C983DB1" w14:textId="77777777" w:rsidR="00BF4529" w:rsidRDefault="00BF4529" w:rsidP="00BF4529">
            <w:pPr>
              <w:pStyle w:val="TableBlock"/>
              <w:spacing w:before="0"/>
              <w:rPr>
                <w:sz w:val="26"/>
                <w:rtl/>
              </w:rPr>
            </w:pPr>
            <w:r>
              <w:rPr>
                <w:rFonts w:hint="cs"/>
                <w:sz w:val="26"/>
                <w:rtl/>
              </w:rPr>
              <w:t>(6)</w:t>
            </w:r>
            <w:r>
              <w:rPr>
                <w:rFonts w:hint="cs"/>
                <w:sz w:val="26"/>
                <w:rtl/>
              </w:rPr>
              <w:tab/>
              <w:t>על אף האמור בכל דין, עובד שהתקבל לרשות לפי הוראות פסקאות (1) ו-(3) לא יהיה זכאי להטבות פרישה כלשהן בשל סיום העסקתו במדען הראשי או בעמותה, לפי העניין.</w:t>
            </w:r>
          </w:p>
        </w:tc>
      </w:tr>
      <w:tr w:rsidR="00BF4529" w14:paraId="173F0850" w14:textId="77777777" w:rsidTr="00BF4529">
        <w:trPr>
          <w:cantSplit/>
        </w:trPr>
        <w:tc>
          <w:tcPr>
            <w:tcW w:w="1871" w:type="dxa"/>
            <w:tcMar>
              <w:top w:w="91" w:type="dxa"/>
              <w:left w:w="0" w:type="dxa"/>
              <w:bottom w:w="91" w:type="dxa"/>
              <w:right w:w="0" w:type="dxa"/>
            </w:tcMar>
          </w:tcPr>
          <w:p w14:paraId="0EB7CA3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3BD48BB3" w14:textId="77777777" w:rsidR="00BF4529" w:rsidRDefault="00BF4529" w:rsidP="00BF4529">
            <w:pPr>
              <w:pStyle w:val="TableText"/>
              <w:spacing w:before="0"/>
              <w:rPr>
                <w:rtl/>
              </w:rPr>
            </w:pPr>
          </w:p>
        </w:tc>
        <w:tc>
          <w:tcPr>
            <w:tcW w:w="624" w:type="dxa"/>
            <w:tcMar>
              <w:top w:w="91" w:type="dxa"/>
              <w:left w:w="0" w:type="dxa"/>
              <w:bottom w:w="91" w:type="dxa"/>
              <w:right w:w="0" w:type="dxa"/>
            </w:tcMar>
          </w:tcPr>
          <w:p w14:paraId="640019F5"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72F0B43A" w14:textId="77777777" w:rsidR="00BF4529" w:rsidRDefault="00BF4529" w:rsidP="00BF4529">
            <w:pPr>
              <w:pStyle w:val="TableBlock"/>
              <w:spacing w:before="0"/>
              <w:rPr>
                <w:sz w:val="26"/>
                <w:rtl/>
              </w:rPr>
            </w:pPr>
            <w:r>
              <w:rPr>
                <w:rFonts w:hint="cs"/>
                <w:sz w:val="26"/>
                <w:rtl/>
              </w:rPr>
              <w:t>(7)</w:t>
            </w:r>
            <w:r>
              <w:rPr>
                <w:rFonts w:hint="cs"/>
                <w:sz w:val="26"/>
                <w:rtl/>
              </w:rPr>
              <w:tab/>
              <w:t>זכויות עובד שהתקבל לרשות לפי הוראות פסקאות (1) ו-(3) הנובעות מעבודתו כעובד המדינה או כעובד העמותה, לפי העניין, ייחשבו כזכויות הנובעות מעבודה בשירות הרשות.</w:t>
            </w:r>
          </w:p>
        </w:tc>
      </w:tr>
      <w:tr w:rsidR="00BF4529" w14:paraId="121C86BC" w14:textId="77777777" w:rsidTr="00BF4529">
        <w:trPr>
          <w:cantSplit/>
        </w:trPr>
        <w:tc>
          <w:tcPr>
            <w:tcW w:w="1871" w:type="dxa"/>
            <w:tcMar>
              <w:top w:w="91" w:type="dxa"/>
              <w:left w:w="0" w:type="dxa"/>
              <w:bottom w:w="91" w:type="dxa"/>
              <w:right w:w="0" w:type="dxa"/>
            </w:tcMar>
          </w:tcPr>
          <w:p w14:paraId="682EA69F"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0BB1F7D" w14:textId="77777777" w:rsidR="00BF4529" w:rsidRDefault="00BF4529" w:rsidP="00BF4529">
            <w:pPr>
              <w:pStyle w:val="TableText"/>
              <w:spacing w:before="0"/>
              <w:rPr>
                <w:rtl/>
              </w:rPr>
            </w:pPr>
          </w:p>
        </w:tc>
        <w:tc>
          <w:tcPr>
            <w:tcW w:w="624" w:type="dxa"/>
            <w:tcMar>
              <w:top w:w="91" w:type="dxa"/>
              <w:left w:w="0" w:type="dxa"/>
              <w:bottom w:w="91" w:type="dxa"/>
              <w:right w:w="0" w:type="dxa"/>
            </w:tcMar>
          </w:tcPr>
          <w:p w14:paraId="05B3F6AD" w14:textId="77777777" w:rsidR="00BF4529" w:rsidRDefault="00BF4529" w:rsidP="00BF4529">
            <w:pPr>
              <w:pStyle w:val="TableText"/>
              <w:spacing w:before="0"/>
              <w:rPr>
                <w:sz w:val="26"/>
                <w:rtl/>
              </w:rPr>
            </w:pPr>
          </w:p>
        </w:tc>
        <w:tc>
          <w:tcPr>
            <w:tcW w:w="6522" w:type="dxa"/>
            <w:gridSpan w:val="6"/>
            <w:tcMar>
              <w:top w:w="91" w:type="dxa"/>
              <w:left w:w="0" w:type="dxa"/>
              <w:bottom w:w="91" w:type="dxa"/>
              <w:right w:w="0" w:type="dxa"/>
            </w:tcMar>
            <w:hideMark/>
          </w:tcPr>
          <w:p w14:paraId="640AEC6A" w14:textId="77777777" w:rsidR="00BF4529" w:rsidRDefault="00BF4529" w:rsidP="00BF4529">
            <w:pPr>
              <w:pStyle w:val="TableBlock"/>
              <w:spacing w:before="0"/>
              <w:rPr>
                <w:sz w:val="26"/>
                <w:rtl/>
              </w:rPr>
            </w:pPr>
            <w:r>
              <w:rPr>
                <w:rFonts w:hint="cs"/>
                <w:sz w:val="26"/>
                <w:rtl/>
              </w:rPr>
              <w:t>(8)</w:t>
            </w:r>
            <w:r>
              <w:rPr>
                <w:rFonts w:hint="cs"/>
                <w:sz w:val="26"/>
                <w:rtl/>
              </w:rPr>
              <w:tab/>
              <w:t>הסדרים לגבי זיכוי הרשות בסכומי התשלומים של עובדים שיתקבלו לעבוד בה לפי האמור בפסקה (7), ייקבעו תוך שנה מיום תחילתו של חוק זה בהסכמים בין הרשות והממשלה ובין הרשות והעמותה.</w:t>
            </w:r>
          </w:p>
        </w:tc>
      </w:tr>
      <w:tr w:rsidR="00BF4529" w14:paraId="6642C513" w14:textId="77777777" w:rsidTr="00BF4529">
        <w:trPr>
          <w:cantSplit/>
        </w:trPr>
        <w:tc>
          <w:tcPr>
            <w:tcW w:w="1871" w:type="dxa"/>
            <w:tcMar>
              <w:top w:w="91" w:type="dxa"/>
              <w:left w:w="0" w:type="dxa"/>
              <w:bottom w:w="91" w:type="dxa"/>
              <w:right w:w="0" w:type="dxa"/>
            </w:tcMar>
          </w:tcPr>
          <w:p w14:paraId="6B69A72C"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4F3F2AC2"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45584458" w14:textId="77777777" w:rsidR="00BF4529" w:rsidRDefault="00BF4529" w:rsidP="00BF4529">
            <w:pPr>
              <w:pStyle w:val="TableBlock"/>
              <w:spacing w:before="0"/>
              <w:rPr>
                <w:sz w:val="26"/>
                <w:rtl/>
              </w:rPr>
            </w:pPr>
            <w:r>
              <w:rPr>
                <w:rFonts w:hint="cs"/>
                <w:sz w:val="26"/>
                <w:rtl/>
              </w:rPr>
              <w:t>(יב)</w:t>
            </w:r>
            <w:r>
              <w:rPr>
                <w:rFonts w:hint="cs"/>
                <w:sz w:val="26"/>
                <w:rtl/>
              </w:rPr>
              <w:tab/>
              <w:t>מיום התחילה ואילך תבוא הרשות במקום משרד הכלכלה ובמקום המינהל למחקר ופיתוח תעשייתי במשרד הכלכלה, לפי העניין, לגבי כל התקשרות והתחייבות שהיו קיימות ערב יום התחילה, שהמנהל הכללי של משרד הכלכלה, חשב משרד הכלכלה והמדען הראשי, אישרו כי הן נועדו למימוש מטרות החוק העיקרי ונועדו לפעילות המדען הראשי או לשם הפעלת המסלולים הישנים.</w:t>
            </w:r>
          </w:p>
        </w:tc>
      </w:tr>
      <w:tr w:rsidR="00BF4529" w14:paraId="0381287E" w14:textId="77777777" w:rsidTr="00BF4529">
        <w:trPr>
          <w:cantSplit/>
        </w:trPr>
        <w:tc>
          <w:tcPr>
            <w:tcW w:w="1871" w:type="dxa"/>
            <w:tcMar>
              <w:top w:w="91" w:type="dxa"/>
              <w:left w:w="0" w:type="dxa"/>
              <w:bottom w:w="91" w:type="dxa"/>
              <w:right w:w="0" w:type="dxa"/>
            </w:tcMar>
          </w:tcPr>
          <w:p w14:paraId="2A8F5354"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577C86CB"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F4C0C4F" w14:textId="77777777" w:rsidR="00BF4529" w:rsidRDefault="00BF4529" w:rsidP="00BF4529">
            <w:pPr>
              <w:pStyle w:val="TableBlock"/>
              <w:spacing w:before="0"/>
              <w:rPr>
                <w:sz w:val="26"/>
                <w:rtl/>
              </w:rPr>
            </w:pPr>
            <w:r>
              <w:rPr>
                <w:rFonts w:hint="cs"/>
                <w:sz w:val="26"/>
                <w:rtl/>
              </w:rPr>
              <w:t>(יג)</w:t>
            </w:r>
            <w:r>
              <w:rPr>
                <w:rFonts w:hint="cs"/>
                <w:sz w:val="26"/>
                <w:rtl/>
              </w:rPr>
              <w:tab/>
              <w:t xml:space="preserve">בסעיף זה – </w:t>
            </w:r>
          </w:p>
        </w:tc>
      </w:tr>
      <w:tr w:rsidR="00BF4529" w14:paraId="5754DDFF" w14:textId="77777777" w:rsidTr="00BF4529">
        <w:trPr>
          <w:cantSplit/>
        </w:trPr>
        <w:tc>
          <w:tcPr>
            <w:tcW w:w="1871" w:type="dxa"/>
            <w:tcMar>
              <w:top w:w="91" w:type="dxa"/>
              <w:left w:w="0" w:type="dxa"/>
              <w:bottom w:w="91" w:type="dxa"/>
              <w:right w:w="0" w:type="dxa"/>
            </w:tcMar>
          </w:tcPr>
          <w:p w14:paraId="0CFB0B92"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15F79072"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556D25ED" w14:textId="77777777" w:rsidR="00BF4529" w:rsidRDefault="00BF4529" w:rsidP="00BF4529">
            <w:pPr>
              <w:pStyle w:val="TableBlockOutdent"/>
              <w:spacing w:before="0"/>
              <w:rPr>
                <w:sz w:val="26"/>
                <w:rtl/>
              </w:rPr>
            </w:pPr>
            <w:r>
              <w:rPr>
                <w:rFonts w:hint="cs"/>
                <w:sz w:val="26"/>
                <w:rtl/>
              </w:rPr>
              <w:t>"הטבות" – כהגדרתן בסעיף 5א לחוק העיקרי, כנוסחו בסעיף 7 לחוק זה;</w:t>
            </w:r>
          </w:p>
        </w:tc>
      </w:tr>
      <w:tr w:rsidR="00BF4529" w14:paraId="1622A98C" w14:textId="77777777" w:rsidTr="00BF4529">
        <w:trPr>
          <w:cantSplit/>
        </w:trPr>
        <w:tc>
          <w:tcPr>
            <w:tcW w:w="1871" w:type="dxa"/>
            <w:tcMar>
              <w:top w:w="91" w:type="dxa"/>
              <w:left w:w="0" w:type="dxa"/>
              <w:bottom w:w="91" w:type="dxa"/>
              <w:right w:w="0" w:type="dxa"/>
            </w:tcMar>
          </w:tcPr>
          <w:p w14:paraId="6DD564DD"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2E8B5B56"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33BBF32" w14:textId="77777777" w:rsidR="00BF4529" w:rsidRDefault="00BF4529" w:rsidP="00BF4529">
            <w:pPr>
              <w:pStyle w:val="TableBlockOutdent"/>
              <w:spacing w:before="0"/>
              <w:rPr>
                <w:sz w:val="26"/>
                <w:rtl/>
              </w:rPr>
            </w:pPr>
            <w:r>
              <w:rPr>
                <w:rFonts w:hint="cs"/>
                <w:sz w:val="26"/>
                <w:rtl/>
              </w:rPr>
              <w:t>"המדען הראשי", "המסלולים הישנים", "מסלול המדען הראשי", "הרשות" – כהגדרתם בסעיף 4 לחוק העיקרי, כנוסחו בסעיף 5 לחוק זה;</w:t>
            </w:r>
          </w:p>
        </w:tc>
      </w:tr>
      <w:tr w:rsidR="00BF4529" w14:paraId="1C285C8A" w14:textId="77777777" w:rsidTr="00BF4529">
        <w:trPr>
          <w:cantSplit/>
        </w:trPr>
        <w:tc>
          <w:tcPr>
            <w:tcW w:w="1871" w:type="dxa"/>
            <w:tcMar>
              <w:top w:w="91" w:type="dxa"/>
              <w:left w:w="0" w:type="dxa"/>
              <w:bottom w:w="91" w:type="dxa"/>
              <w:right w:w="0" w:type="dxa"/>
            </w:tcMar>
          </w:tcPr>
          <w:p w14:paraId="4ACF252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07D1BD23"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1451AB61" w14:textId="77777777" w:rsidR="00BF4529" w:rsidRDefault="00BF4529" w:rsidP="00BF4529">
            <w:pPr>
              <w:pStyle w:val="TableBlockOutdent"/>
              <w:spacing w:before="0"/>
              <w:rPr>
                <w:sz w:val="26"/>
                <w:rtl/>
              </w:rPr>
            </w:pPr>
            <w:r>
              <w:rPr>
                <w:rFonts w:hint="cs"/>
                <w:sz w:val="26"/>
                <w:rtl/>
              </w:rPr>
              <w:t>"המועצה" – כמשמעותה בסעיף 6(1) לחוק העיקרי, כנוסחו בסעיף 8 לחוק זה.</w:t>
            </w:r>
          </w:p>
        </w:tc>
      </w:tr>
      <w:tr w:rsidR="00BF4529" w14:paraId="1D77113D" w14:textId="77777777" w:rsidTr="00BF4529">
        <w:trPr>
          <w:cantSplit/>
        </w:trPr>
        <w:tc>
          <w:tcPr>
            <w:tcW w:w="1871" w:type="dxa"/>
            <w:tcMar>
              <w:top w:w="91" w:type="dxa"/>
              <w:left w:w="0" w:type="dxa"/>
              <w:bottom w:w="91" w:type="dxa"/>
              <w:right w:w="0" w:type="dxa"/>
            </w:tcMar>
          </w:tcPr>
          <w:p w14:paraId="5372EBBB"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7ACA375A"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3ABA7068" w14:textId="77777777" w:rsidR="00BF4529" w:rsidRDefault="00BF4529" w:rsidP="00BF4529">
            <w:pPr>
              <w:pStyle w:val="TableBlockOutdent"/>
              <w:spacing w:before="0"/>
              <w:rPr>
                <w:sz w:val="26"/>
                <w:rtl/>
              </w:rPr>
            </w:pPr>
            <w:r>
              <w:rPr>
                <w:rFonts w:hint="cs"/>
                <w:sz w:val="26"/>
                <w:rtl/>
              </w:rPr>
              <w:t>״עובד המדען הראשי״ – עובד המינהל למחקר ופיתוח תעשייתי במשרד הכלכלה;</w:t>
            </w:r>
          </w:p>
        </w:tc>
      </w:tr>
      <w:tr w:rsidR="00BF4529" w14:paraId="4F0F7188" w14:textId="77777777" w:rsidTr="00BF4529">
        <w:trPr>
          <w:cantSplit/>
        </w:trPr>
        <w:tc>
          <w:tcPr>
            <w:tcW w:w="1871" w:type="dxa"/>
            <w:tcMar>
              <w:top w:w="91" w:type="dxa"/>
              <w:left w:w="0" w:type="dxa"/>
              <w:bottom w:w="91" w:type="dxa"/>
              <w:right w:w="0" w:type="dxa"/>
            </w:tcMar>
          </w:tcPr>
          <w:p w14:paraId="7BDD0143" w14:textId="77777777" w:rsidR="00BF4529" w:rsidRDefault="00BF4529" w:rsidP="00BF4529">
            <w:pPr>
              <w:pStyle w:val="TableSideHeading"/>
              <w:spacing w:before="0"/>
              <w:jc w:val="left"/>
              <w:rPr>
                <w:sz w:val="26"/>
                <w:rtl/>
              </w:rPr>
            </w:pPr>
          </w:p>
        </w:tc>
        <w:tc>
          <w:tcPr>
            <w:tcW w:w="624" w:type="dxa"/>
            <w:tcMar>
              <w:top w:w="91" w:type="dxa"/>
              <w:left w:w="0" w:type="dxa"/>
              <w:bottom w:w="91" w:type="dxa"/>
              <w:right w:w="0" w:type="dxa"/>
            </w:tcMar>
          </w:tcPr>
          <w:p w14:paraId="688658B4" w14:textId="77777777" w:rsidR="00BF4529" w:rsidRDefault="00BF4529" w:rsidP="00BF4529">
            <w:pPr>
              <w:pStyle w:val="TableText"/>
              <w:spacing w:before="0"/>
              <w:rPr>
                <w:sz w:val="26"/>
                <w:rtl/>
              </w:rPr>
            </w:pPr>
          </w:p>
        </w:tc>
        <w:tc>
          <w:tcPr>
            <w:tcW w:w="7146" w:type="dxa"/>
            <w:gridSpan w:val="7"/>
            <w:tcMar>
              <w:top w:w="91" w:type="dxa"/>
              <w:left w:w="0" w:type="dxa"/>
              <w:bottom w:w="91" w:type="dxa"/>
              <w:right w:w="0" w:type="dxa"/>
            </w:tcMar>
            <w:hideMark/>
          </w:tcPr>
          <w:p w14:paraId="0505EADA" w14:textId="77777777" w:rsidR="00BF4529" w:rsidRDefault="00BF4529" w:rsidP="00BF4529">
            <w:pPr>
              <w:pStyle w:val="TableBlockOutdent"/>
              <w:spacing w:before="0"/>
              <w:rPr>
                <w:sz w:val="26"/>
                <w:rtl/>
              </w:rPr>
            </w:pPr>
            <w:r>
              <w:rPr>
                <w:rFonts w:hint="cs"/>
                <w:sz w:val="26"/>
                <w:rtl/>
              </w:rPr>
              <w:t>״העמותה״ – עובד מרכז התעשייה הישראלי למחקר ופיתוח.</w:t>
            </w:r>
          </w:p>
        </w:tc>
      </w:tr>
    </w:tbl>
    <w:p w14:paraId="5155104E" w14:textId="77777777" w:rsidR="00EB3EA9" w:rsidRPr="00BF4529" w:rsidRDefault="00EB3EA9" w:rsidP="007054E5">
      <w:pPr>
        <w:spacing w:before="0"/>
        <w:jc w:val="center"/>
        <w:rPr>
          <w:b/>
          <w:bCs/>
          <w:sz w:val="28"/>
          <w:szCs w:val="28"/>
          <w:rtl/>
        </w:rPr>
      </w:pPr>
    </w:p>
    <w:p w14:paraId="11F1CEA9" w14:textId="77777777" w:rsidR="008525E2" w:rsidRDefault="008525E2" w:rsidP="008525E2">
      <w:pPr>
        <w:spacing w:before="0"/>
        <w:rPr>
          <w:sz w:val="26"/>
          <w:szCs w:val="26"/>
          <w:rtl/>
        </w:rPr>
      </w:pPr>
    </w:p>
    <w:p w14:paraId="11F1CEAE" w14:textId="77777777" w:rsidR="008525E2" w:rsidRPr="00E125CC" w:rsidRDefault="008525E2" w:rsidP="008525E2">
      <w:pPr>
        <w:pStyle w:val="Noparagraphstyle"/>
        <w:rPr>
          <w:sz w:val="26"/>
          <w:rtl/>
        </w:rPr>
      </w:pPr>
    </w:p>
    <w:p w14:paraId="11F1CEB2" w14:textId="77777777" w:rsidR="008525E2" w:rsidRPr="00E125CC" w:rsidRDefault="008525E2" w:rsidP="008525E2">
      <w:pPr>
        <w:pStyle w:val="Noparagraphstyle"/>
        <w:rPr>
          <w:sz w:val="26"/>
          <w:rtl/>
        </w:rPr>
      </w:pPr>
    </w:p>
    <w:tbl>
      <w:tblPr>
        <w:bidiVisual/>
        <w:tblW w:w="9639" w:type="dxa"/>
        <w:tblLook w:val="00A0" w:firstRow="1" w:lastRow="0" w:firstColumn="1" w:lastColumn="0" w:noHBand="0" w:noVBand="0"/>
      </w:tblPr>
      <w:tblGrid>
        <w:gridCol w:w="2409"/>
        <w:gridCol w:w="2410"/>
        <w:gridCol w:w="2410"/>
        <w:gridCol w:w="2410"/>
      </w:tblGrid>
      <w:tr w:rsidR="00C051A9" w:rsidRPr="00D466D4" w14:paraId="11F1CEB9" w14:textId="77777777" w:rsidTr="006043F6">
        <w:tc>
          <w:tcPr>
            <w:tcW w:w="2409" w:type="dxa"/>
            <w:shd w:val="clear" w:color="auto" w:fill="auto"/>
          </w:tcPr>
          <w:p w14:paraId="653ACF34" w14:textId="77777777" w:rsidR="00C051A9" w:rsidRPr="00D466D4" w:rsidRDefault="00C051A9" w:rsidP="00C051A9">
            <w:pPr>
              <w:spacing w:before="0" w:line="360" w:lineRule="auto"/>
              <w:ind w:firstLine="0"/>
              <w:jc w:val="center"/>
              <w:rPr>
                <w:rFonts w:cs="David"/>
                <w:sz w:val="26"/>
                <w:szCs w:val="26"/>
                <w:rtl/>
              </w:rPr>
            </w:pPr>
            <w:bookmarkStart w:id="6" w:name="PrimeMinistryName"/>
            <w:r>
              <w:rPr>
                <w:rFonts w:cs="David" w:hint="cs"/>
                <w:sz w:val="26"/>
                <w:szCs w:val="26"/>
                <w:rtl/>
              </w:rPr>
              <w:t>בנימין נתניהו</w:t>
            </w:r>
            <w:bookmarkEnd w:id="6"/>
          </w:p>
          <w:p w14:paraId="11F1CEB3" w14:textId="1C2BF867" w:rsidR="00C051A9" w:rsidRPr="00D466D4" w:rsidRDefault="00C051A9" w:rsidP="00C051A9">
            <w:pPr>
              <w:spacing w:before="0" w:line="360" w:lineRule="auto"/>
              <w:ind w:firstLine="0"/>
              <w:jc w:val="center"/>
              <w:rPr>
                <w:rFonts w:cs="David"/>
                <w:sz w:val="26"/>
                <w:szCs w:val="26"/>
                <w:rtl/>
              </w:rPr>
            </w:pPr>
            <w:r w:rsidRPr="00D466D4">
              <w:rPr>
                <w:rFonts w:cs="David" w:hint="cs"/>
                <w:sz w:val="26"/>
                <w:szCs w:val="26"/>
                <w:rtl/>
              </w:rPr>
              <w:t>ראש הממשלה</w:t>
            </w:r>
          </w:p>
        </w:tc>
        <w:tc>
          <w:tcPr>
            <w:tcW w:w="4820" w:type="dxa"/>
            <w:gridSpan w:val="2"/>
            <w:shd w:val="clear" w:color="auto" w:fill="auto"/>
          </w:tcPr>
          <w:p w14:paraId="42E14CDA" w14:textId="2EBCE998" w:rsidR="00C051A9" w:rsidRDefault="00C051A9" w:rsidP="006F3CC7">
            <w:pPr>
              <w:spacing w:before="0" w:line="360" w:lineRule="auto"/>
              <w:ind w:firstLine="0"/>
              <w:jc w:val="center"/>
              <w:rPr>
                <w:rFonts w:cs="David"/>
                <w:sz w:val="26"/>
                <w:szCs w:val="26"/>
                <w:rtl/>
              </w:rPr>
            </w:pPr>
            <w:r>
              <w:rPr>
                <w:rFonts w:cs="David" w:hint="cs"/>
                <w:sz w:val="26"/>
                <w:szCs w:val="26"/>
                <w:rtl/>
              </w:rPr>
              <w:t>אריה מכלוף דרעי</w:t>
            </w:r>
          </w:p>
          <w:p w14:paraId="11F1CEB6" w14:textId="3E3EF244" w:rsidR="00C051A9" w:rsidRPr="00D466D4" w:rsidRDefault="00C051A9" w:rsidP="006F3CC7">
            <w:pPr>
              <w:spacing w:before="0" w:line="360" w:lineRule="auto"/>
              <w:ind w:firstLine="0"/>
              <w:jc w:val="center"/>
              <w:rPr>
                <w:rFonts w:cs="David"/>
                <w:sz w:val="26"/>
                <w:szCs w:val="26"/>
                <w:rtl/>
              </w:rPr>
            </w:pPr>
            <w:r>
              <w:rPr>
                <w:rFonts w:cs="David" w:hint="cs"/>
                <w:sz w:val="26"/>
                <w:szCs w:val="26"/>
                <w:rtl/>
              </w:rPr>
              <w:t>שר הכלכלה</w:t>
            </w:r>
          </w:p>
        </w:tc>
        <w:tc>
          <w:tcPr>
            <w:tcW w:w="2410" w:type="dxa"/>
            <w:shd w:val="clear" w:color="auto" w:fill="auto"/>
          </w:tcPr>
          <w:p w14:paraId="11F1CEB7" w14:textId="5DAA7D51" w:rsidR="00C051A9" w:rsidRPr="00D466D4" w:rsidRDefault="00C051A9" w:rsidP="006F3CC7">
            <w:pPr>
              <w:spacing w:before="0" w:line="360" w:lineRule="auto"/>
              <w:ind w:firstLine="0"/>
              <w:jc w:val="center"/>
              <w:rPr>
                <w:rFonts w:cs="David"/>
                <w:sz w:val="26"/>
                <w:szCs w:val="26"/>
                <w:rtl/>
              </w:rPr>
            </w:pPr>
            <w:r>
              <w:rPr>
                <w:rFonts w:cs="David" w:hint="cs"/>
                <w:sz w:val="26"/>
                <w:szCs w:val="26"/>
                <w:rtl/>
              </w:rPr>
              <w:t>משה כחלון</w:t>
            </w:r>
          </w:p>
          <w:p w14:paraId="11F1CEB8" w14:textId="6FAAB872" w:rsidR="00C051A9" w:rsidRPr="00D466D4" w:rsidRDefault="00C051A9" w:rsidP="006F3CC7">
            <w:pPr>
              <w:spacing w:before="0" w:line="360" w:lineRule="auto"/>
              <w:ind w:firstLine="0"/>
              <w:jc w:val="center"/>
              <w:rPr>
                <w:rFonts w:cs="David"/>
                <w:sz w:val="26"/>
                <w:szCs w:val="26"/>
                <w:rtl/>
              </w:rPr>
            </w:pPr>
            <w:r w:rsidRPr="00D466D4">
              <w:rPr>
                <w:rFonts w:cs="David" w:hint="cs"/>
                <w:sz w:val="26"/>
                <w:szCs w:val="26"/>
                <w:rtl/>
              </w:rPr>
              <w:t>שר ה</w:t>
            </w:r>
            <w:r>
              <w:rPr>
                <w:rFonts w:cs="David" w:hint="cs"/>
                <w:sz w:val="26"/>
                <w:szCs w:val="26"/>
                <w:rtl/>
              </w:rPr>
              <w:t>אוצר</w:t>
            </w:r>
          </w:p>
        </w:tc>
      </w:tr>
      <w:tr w:rsidR="008525E2" w:rsidRPr="00D466D4" w14:paraId="11F1CEC0" w14:textId="77777777" w:rsidTr="00C051A9">
        <w:tc>
          <w:tcPr>
            <w:tcW w:w="2409" w:type="dxa"/>
            <w:shd w:val="clear" w:color="auto" w:fill="auto"/>
          </w:tcPr>
          <w:p w14:paraId="11F1CEBA" w14:textId="584E1738" w:rsidR="008525E2" w:rsidRPr="00D466D4" w:rsidRDefault="008525E2" w:rsidP="006F3CC7">
            <w:pPr>
              <w:spacing w:before="0" w:line="360" w:lineRule="auto"/>
              <w:ind w:firstLine="0"/>
              <w:jc w:val="center"/>
              <w:rPr>
                <w:rFonts w:cs="David"/>
                <w:sz w:val="26"/>
                <w:szCs w:val="26"/>
                <w:rtl/>
              </w:rPr>
            </w:pPr>
          </w:p>
          <w:p w14:paraId="11F1CEBB"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C"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D" w14:textId="77777777" w:rsidR="008525E2" w:rsidRPr="00D466D4" w:rsidRDefault="008525E2" w:rsidP="006F3CC7">
            <w:pPr>
              <w:spacing w:before="0" w:line="360" w:lineRule="auto"/>
              <w:ind w:firstLine="0"/>
              <w:jc w:val="center"/>
              <w:rPr>
                <w:rFonts w:cs="David"/>
                <w:sz w:val="26"/>
                <w:szCs w:val="26"/>
                <w:rtl/>
              </w:rPr>
            </w:pPr>
          </w:p>
        </w:tc>
        <w:tc>
          <w:tcPr>
            <w:tcW w:w="2410" w:type="dxa"/>
            <w:shd w:val="clear" w:color="auto" w:fill="auto"/>
          </w:tcPr>
          <w:p w14:paraId="11F1CEBE" w14:textId="77777777" w:rsidR="008525E2" w:rsidRPr="00D466D4" w:rsidRDefault="008525E2" w:rsidP="006F3CC7">
            <w:pPr>
              <w:spacing w:before="0" w:line="360" w:lineRule="auto"/>
              <w:ind w:firstLine="0"/>
              <w:jc w:val="center"/>
              <w:rPr>
                <w:rFonts w:cs="David"/>
                <w:sz w:val="26"/>
                <w:szCs w:val="26"/>
                <w:rtl/>
              </w:rPr>
            </w:pPr>
          </w:p>
          <w:p w14:paraId="11F1CEBF" w14:textId="77777777" w:rsidR="008525E2" w:rsidRPr="00D466D4" w:rsidRDefault="008525E2" w:rsidP="006F3CC7">
            <w:pPr>
              <w:spacing w:before="0" w:line="360" w:lineRule="auto"/>
              <w:ind w:firstLine="0"/>
              <w:jc w:val="center"/>
              <w:rPr>
                <w:rFonts w:cs="David"/>
                <w:sz w:val="26"/>
                <w:szCs w:val="26"/>
                <w:rtl/>
              </w:rPr>
            </w:pPr>
          </w:p>
        </w:tc>
      </w:tr>
      <w:tr w:rsidR="00C051A9" w:rsidRPr="00D466D4" w14:paraId="11F1CEC7" w14:textId="77777777" w:rsidTr="006043F6">
        <w:tc>
          <w:tcPr>
            <w:tcW w:w="4819" w:type="dxa"/>
            <w:gridSpan w:val="2"/>
            <w:shd w:val="clear" w:color="auto" w:fill="auto"/>
          </w:tcPr>
          <w:p w14:paraId="57134DCD" w14:textId="77777777" w:rsidR="00C051A9" w:rsidRPr="00D466D4" w:rsidRDefault="00C051A9" w:rsidP="006F3CC7">
            <w:pPr>
              <w:spacing w:before="0" w:line="360" w:lineRule="auto"/>
              <w:ind w:firstLine="0"/>
              <w:jc w:val="center"/>
              <w:rPr>
                <w:rFonts w:cs="David"/>
                <w:sz w:val="26"/>
                <w:szCs w:val="26"/>
                <w:rtl/>
              </w:rPr>
            </w:pPr>
            <w:r w:rsidRPr="003710E7">
              <w:rPr>
                <w:rFonts w:cs="David" w:hint="cs"/>
                <w:sz w:val="26"/>
                <w:szCs w:val="26"/>
                <w:rtl/>
              </w:rPr>
              <w:t>ראובן ריבלין</w:t>
            </w:r>
          </w:p>
          <w:p w14:paraId="11F1CEC3" w14:textId="1A9C8924" w:rsidR="00C051A9" w:rsidRPr="00D466D4" w:rsidRDefault="00C051A9" w:rsidP="006F3CC7">
            <w:pPr>
              <w:spacing w:before="0" w:line="360" w:lineRule="auto"/>
              <w:ind w:firstLine="0"/>
              <w:jc w:val="center"/>
              <w:rPr>
                <w:rFonts w:cs="David"/>
                <w:sz w:val="26"/>
                <w:szCs w:val="26"/>
                <w:rtl/>
              </w:rPr>
            </w:pPr>
            <w:r w:rsidRPr="00D466D4">
              <w:rPr>
                <w:rFonts w:cs="David" w:hint="cs"/>
                <w:sz w:val="26"/>
                <w:szCs w:val="26"/>
                <w:rtl/>
              </w:rPr>
              <w:t>נשיא המדינה</w:t>
            </w:r>
          </w:p>
        </w:tc>
        <w:tc>
          <w:tcPr>
            <w:tcW w:w="4820" w:type="dxa"/>
            <w:gridSpan w:val="2"/>
            <w:shd w:val="clear" w:color="auto" w:fill="auto"/>
          </w:tcPr>
          <w:p w14:paraId="6431EA5A" w14:textId="77777777" w:rsidR="00C051A9" w:rsidRPr="00D466D4" w:rsidRDefault="00C051A9" w:rsidP="006F3CC7">
            <w:pPr>
              <w:spacing w:before="0" w:line="360" w:lineRule="auto"/>
              <w:ind w:firstLine="0"/>
              <w:jc w:val="center"/>
              <w:rPr>
                <w:rFonts w:cs="David"/>
                <w:sz w:val="26"/>
                <w:szCs w:val="26"/>
                <w:rtl/>
              </w:rPr>
            </w:pPr>
            <w:bookmarkStart w:id="7" w:name="HeadKnessetName"/>
            <w:r>
              <w:rPr>
                <w:rFonts w:cs="David" w:hint="cs"/>
                <w:sz w:val="26"/>
                <w:szCs w:val="26"/>
                <w:rtl/>
              </w:rPr>
              <w:t>יולי יואל אדלשטיין</w:t>
            </w:r>
            <w:bookmarkEnd w:id="7"/>
          </w:p>
          <w:p w14:paraId="11F1CEC6" w14:textId="69F8754E" w:rsidR="00C051A9" w:rsidRPr="00D466D4" w:rsidRDefault="00C051A9" w:rsidP="006F3CC7">
            <w:pPr>
              <w:spacing w:before="0" w:line="360" w:lineRule="auto"/>
              <w:ind w:firstLine="0"/>
              <w:jc w:val="center"/>
              <w:rPr>
                <w:rFonts w:cs="David"/>
                <w:sz w:val="26"/>
                <w:szCs w:val="26"/>
                <w:rtl/>
              </w:rPr>
            </w:pPr>
            <w:r w:rsidRPr="00D466D4">
              <w:rPr>
                <w:rFonts w:cs="David" w:hint="cs"/>
                <w:sz w:val="26"/>
                <w:szCs w:val="26"/>
                <w:rtl/>
              </w:rPr>
              <w:t>יושב ראש הכנסת</w:t>
            </w:r>
          </w:p>
        </w:tc>
      </w:tr>
    </w:tbl>
    <w:p w14:paraId="11F1CEC8" w14:textId="77777777" w:rsidR="008525E2" w:rsidRDefault="008525E2" w:rsidP="008525E2">
      <w:pPr>
        <w:pStyle w:val="Hesber"/>
        <w:spacing w:before="0"/>
        <w:rPr>
          <w:rtl/>
        </w:rPr>
      </w:pPr>
    </w:p>
    <w:p w14:paraId="11F1CEC9" w14:textId="77777777" w:rsidR="008525E2" w:rsidRPr="00FD6E55" w:rsidRDefault="008525E2" w:rsidP="008525E2">
      <w:pPr>
        <w:rPr>
          <w:rtl/>
        </w:rPr>
      </w:pPr>
    </w:p>
    <w:p w14:paraId="11F1CECA" w14:textId="77777777" w:rsidR="002137F8" w:rsidRPr="008525E2" w:rsidRDefault="002137F8" w:rsidP="008525E2">
      <w:pPr>
        <w:rPr>
          <w:rtl/>
        </w:rPr>
      </w:pPr>
    </w:p>
    <w:sectPr w:rsidR="002137F8" w:rsidRPr="008525E2" w:rsidSect="004E77B7">
      <w:headerReference w:type="even" r:id="rId14"/>
      <w:headerReference w:type="default" r:id="rId15"/>
      <w:footerReference w:type="even" r:id="rId16"/>
      <w:pgSz w:w="11906" w:h="16838"/>
      <w:pgMar w:top="1440" w:right="1134" w:bottom="1440"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CECF" w14:textId="77777777" w:rsidR="006043F6" w:rsidRDefault="006043F6" w:rsidP="00B416AF">
      <w:pPr>
        <w:pStyle w:val="HeadHatzaotHok"/>
      </w:pPr>
      <w:r>
        <w:separator/>
      </w:r>
    </w:p>
  </w:endnote>
  <w:endnote w:type="continuationSeparator" w:id="0">
    <w:p w14:paraId="11F1CED0" w14:textId="77777777" w:rsidR="006043F6" w:rsidRDefault="006043F6"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MFO">
    <w:altName w:val="Courier New"/>
    <w:charset w:val="B1"/>
    <w:family w:val="auto"/>
    <w:pitch w:val="variable"/>
    <w:sig w:usb0="00000800"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5" w14:textId="77777777" w:rsidR="006043F6" w:rsidRDefault="006043F6" w:rsidP="00B416AF">
    <w:pPr>
      <w:pStyle w:val="a9"/>
      <w:framePr w:wrap="around" w:vAnchor="text" w:hAnchor="text" w:xAlign="center" w:y="1"/>
      <w:rPr>
        <w:rStyle w:val="af0"/>
      </w:rPr>
    </w:pPr>
    <w:r>
      <w:rPr>
        <w:rStyle w:val="af0"/>
        <w:rtl/>
      </w:rPr>
      <w:fldChar w:fldCharType="begin"/>
    </w:r>
    <w:r>
      <w:rPr>
        <w:rStyle w:val="af0"/>
      </w:rPr>
      <w:instrText xml:space="preserve">PAGE  </w:instrText>
    </w:r>
    <w:r>
      <w:rPr>
        <w:rStyle w:val="af0"/>
        <w:rtl/>
      </w:rPr>
      <w:fldChar w:fldCharType="end"/>
    </w:r>
  </w:p>
  <w:p w14:paraId="11F1CED6" w14:textId="77777777" w:rsidR="006043F6" w:rsidRDefault="006043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1CECD" w14:textId="77777777" w:rsidR="006043F6" w:rsidRDefault="006043F6" w:rsidP="00696C5E">
      <w:pPr>
        <w:pStyle w:val="HeadHatzaotHok"/>
        <w:spacing w:before="0"/>
        <w:ind w:firstLine="0"/>
        <w:jc w:val="left"/>
      </w:pPr>
      <w:r>
        <w:separator/>
      </w:r>
    </w:p>
  </w:footnote>
  <w:footnote w:type="continuationSeparator" w:id="0">
    <w:p w14:paraId="11F1CECE" w14:textId="77777777" w:rsidR="006043F6" w:rsidRPr="00696C5E" w:rsidRDefault="006043F6" w:rsidP="00696C5E">
      <w:pPr>
        <w:pStyle w:val="HeadHatzaotHok"/>
        <w:spacing w:before="0"/>
        <w:ind w:firstLine="0"/>
        <w:jc w:val="left"/>
      </w:pPr>
      <w:r>
        <w:separator/>
      </w:r>
    </w:p>
  </w:footnote>
  <w:footnote w:id="1">
    <w:p w14:paraId="11F1CED7" w14:textId="7CFE473A" w:rsidR="006043F6" w:rsidRDefault="006043F6" w:rsidP="00AB30E0">
      <w:pPr>
        <w:pStyle w:val="ac"/>
        <w:rPr>
          <w:rtl/>
        </w:rPr>
      </w:pPr>
      <w:r>
        <w:rPr>
          <w:rStyle w:val="ab"/>
        </w:rPr>
        <w:t>*</w:t>
      </w:r>
      <w:r>
        <w:rPr>
          <w:rFonts w:hint="cs"/>
          <w:rtl/>
        </w:rPr>
        <w:t xml:space="preserve"> התקבל בכנסת ביום י"ג באב התשע"ה (29 ביולי 2015); הצעת החוק ודברי הסבר פורסמו בהצעות חוק </w:t>
      </w:r>
      <w:bookmarkStart w:id="2" w:name="LGSType"/>
      <w:r>
        <w:rPr>
          <w:rFonts w:hint="cs"/>
          <w:rtl/>
        </w:rPr>
        <w:t>הממשלה</w:t>
      </w:r>
      <w:bookmarkEnd w:id="2"/>
      <w:r>
        <w:rPr>
          <w:rFonts w:hint="cs"/>
          <w:rtl/>
        </w:rPr>
        <w:t xml:space="preserve"> </w:t>
      </w:r>
      <w:r>
        <w:rPr>
          <w:rFonts w:hint="eastAsia"/>
          <w:rtl/>
        </w:rPr>
        <w:t>–</w:t>
      </w:r>
      <w:r>
        <w:rPr>
          <w:rFonts w:hint="cs"/>
          <w:rtl/>
        </w:rPr>
        <w:t xml:space="preserve"> </w:t>
      </w:r>
      <w:bookmarkStart w:id="3" w:name="LGSNum"/>
      <w:r>
        <w:rPr>
          <w:rFonts w:hint="cs"/>
          <w:rtl/>
        </w:rPr>
        <w:t>926</w:t>
      </w:r>
      <w:bookmarkEnd w:id="3"/>
      <w:r>
        <w:rPr>
          <w:rFonts w:hint="eastAsia"/>
          <w:rtl/>
        </w:rPr>
        <w:t xml:space="preserve">, מיום </w:t>
      </w:r>
      <w:bookmarkStart w:id="4" w:name="HebDate"/>
      <w:r>
        <w:rPr>
          <w:rFonts w:hint="cs"/>
          <w:rtl/>
        </w:rPr>
        <w:t>י"ד בתמוז התשע"ה</w:t>
      </w:r>
      <w:bookmarkEnd w:id="4"/>
      <w:r w:rsidRPr="00827E61">
        <w:rPr>
          <w:rFonts w:hint="cs"/>
          <w:rtl/>
        </w:rPr>
        <w:t xml:space="preserve"> (</w:t>
      </w:r>
      <w:bookmarkStart w:id="5" w:name="EngDate"/>
      <w:r>
        <w:rPr>
          <w:rFonts w:hint="cs"/>
          <w:rtl/>
        </w:rPr>
        <w:t>1 ביולי 2015</w:t>
      </w:r>
      <w:bookmarkEnd w:id="5"/>
      <w:r w:rsidRPr="00827E61">
        <w:rPr>
          <w:rFonts w:hint="cs"/>
          <w:rtl/>
        </w:rPr>
        <w:t>), עמ'</w:t>
      </w:r>
      <w:r>
        <w:rPr>
          <w:rFonts w:hint="cs"/>
          <w:rtl/>
        </w:rPr>
        <w:t xml:space="preserve"> 628.</w:t>
      </w:r>
    </w:p>
  </w:footnote>
  <w:footnote w:id="2">
    <w:p w14:paraId="1E833B0F" w14:textId="77777777" w:rsidR="006043F6" w:rsidRDefault="006043F6" w:rsidP="00BF4529">
      <w:pPr>
        <w:pStyle w:val="ac"/>
        <w:rPr>
          <w:spacing w:val="0"/>
          <w:rtl/>
        </w:rPr>
      </w:pPr>
      <w:r>
        <w:rPr>
          <w:rStyle w:val="ab"/>
        </w:rPr>
        <w:footnoteRef/>
      </w:r>
      <w:r>
        <w:rPr>
          <w:rFonts w:hint="cs"/>
          <w:rtl/>
        </w:rPr>
        <w:t xml:space="preserve"> ס"ח התשמ"ד, עמ' 100; התשע"ב, עמ' 507.</w:t>
      </w:r>
    </w:p>
  </w:footnote>
  <w:footnote w:id="3">
    <w:p w14:paraId="2B7D8152" w14:textId="77777777" w:rsidR="006043F6" w:rsidRDefault="006043F6" w:rsidP="00BF4529">
      <w:pPr>
        <w:pStyle w:val="ac"/>
        <w:rPr>
          <w:rtl/>
        </w:rPr>
      </w:pPr>
      <w:r>
        <w:rPr>
          <w:rStyle w:val="ab"/>
        </w:rPr>
        <w:footnoteRef/>
      </w:r>
      <w:r>
        <w:rPr>
          <w:rFonts w:hint="cs"/>
          <w:rtl/>
        </w:rPr>
        <w:t xml:space="preserve"> ס"ח התשנ"ט, עמ' 189.</w:t>
      </w:r>
    </w:p>
  </w:footnote>
  <w:footnote w:id="4">
    <w:p w14:paraId="08D6FC96" w14:textId="77777777" w:rsidR="006043F6" w:rsidRDefault="006043F6" w:rsidP="00BF4529">
      <w:pPr>
        <w:pStyle w:val="ac"/>
        <w:rPr>
          <w:rtl/>
        </w:rPr>
      </w:pPr>
      <w:r>
        <w:rPr>
          <w:rStyle w:val="ab"/>
        </w:rPr>
        <w:footnoteRef/>
      </w:r>
      <w:r>
        <w:rPr>
          <w:rFonts w:hint="cs"/>
          <w:rtl/>
        </w:rPr>
        <w:t xml:space="preserve"> ס"ח התשל"ה, עמ' 132.</w:t>
      </w:r>
    </w:p>
  </w:footnote>
  <w:footnote w:id="5">
    <w:p w14:paraId="3AA4B925" w14:textId="77777777" w:rsidR="006043F6" w:rsidRDefault="006043F6" w:rsidP="00BF4529">
      <w:pPr>
        <w:pStyle w:val="ac"/>
        <w:rPr>
          <w:rtl/>
        </w:rPr>
      </w:pPr>
      <w:r>
        <w:rPr>
          <w:rStyle w:val="ab"/>
        </w:rPr>
        <w:footnoteRef/>
      </w:r>
      <w:r>
        <w:rPr>
          <w:rFonts w:hint="cs"/>
          <w:rtl/>
        </w:rPr>
        <w:t xml:space="preserve"> ס"ח התשמ"ה, עמ' 60.</w:t>
      </w:r>
    </w:p>
  </w:footnote>
  <w:footnote w:id="6">
    <w:p w14:paraId="5C5F9230" w14:textId="77777777" w:rsidR="006043F6" w:rsidRDefault="006043F6" w:rsidP="00BF4529">
      <w:pPr>
        <w:pStyle w:val="ac"/>
        <w:rPr>
          <w:rtl/>
        </w:rPr>
      </w:pPr>
      <w:r>
        <w:rPr>
          <w:rStyle w:val="ab"/>
        </w:rPr>
        <w:footnoteRef/>
      </w:r>
      <w:r>
        <w:rPr>
          <w:rFonts w:hint="cs"/>
          <w:rtl/>
        </w:rPr>
        <w:t xml:space="preserve"> ס"ח התשי"ח, עמ' 191.</w:t>
      </w:r>
    </w:p>
  </w:footnote>
  <w:footnote w:id="7">
    <w:p w14:paraId="59781BCB" w14:textId="77777777" w:rsidR="006043F6" w:rsidRDefault="006043F6" w:rsidP="00BF4529">
      <w:pPr>
        <w:pStyle w:val="ac"/>
        <w:rPr>
          <w:rtl/>
        </w:rPr>
      </w:pPr>
      <w:r>
        <w:rPr>
          <w:rStyle w:val="ab"/>
        </w:rPr>
        <w:footnoteRef/>
      </w:r>
      <w:r>
        <w:rPr>
          <w:rFonts w:hint="cs"/>
          <w:rtl/>
        </w:rPr>
        <w:t xml:space="preserve"> ס"ח התשע"ה, עמ' ...</w:t>
      </w:r>
    </w:p>
  </w:footnote>
  <w:footnote w:id="8">
    <w:p w14:paraId="6FCF2B36" w14:textId="77777777" w:rsidR="006043F6" w:rsidRDefault="006043F6" w:rsidP="00BF4529">
      <w:pPr>
        <w:pStyle w:val="ac"/>
        <w:rPr>
          <w:rtl/>
        </w:rPr>
      </w:pPr>
      <w:r>
        <w:rPr>
          <w:rStyle w:val="ab"/>
        </w:rPr>
        <w:footnoteRef/>
      </w:r>
      <w:r>
        <w:rPr>
          <w:rFonts w:hint="cs"/>
          <w:rtl/>
        </w:rPr>
        <w:t xml:space="preserve"> ס"ח התשנ"ב, עמ' 26.</w:t>
      </w:r>
    </w:p>
  </w:footnote>
  <w:footnote w:id="9">
    <w:p w14:paraId="79B9A91B" w14:textId="77777777" w:rsidR="006043F6" w:rsidRDefault="006043F6" w:rsidP="00BF4529">
      <w:pPr>
        <w:pStyle w:val="ac"/>
        <w:rPr>
          <w:rtl/>
        </w:rPr>
      </w:pPr>
      <w:r>
        <w:rPr>
          <w:rStyle w:val="ab"/>
        </w:rPr>
        <w:footnoteRef/>
      </w:r>
      <w:r>
        <w:rPr>
          <w:rFonts w:hint="cs"/>
          <w:rtl/>
        </w:rPr>
        <w:t xml:space="preserve"> ס"ח התשנ"ג, עמ' 138.</w:t>
      </w:r>
    </w:p>
  </w:footnote>
  <w:footnote w:id="10">
    <w:p w14:paraId="62995FA0" w14:textId="77777777" w:rsidR="006043F6" w:rsidRDefault="006043F6" w:rsidP="00BF4529">
      <w:pPr>
        <w:pStyle w:val="ac"/>
        <w:rPr>
          <w:rtl/>
        </w:rPr>
      </w:pPr>
      <w:r>
        <w:rPr>
          <w:rStyle w:val="ab"/>
        </w:rPr>
        <w:footnoteRef/>
      </w:r>
      <w:r>
        <w:rPr>
          <w:rFonts w:hint="cs"/>
          <w:rtl/>
        </w:rPr>
        <w:t xml:space="preserve"> ס"ח התשי"ח, עמ' 139.</w:t>
      </w:r>
    </w:p>
  </w:footnote>
  <w:footnote w:id="11">
    <w:p w14:paraId="30F66FD7" w14:textId="77777777" w:rsidR="006043F6" w:rsidRDefault="006043F6" w:rsidP="00BF4529">
      <w:pPr>
        <w:pStyle w:val="ac"/>
        <w:rPr>
          <w:rtl/>
        </w:rPr>
      </w:pPr>
      <w:r>
        <w:rPr>
          <w:rStyle w:val="ab"/>
        </w:rPr>
        <w:footnoteRef/>
      </w:r>
      <w:r>
        <w:rPr>
          <w:rFonts w:hint="cs"/>
          <w:rtl/>
        </w:rPr>
        <w:t xml:space="preserve"> ס"ח התשי"ח, עמ' 92.</w:t>
      </w:r>
    </w:p>
  </w:footnote>
  <w:footnote w:id="12">
    <w:p w14:paraId="792D6877" w14:textId="77777777" w:rsidR="006043F6" w:rsidRDefault="006043F6" w:rsidP="00BF4529">
      <w:pPr>
        <w:pStyle w:val="ac"/>
        <w:rPr>
          <w:rtl/>
        </w:rPr>
      </w:pPr>
      <w:r>
        <w:rPr>
          <w:rStyle w:val="ab"/>
        </w:rPr>
        <w:footnoteRef/>
      </w:r>
      <w:r>
        <w:rPr>
          <w:rFonts w:hint="cs"/>
          <w:rtl/>
        </w:rPr>
        <w:t xml:space="preserve"> דיני מדינת ישראל, נוסח חדש 10, עמ' 266.</w:t>
      </w:r>
    </w:p>
  </w:footnote>
  <w:footnote w:id="13">
    <w:p w14:paraId="5E0D8382" w14:textId="77777777" w:rsidR="006043F6" w:rsidRDefault="006043F6" w:rsidP="00BF4529">
      <w:pPr>
        <w:pStyle w:val="ac"/>
        <w:rPr>
          <w:rtl/>
        </w:rPr>
      </w:pPr>
      <w:r>
        <w:rPr>
          <w:rStyle w:val="ab"/>
        </w:rPr>
        <w:footnoteRef/>
      </w:r>
      <w:r>
        <w:rPr>
          <w:rFonts w:hint="cs"/>
          <w:rtl/>
        </w:rPr>
        <w:t xml:space="preserve"> ס"ח התשי"ט, עמ' 190. </w:t>
      </w:r>
    </w:p>
  </w:footnote>
  <w:footnote w:id="14">
    <w:p w14:paraId="477AE9D1" w14:textId="77777777" w:rsidR="006043F6" w:rsidRDefault="006043F6" w:rsidP="00BF4529">
      <w:pPr>
        <w:pStyle w:val="ac"/>
        <w:rPr>
          <w:rtl/>
        </w:rPr>
      </w:pPr>
      <w:r>
        <w:rPr>
          <w:rStyle w:val="ab"/>
        </w:rPr>
        <w:footnoteRef/>
      </w:r>
      <w:r>
        <w:rPr>
          <w:rFonts w:hint="cs"/>
          <w:rtl/>
        </w:rPr>
        <w:t xml:space="preserve"> ס"ח התשכ"ט, עמ' 103. </w:t>
      </w:r>
    </w:p>
  </w:footnote>
  <w:footnote w:id="15">
    <w:p w14:paraId="5168DDBA" w14:textId="77777777" w:rsidR="006043F6" w:rsidRDefault="006043F6" w:rsidP="00BF4529">
      <w:pPr>
        <w:pStyle w:val="ac"/>
        <w:rPr>
          <w:rtl/>
        </w:rPr>
      </w:pPr>
      <w:r>
        <w:rPr>
          <w:rStyle w:val="ab"/>
        </w:rPr>
        <w:footnoteRef/>
      </w:r>
      <w:r>
        <w:rPr>
          <w:rFonts w:hint="cs"/>
          <w:rtl/>
        </w:rPr>
        <w:t xml:space="preserve"> ס"ח התשכ"ט, עמ' 144. </w:t>
      </w:r>
    </w:p>
  </w:footnote>
  <w:footnote w:id="16">
    <w:p w14:paraId="3F0F0A81" w14:textId="77777777" w:rsidR="006043F6" w:rsidRDefault="006043F6" w:rsidP="00BF4529">
      <w:pPr>
        <w:pStyle w:val="ac"/>
        <w:rPr>
          <w:rtl/>
        </w:rPr>
      </w:pPr>
      <w:r>
        <w:rPr>
          <w:rStyle w:val="ab"/>
        </w:rPr>
        <w:footnoteRef/>
      </w:r>
      <w:r>
        <w:rPr>
          <w:rFonts w:hint="cs"/>
          <w:rtl/>
        </w:rPr>
        <w:t xml:space="preserve"> ס"ח התש"ם, עמ' 2. </w:t>
      </w:r>
    </w:p>
  </w:footnote>
  <w:footnote w:id="17">
    <w:p w14:paraId="3F12B9D9" w14:textId="77777777" w:rsidR="006043F6" w:rsidRDefault="006043F6" w:rsidP="00BF4529">
      <w:pPr>
        <w:pStyle w:val="ac"/>
        <w:rPr>
          <w:rtl/>
        </w:rPr>
      </w:pPr>
      <w:r>
        <w:rPr>
          <w:rStyle w:val="ab"/>
        </w:rPr>
        <w:footnoteRef/>
      </w:r>
      <w:r>
        <w:rPr>
          <w:rFonts w:hint="cs"/>
          <w:rtl/>
        </w:rPr>
        <w:t xml:space="preserve"> ס"ח התשל"ז, עמ' 226.</w:t>
      </w:r>
    </w:p>
  </w:footnote>
  <w:footnote w:id="18">
    <w:p w14:paraId="4C70A282" w14:textId="77777777" w:rsidR="006043F6" w:rsidRDefault="006043F6" w:rsidP="00BF4529">
      <w:pPr>
        <w:pStyle w:val="ac"/>
        <w:rPr>
          <w:rtl/>
        </w:rPr>
      </w:pPr>
      <w:r>
        <w:rPr>
          <w:rStyle w:val="ab"/>
        </w:rPr>
        <w:footnoteRef/>
      </w:r>
      <w:r>
        <w:rPr>
          <w:rFonts w:hint="cs"/>
          <w:rtl/>
        </w:rPr>
        <w:t xml:space="preserve"> דיני מדינת ישראל, נוסח חדש 18, עמ' 421.</w:t>
      </w:r>
    </w:p>
  </w:footnote>
  <w:footnote w:id="19">
    <w:p w14:paraId="1817258D" w14:textId="77777777" w:rsidR="006043F6" w:rsidRDefault="006043F6" w:rsidP="00BF4529">
      <w:pPr>
        <w:pStyle w:val="ac"/>
        <w:rPr>
          <w:rtl/>
        </w:rPr>
      </w:pPr>
      <w:r>
        <w:rPr>
          <w:rStyle w:val="ab"/>
        </w:rPr>
        <w:footnoteRef/>
      </w:r>
      <w:r>
        <w:rPr>
          <w:rFonts w:hint="cs"/>
          <w:rtl/>
        </w:rPr>
        <w:t xml:space="preserve"> ס"ח התשכ"ג, עמ' 50.</w:t>
      </w:r>
    </w:p>
  </w:footnote>
  <w:footnote w:id="20">
    <w:p w14:paraId="4B086146" w14:textId="77777777" w:rsidR="006043F6" w:rsidRDefault="006043F6" w:rsidP="00BF4529">
      <w:pPr>
        <w:pStyle w:val="ac"/>
        <w:rPr>
          <w:rtl/>
        </w:rPr>
      </w:pPr>
      <w:r>
        <w:rPr>
          <w:rStyle w:val="ab"/>
        </w:rPr>
        <w:footnoteRef/>
      </w:r>
      <w:r>
        <w:rPr>
          <w:rFonts w:hint="cs"/>
          <w:rtl/>
        </w:rPr>
        <w:t xml:space="preserve"> ס"ח התשי"ט, עמ' 234.</w:t>
      </w:r>
    </w:p>
  </w:footnote>
  <w:footnote w:id="21">
    <w:p w14:paraId="1B88861C" w14:textId="77777777" w:rsidR="006043F6" w:rsidRDefault="006043F6" w:rsidP="00BF4529">
      <w:pPr>
        <w:pStyle w:val="ac"/>
        <w:rPr>
          <w:rtl/>
        </w:rPr>
      </w:pPr>
      <w:r>
        <w:rPr>
          <w:rStyle w:val="ab"/>
        </w:rPr>
        <w:footnoteRef/>
      </w:r>
      <w:r>
        <w:rPr>
          <w:rFonts w:hint="cs"/>
          <w:rtl/>
        </w:rPr>
        <w:t xml:space="preserve"> דיני מדינת ישראל, נוסח חדש 28, עמ' 549.</w:t>
      </w:r>
    </w:p>
  </w:footnote>
  <w:footnote w:id="22">
    <w:p w14:paraId="5F8DA52E" w14:textId="77777777" w:rsidR="006043F6" w:rsidRDefault="006043F6" w:rsidP="00BF4529">
      <w:pPr>
        <w:pStyle w:val="ac"/>
        <w:rPr>
          <w:rtl/>
        </w:rPr>
      </w:pPr>
      <w:r>
        <w:rPr>
          <w:rStyle w:val="ab"/>
        </w:rPr>
        <w:footnoteRef/>
      </w:r>
      <w:r>
        <w:rPr>
          <w:rFonts w:hint="cs"/>
          <w:rtl/>
        </w:rPr>
        <w:t xml:space="preserve"> ס"ח התשכ"א, עמ' 192.</w:t>
      </w:r>
    </w:p>
  </w:footnote>
  <w:footnote w:id="23">
    <w:p w14:paraId="5806BAB7" w14:textId="77777777" w:rsidR="006043F6" w:rsidRDefault="006043F6" w:rsidP="00BF4529">
      <w:pPr>
        <w:pStyle w:val="ac"/>
        <w:rPr>
          <w:rtl/>
        </w:rPr>
      </w:pPr>
      <w:r>
        <w:rPr>
          <w:rStyle w:val="ab"/>
        </w:rPr>
        <w:footnoteRef/>
      </w:r>
      <w:r>
        <w:rPr>
          <w:rFonts w:hint="cs"/>
          <w:rtl/>
        </w:rPr>
        <w:t xml:space="preserve"> ס"ח התשנ"ח, עמ' 226.</w:t>
      </w:r>
    </w:p>
  </w:footnote>
  <w:footnote w:id="24">
    <w:p w14:paraId="1535D2A1" w14:textId="77777777" w:rsidR="006043F6" w:rsidRDefault="006043F6" w:rsidP="00BF4529">
      <w:pPr>
        <w:pStyle w:val="ac"/>
        <w:rPr>
          <w:rtl/>
        </w:rPr>
      </w:pPr>
      <w:r>
        <w:rPr>
          <w:rStyle w:val="ab"/>
        </w:rPr>
        <w:footnoteRef/>
      </w:r>
      <w:r>
        <w:rPr>
          <w:rFonts w:hint="cs"/>
          <w:rtl/>
        </w:rPr>
        <w:t xml:space="preserve"> ס"ח התשס"א, עמ' 158.</w:t>
      </w:r>
    </w:p>
  </w:footnote>
  <w:footnote w:id="25">
    <w:p w14:paraId="4CDE1D4A" w14:textId="77777777" w:rsidR="006043F6" w:rsidRDefault="006043F6" w:rsidP="00BF4529">
      <w:pPr>
        <w:pStyle w:val="ac"/>
        <w:rPr>
          <w:rtl/>
        </w:rPr>
      </w:pPr>
      <w:r>
        <w:rPr>
          <w:rStyle w:val="ab"/>
        </w:rPr>
        <w:footnoteRef/>
      </w:r>
      <w:r>
        <w:rPr>
          <w:rFonts w:hint="cs"/>
          <w:rtl/>
        </w:rPr>
        <w:t xml:space="preserve"> ס"ח התשמ"ח, עמ' 168; התשע"ב, עמ' 22.</w:t>
      </w:r>
    </w:p>
  </w:footnote>
  <w:footnote w:id="26">
    <w:p w14:paraId="00167F92" w14:textId="77777777" w:rsidR="006043F6" w:rsidRDefault="006043F6" w:rsidP="00BF4529">
      <w:pPr>
        <w:pStyle w:val="ac"/>
        <w:rPr>
          <w:rtl/>
        </w:rPr>
      </w:pPr>
      <w:r>
        <w:rPr>
          <w:rStyle w:val="ab"/>
        </w:rPr>
        <w:footnoteRef/>
      </w:r>
      <w:r>
        <w:rPr>
          <w:rFonts w:hint="cs"/>
          <w:rtl/>
        </w:rPr>
        <w:t xml:space="preserve"> ס"ח התש"ס, עמ' 190; התשע"ה, עמ' 16.</w:t>
      </w:r>
    </w:p>
  </w:footnote>
  <w:footnote w:id="27">
    <w:p w14:paraId="7A28B5CA" w14:textId="77777777" w:rsidR="006043F6" w:rsidRDefault="006043F6" w:rsidP="00BF4529">
      <w:pPr>
        <w:pStyle w:val="ac"/>
        <w:rPr>
          <w:rtl/>
        </w:rPr>
      </w:pPr>
      <w:r>
        <w:rPr>
          <w:rStyle w:val="ab"/>
        </w:rPr>
        <w:footnoteRef/>
      </w:r>
      <w:r>
        <w:rPr>
          <w:rFonts w:hint="cs"/>
          <w:rtl/>
        </w:rPr>
        <w:t xml:space="preserve"> ס"ח התשע"ד, עמ' 778.</w:t>
      </w:r>
    </w:p>
  </w:footnote>
  <w:footnote w:id="28">
    <w:p w14:paraId="06D2F79B" w14:textId="77777777" w:rsidR="006043F6" w:rsidRDefault="006043F6" w:rsidP="00BF4529">
      <w:pPr>
        <w:pStyle w:val="ac"/>
        <w:rPr>
          <w:rtl/>
        </w:rPr>
      </w:pPr>
      <w:r>
        <w:rPr>
          <w:rStyle w:val="ab"/>
        </w:rPr>
        <w:footnoteRef/>
      </w:r>
      <w:r>
        <w:rPr>
          <w:rFonts w:hint="cs"/>
          <w:rtl/>
        </w:rPr>
        <w:t xml:space="preserve"> ס"ח התשי"ז, עמ' 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1" w14:textId="77777777" w:rsidR="006043F6" w:rsidRDefault="006043F6">
    <w:pPr>
      <w:pStyle w:val="ae"/>
      <w:framePr w:wrap="around" w:vAnchor="text" w:hAnchor="margin" w:xAlign="center" w:y="1"/>
      <w:rPr>
        <w:rStyle w:val="af0"/>
        <w:rtl/>
      </w:rPr>
    </w:pPr>
    <w:r>
      <w:rPr>
        <w:rStyle w:val="af0"/>
        <w:rtl/>
      </w:rPr>
      <w:fldChar w:fldCharType="begin"/>
    </w:r>
    <w:r>
      <w:rPr>
        <w:rStyle w:val="af0"/>
      </w:rPr>
      <w:instrText xml:space="preserve">PAGE  </w:instrText>
    </w:r>
    <w:r>
      <w:rPr>
        <w:rStyle w:val="af0"/>
        <w:rtl/>
      </w:rPr>
      <w:fldChar w:fldCharType="end"/>
    </w:r>
  </w:p>
  <w:p w14:paraId="11F1CED2" w14:textId="77777777" w:rsidR="006043F6" w:rsidRDefault="006043F6">
    <w:pPr>
      <w:pStyle w:val="ae"/>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ED3" w14:textId="77777777" w:rsidR="006043F6" w:rsidRPr="00E125CC" w:rsidRDefault="006043F6">
    <w:pPr>
      <w:pStyle w:val="ae"/>
      <w:framePr w:wrap="around" w:vAnchor="text" w:hAnchor="margin" w:xAlign="center" w:y="1"/>
      <w:rPr>
        <w:rStyle w:val="af0"/>
        <w:rFonts w:cs="David"/>
        <w:sz w:val="24"/>
        <w:szCs w:val="24"/>
        <w:rtl/>
      </w:rPr>
    </w:pPr>
    <w:r>
      <w:rPr>
        <w:rStyle w:val="af0"/>
        <w:rFonts w:cs="David" w:hint="cs"/>
        <w:sz w:val="24"/>
        <w:szCs w:val="24"/>
        <w:rtl/>
      </w:rPr>
      <w:t xml:space="preserve">- </w:t>
    </w:r>
    <w:r w:rsidRPr="00E125CC">
      <w:rPr>
        <w:rStyle w:val="af0"/>
        <w:rFonts w:cs="David"/>
        <w:sz w:val="24"/>
        <w:szCs w:val="24"/>
        <w:rtl/>
      </w:rPr>
      <w:fldChar w:fldCharType="begin"/>
    </w:r>
    <w:r w:rsidRPr="00E125CC">
      <w:rPr>
        <w:rStyle w:val="af0"/>
        <w:rFonts w:cs="David"/>
        <w:sz w:val="24"/>
        <w:szCs w:val="24"/>
      </w:rPr>
      <w:instrText xml:space="preserve">PAGE  </w:instrText>
    </w:r>
    <w:r w:rsidRPr="00E125CC">
      <w:rPr>
        <w:rStyle w:val="af0"/>
        <w:rFonts w:cs="David"/>
        <w:sz w:val="24"/>
        <w:szCs w:val="24"/>
        <w:rtl/>
      </w:rPr>
      <w:fldChar w:fldCharType="separate"/>
    </w:r>
    <w:r w:rsidR="003F0918">
      <w:rPr>
        <w:rStyle w:val="af0"/>
        <w:rFonts w:cs="David"/>
        <w:noProof/>
        <w:sz w:val="24"/>
        <w:szCs w:val="24"/>
        <w:rtl/>
      </w:rPr>
      <w:t>3</w:t>
    </w:r>
    <w:r w:rsidRPr="00E125CC">
      <w:rPr>
        <w:rStyle w:val="af0"/>
        <w:rFonts w:cs="David"/>
        <w:sz w:val="24"/>
        <w:szCs w:val="24"/>
        <w:rtl/>
      </w:rPr>
      <w:fldChar w:fldCharType="end"/>
    </w:r>
    <w:r>
      <w:rPr>
        <w:rStyle w:val="af0"/>
        <w:rFonts w:cs="David" w:hint="cs"/>
        <w:sz w:val="24"/>
        <w:szCs w:val="24"/>
        <w:rtl/>
      </w:rPr>
      <w:t xml:space="preserve"> -</w:t>
    </w:r>
  </w:p>
  <w:p w14:paraId="11F1CED4" w14:textId="77777777" w:rsidR="006043F6" w:rsidRDefault="006043F6">
    <w:pPr>
      <w:pStyle w:val="ae"/>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7925"/>
    <w:rsid w:val="000B0338"/>
    <w:rsid w:val="000B3A00"/>
    <w:rsid w:val="000E3B18"/>
    <w:rsid w:val="000E4563"/>
    <w:rsid w:val="000E7E08"/>
    <w:rsid w:val="000F6D7C"/>
    <w:rsid w:val="001253F6"/>
    <w:rsid w:val="00135743"/>
    <w:rsid w:val="001C4A6C"/>
    <w:rsid w:val="002000B0"/>
    <w:rsid w:val="00205DFF"/>
    <w:rsid w:val="0020610D"/>
    <w:rsid w:val="0020793A"/>
    <w:rsid w:val="002137F8"/>
    <w:rsid w:val="00217E2E"/>
    <w:rsid w:val="00220CAF"/>
    <w:rsid w:val="00222DA1"/>
    <w:rsid w:val="0024044E"/>
    <w:rsid w:val="00280B87"/>
    <w:rsid w:val="002C4285"/>
    <w:rsid w:val="002C4FF8"/>
    <w:rsid w:val="002E1F11"/>
    <w:rsid w:val="002E6458"/>
    <w:rsid w:val="003072E7"/>
    <w:rsid w:val="00331786"/>
    <w:rsid w:val="0034385F"/>
    <w:rsid w:val="00352E82"/>
    <w:rsid w:val="003710E7"/>
    <w:rsid w:val="0037452B"/>
    <w:rsid w:val="00376744"/>
    <w:rsid w:val="003948C0"/>
    <w:rsid w:val="003B4BC6"/>
    <w:rsid w:val="003C03C8"/>
    <w:rsid w:val="003C1215"/>
    <w:rsid w:val="003D27C5"/>
    <w:rsid w:val="003D58F4"/>
    <w:rsid w:val="003F0918"/>
    <w:rsid w:val="00420B66"/>
    <w:rsid w:val="004239B4"/>
    <w:rsid w:val="004265E2"/>
    <w:rsid w:val="00443D7D"/>
    <w:rsid w:val="004B1418"/>
    <w:rsid w:val="004B1FDD"/>
    <w:rsid w:val="004B3434"/>
    <w:rsid w:val="004C68A2"/>
    <w:rsid w:val="004D7542"/>
    <w:rsid w:val="004E5E15"/>
    <w:rsid w:val="004E77B7"/>
    <w:rsid w:val="005070B4"/>
    <w:rsid w:val="0052521E"/>
    <w:rsid w:val="005527D3"/>
    <w:rsid w:val="005652C2"/>
    <w:rsid w:val="0057628C"/>
    <w:rsid w:val="00583A51"/>
    <w:rsid w:val="005A2EB8"/>
    <w:rsid w:val="005B6107"/>
    <w:rsid w:val="005C5383"/>
    <w:rsid w:val="005D1A36"/>
    <w:rsid w:val="005F20ED"/>
    <w:rsid w:val="0060096F"/>
    <w:rsid w:val="006043F6"/>
    <w:rsid w:val="00606368"/>
    <w:rsid w:val="00673F0C"/>
    <w:rsid w:val="00696C5E"/>
    <w:rsid w:val="006B4B3F"/>
    <w:rsid w:val="006C2108"/>
    <w:rsid w:val="006D0910"/>
    <w:rsid w:val="006F219C"/>
    <w:rsid w:val="006F3CC7"/>
    <w:rsid w:val="007054E5"/>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677D2"/>
    <w:rsid w:val="008836D8"/>
    <w:rsid w:val="00885A35"/>
    <w:rsid w:val="00890350"/>
    <w:rsid w:val="008A5C70"/>
    <w:rsid w:val="008B055C"/>
    <w:rsid w:val="009579F7"/>
    <w:rsid w:val="009B1679"/>
    <w:rsid w:val="009C37CC"/>
    <w:rsid w:val="009C7FC7"/>
    <w:rsid w:val="009E19BF"/>
    <w:rsid w:val="009F0EF8"/>
    <w:rsid w:val="00A03A03"/>
    <w:rsid w:val="00A15945"/>
    <w:rsid w:val="00A54DE5"/>
    <w:rsid w:val="00A9474C"/>
    <w:rsid w:val="00AA5399"/>
    <w:rsid w:val="00AB30E0"/>
    <w:rsid w:val="00AC4CCE"/>
    <w:rsid w:val="00B16515"/>
    <w:rsid w:val="00B416AF"/>
    <w:rsid w:val="00B4412A"/>
    <w:rsid w:val="00B6418A"/>
    <w:rsid w:val="00BA09A3"/>
    <w:rsid w:val="00BA2FCA"/>
    <w:rsid w:val="00BD0880"/>
    <w:rsid w:val="00BF4529"/>
    <w:rsid w:val="00C0211F"/>
    <w:rsid w:val="00C051A9"/>
    <w:rsid w:val="00C35CC5"/>
    <w:rsid w:val="00C61EBB"/>
    <w:rsid w:val="00C6213D"/>
    <w:rsid w:val="00C63E8C"/>
    <w:rsid w:val="00C7276B"/>
    <w:rsid w:val="00C72DFC"/>
    <w:rsid w:val="00CA7AA2"/>
    <w:rsid w:val="00CA7D8A"/>
    <w:rsid w:val="00CA7E27"/>
    <w:rsid w:val="00CC515F"/>
    <w:rsid w:val="00CD1A3B"/>
    <w:rsid w:val="00CD2734"/>
    <w:rsid w:val="00CD5774"/>
    <w:rsid w:val="00D24673"/>
    <w:rsid w:val="00D4588A"/>
    <w:rsid w:val="00D82284"/>
    <w:rsid w:val="00D92FDC"/>
    <w:rsid w:val="00D9552D"/>
    <w:rsid w:val="00DF5CB6"/>
    <w:rsid w:val="00E26850"/>
    <w:rsid w:val="00E36A7E"/>
    <w:rsid w:val="00E449A1"/>
    <w:rsid w:val="00E61062"/>
    <w:rsid w:val="00EB3EA9"/>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1CEA6"/>
  <w15:docId w15:val="{FA09E1E3-BB86-4923-96EF-82DFE60F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6AF"/>
    <w:pPr>
      <w:widowControl w:val="0"/>
      <w:autoSpaceDE w:val="0"/>
      <w:autoSpaceDN w:val="0"/>
      <w:bidi/>
      <w:adjustRightInd w:val="0"/>
      <w:spacing w:before="102"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paragraph" w:styleId="1">
    <w:name w:val="heading 1"/>
    <w:basedOn w:val="a"/>
    <w:next w:val="a"/>
    <w:qFormat/>
    <w:rsid w:val="009579F7"/>
    <w:pPr>
      <w:keepNext/>
      <w:jc w:val="center"/>
      <w:outlineLvl w:val="0"/>
    </w:pPr>
    <w:rPr>
      <w:rFonts w:cs="David"/>
      <w:b/>
      <w:bCs/>
      <w:sz w:val="28"/>
      <w:szCs w:val="28"/>
      <w:u w:val="single"/>
    </w:rPr>
  </w:style>
  <w:style w:type="paragraph" w:styleId="2">
    <w:name w:val="heading 2"/>
    <w:basedOn w:val="a"/>
    <w:next w:val="a"/>
    <w:qFormat/>
    <w:rsid w:val="009579F7"/>
    <w:pPr>
      <w:keepNext/>
      <w:jc w:val="center"/>
      <w:outlineLvl w:val="1"/>
    </w:pPr>
    <w:rPr>
      <w:rFonts w:cs="David"/>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579F7"/>
    <w:rPr>
      <w:sz w:val="16"/>
      <w:szCs w:val="16"/>
    </w:rPr>
  </w:style>
  <w:style w:type="paragraph" w:styleId="a4">
    <w:name w:val="annotation text"/>
    <w:basedOn w:val="a"/>
    <w:link w:val="a5"/>
    <w:uiPriority w:val="99"/>
    <w:semiHidden/>
    <w:rsid w:val="009579F7"/>
    <w:rPr>
      <w:sz w:val="20"/>
      <w:szCs w:val="20"/>
    </w:rPr>
  </w:style>
  <w:style w:type="character" w:customStyle="1" w:styleId="a5">
    <w:name w:val="טקסט הערה תו"/>
    <w:basedOn w:val="a0"/>
    <w:link w:val="a4"/>
    <w:uiPriority w:val="99"/>
    <w:semiHidden/>
    <w:rsid w:val="00BF4529"/>
    <w:rPr>
      <w:rFonts w:ascii="Hadasa Roso SL" w:eastAsia="MS Mincho" w:hAnsi="Hadasa Roso SL" w:cs="Hadasa Roso SL"/>
      <w:color w:val="000000"/>
      <w:spacing w:val="1"/>
      <w:lang w:eastAsia="ja-JP"/>
    </w:rPr>
  </w:style>
  <w:style w:type="paragraph" w:customStyle="1" w:styleId="Cover1-Reshumot">
    <w:name w:val="Cover 1-Reshumot"/>
    <w:basedOn w:val="a"/>
    <w:link w:val="Cover1-Reshumot0"/>
    <w:rsid w:val="009579F7"/>
    <w:pPr>
      <w:tabs>
        <w:tab w:val="left" w:pos="1191"/>
        <w:tab w:val="left" w:pos="1587"/>
      </w:tabs>
      <w:snapToGrid w:val="0"/>
      <w:spacing w:before="240" w:after="240" w:line="480" w:lineRule="auto"/>
      <w:jc w:val="center"/>
    </w:pPr>
    <w:rPr>
      <w:rFonts w:ascii="Arial" w:eastAsia="Arial Unicode MS" w:hAnsi="Arial" w:cs="David"/>
      <w:snapToGrid w:val="0"/>
      <w:sz w:val="20"/>
      <w:szCs w:val="26"/>
    </w:rPr>
  </w:style>
  <w:style w:type="character" w:customStyle="1" w:styleId="Cover1-Reshumot0">
    <w:name w:val="Cover 1-Reshumot תו"/>
    <w:link w:val="Cover1-Reshumot"/>
    <w:locked/>
    <w:rsid w:val="00BF4529"/>
    <w:rPr>
      <w:rFonts w:ascii="Arial" w:eastAsia="Arial Unicode MS" w:hAnsi="Arial" w:cs="David"/>
      <w:snapToGrid w:val="0"/>
      <w:color w:val="000000"/>
      <w:spacing w:val="1"/>
      <w:szCs w:val="26"/>
      <w:lang w:eastAsia="ja-JP"/>
    </w:rPr>
  </w:style>
  <w:style w:type="paragraph" w:customStyle="1" w:styleId="Cover2-HatzaotHok">
    <w:name w:val="Cover 2-HatzaotHok"/>
    <w:basedOn w:val="Cover1-Reshumot"/>
    <w:rsid w:val="009579F7"/>
    <w:rPr>
      <w:sz w:val="36"/>
      <w:szCs w:val="52"/>
    </w:rPr>
  </w:style>
  <w:style w:type="paragraph" w:customStyle="1" w:styleId="Cover3-Haknesset">
    <w:name w:val="Cover 3-Haknesset"/>
    <w:basedOn w:val="Cover1-Reshumot"/>
    <w:rsid w:val="009579F7"/>
    <w:rPr>
      <w:b/>
      <w:bCs/>
      <w:spacing w:val="60"/>
    </w:rPr>
  </w:style>
  <w:style w:type="paragraph" w:customStyle="1" w:styleId="Cover4-Date">
    <w:name w:val="Cover 4-Date"/>
    <w:basedOn w:val="a"/>
    <w:rsid w:val="009579F7"/>
    <w:pPr>
      <w:pBdr>
        <w:bottom w:val="single" w:sz="4" w:space="0" w:color="auto"/>
      </w:pBdr>
      <w:tabs>
        <w:tab w:val="center" w:pos="4820"/>
        <w:tab w:val="right" w:pos="9639"/>
      </w:tabs>
      <w:snapToGrid w:val="0"/>
      <w:spacing w:before="240" w:after="240" w:line="360" w:lineRule="auto"/>
    </w:pPr>
    <w:rPr>
      <w:rFonts w:ascii="Arial" w:eastAsia="Arial Unicode MS" w:hAnsi="Arial" w:cs="David"/>
      <w:snapToGrid w:val="0"/>
      <w:sz w:val="20"/>
      <w:szCs w:val="26"/>
    </w:rPr>
  </w:style>
  <w:style w:type="character" w:styleId="a6">
    <w:name w:val="endnote reference"/>
    <w:semiHidden/>
    <w:rsid w:val="009579F7"/>
    <w:rPr>
      <w:vertAlign w:val="superscript"/>
    </w:rPr>
  </w:style>
  <w:style w:type="paragraph" w:customStyle="1" w:styleId="Ragil">
    <w:name w:val="Ragil"/>
    <w:basedOn w:val="a"/>
    <w:rsid w:val="009579F7"/>
    <w:pPr>
      <w:snapToGrid w:val="0"/>
      <w:spacing w:line="360" w:lineRule="auto"/>
    </w:pPr>
    <w:rPr>
      <w:rFonts w:ascii="Arial" w:eastAsia="Arial Unicode MS" w:hAnsi="Arial" w:cs="David"/>
      <w:snapToGrid w:val="0"/>
      <w:sz w:val="20"/>
      <w:szCs w:val="26"/>
    </w:rPr>
  </w:style>
  <w:style w:type="paragraph" w:styleId="a7">
    <w:name w:val="endnote text"/>
    <w:basedOn w:val="Ragil"/>
    <w:link w:val="a8"/>
    <w:semiHidden/>
    <w:rsid w:val="009579F7"/>
    <w:pPr>
      <w:ind w:left="227" w:hanging="227"/>
    </w:pPr>
    <w:rPr>
      <w:sz w:val="14"/>
      <w:szCs w:val="22"/>
    </w:rPr>
  </w:style>
  <w:style w:type="character" w:customStyle="1" w:styleId="a8">
    <w:name w:val="טקסט הערת סיום תו"/>
    <w:basedOn w:val="a0"/>
    <w:link w:val="a7"/>
    <w:semiHidden/>
    <w:rsid w:val="00BF4529"/>
    <w:rPr>
      <w:rFonts w:ascii="Arial" w:eastAsia="Arial Unicode MS" w:hAnsi="Arial" w:cs="David"/>
      <w:snapToGrid w:val="0"/>
      <w:color w:val="000000"/>
      <w:spacing w:val="1"/>
      <w:sz w:val="14"/>
      <w:szCs w:val="22"/>
      <w:lang w:eastAsia="ja-JP"/>
    </w:rPr>
  </w:style>
  <w:style w:type="paragraph" w:styleId="a9">
    <w:name w:val="footer"/>
    <w:basedOn w:val="a"/>
    <w:link w:val="aa"/>
    <w:uiPriority w:val="99"/>
    <w:rsid w:val="009579F7"/>
    <w:pPr>
      <w:tabs>
        <w:tab w:val="center" w:pos="4153"/>
        <w:tab w:val="right" w:pos="8306"/>
      </w:tabs>
    </w:pPr>
  </w:style>
  <w:style w:type="character" w:customStyle="1" w:styleId="aa">
    <w:name w:val="כותרת תחתונה תו"/>
    <w:basedOn w:val="a0"/>
    <w:link w:val="a9"/>
    <w:uiPriority w:val="99"/>
    <w:rsid w:val="00BF4529"/>
    <w:rPr>
      <w:rFonts w:ascii="Hadasa Roso SL" w:eastAsia="MS Mincho" w:hAnsi="Hadasa Roso SL" w:cs="Hadasa Roso SL"/>
      <w:color w:val="000000"/>
      <w:spacing w:val="1"/>
      <w:sz w:val="17"/>
      <w:szCs w:val="17"/>
      <w:lang w:eastAsia="ja-JP"/>
    </w:rPr>
  </w:style>
  <w:style w:type="character" w:styleId="ab">
    <w:name w:val="footnote reference"/>
    <w:aliases w:val="Footnote Reference"/>
    <w:semiHidden/>
    <w:rsid w:val="009579F7"/>
    <w:rPr>
      <w:vertAlign w:val="superscript"/>
    </w:rPr>
  </w:style>
  <w:style w:type="paragraph" w:styleId="ac">
    <w:name w:val="footnote text"/>
    <w:basedOn w:val="Ragil"/>
    <w:link w:val="ad"/>
    <w:autoRedefine/>
    <w:semiHidden/>
    <w:rsid w:val="00FD1D3D"/>
    <w:pPr>
      <w:spacing w:before="0" w:line="240" w:lineRule="auto"/>
      <w:ind w:left="227" w:hanging="227"/>
    </w:pPr>
    <w:rPr>
      <w:sz w:val="14"/>
      <w:szCs w:val="20"/>
    </w:rPr>
  </w:style>
  <w:style w:type="character" w:customStyle="1" w:styleId="ad">
    <w:name w:val="טקסט הערת שוליים תו"/>
    <w:link w:val="ac"/>
    <w:semiHidden/>
    <w:rsid w:val="008525E2"/>
    <w:rPr>
      <w:rFonts w:ascii="Arial" w:eastAsia="Arial Unicode MS" w:hAnsi="Arial" w:cs="David"/>
      <w:snapToGrid w:val="0"/>
      <w:color w:val="000000"/>
      <w:spacing w:val="1"/>
      <w:sz w:val="14"/>
      <w:lang w:eastAsia="ja-JP"/>
    </w:rPr>
  </w:style>
  <w:style w:type="paragraph" w:customStyle="1" w:styleId="HeadDivreiHesber">
    <w:name w:val="Head DivreiHesber"/>
    <w:basedOn w:val="Ragil"/>
    <w:link w:val="HeadDivreiHesber0"/>
    <w:rsid w:val="009579F7"/>
    <w:pPr>
      <w:spacing w:before="360" w:after="120"/>
      <w:ind w:firstLine="0"/>
      <w:jc w:val="center"/>
    </w:pPr>
    <w:rPr>
      <w:b/>
      <w:spacing w:val="40"/>
    </w:rPr>
  </w:style>
  <w:style w:type="character" w:customStyle="1" w:styleId="HeadDivreiHesber0">
    <w:name w:val="Head DivreiHesber תו"/>
    <w:link w:val="HeadDivreiHesber"/>
    <w:locked/>
    <w:rsid w:val="00BF4529"/>
    <w:rPr>
      <w:rFonts w:ascii="Arial" w:eastAsia="Arial Unicode MS" w:hAnsi="Arial" w:cs="David"/>
      <w:b/>
      <w:snapToGrid w:val="0"/>
      <w:color w:val="000000"/>
      <w:spacing w:val="40"/>
      <w:szCs w:val="26"/>
      <w:lang w:eastAsia="ja-JP"/>
    </w:rPr>
  </w:style>
  <w:style w:type="paragraph" w:customStyle="1" w:styleId="HeadHatzaotHok">
    <w:name w:val="Head HatzaotHok"/>
    <w:basedOn w:val="a"/>
    <w:link w:val="HeadHatzaotHok0"/>
    <w:rsid w:val="009579F7"/>
    <w:pPr>
      <w:keepNext/>
      <w:keepLines/>
      <w:snapToGrid w:val="0"/>
      <w:spacing w:before="240" w:line="360" w:lineRule="auto"/>
      <w:jc w:val="center"/>
    </w:pPr>
    <w:rPr>
      <w:rFonts w:ascii="Arial" w:eastAsia="Arial Unicode MS" w:hAnsi="Arial" w:cs="David"/>
      <w:b/>
      <w:bCs/>
      <w:snapToGrid w:val="0"/>
      <w:sz w:val="20"/>
      <w:szCs w:val="26"/>
    </w:rPr>
  </w:style>
  <w:style w:type="character" w:customStyle="1" w:styleId="HeadHatzaotHok0">
    <w:name w:val="Head HatzaotHok תו"/>
    <w:link w:val="HeadHatzaotHok"/>
    <w:rsid w:val="00B16515"/>
    <w:rPr>
      <w:rFonts w:ascii="Arial" w:eastAsia="Arial Unicode MS" w:hAnsi="Arial" w:cs="David"/>
      <w:b/>
      <w:bCs/>
      <w:snapToGrid w:val="0"/>
      <w:color w:val="000000"/>
      <w:spacing w:val="1"/>
      <w:szCs w:val="26"/>
      <w:lang w:val="en-US" w:eastAsia="ja-JP" w:bidi="he-IL"/>
    </w:rPr>
  </w:style>
  <w:style w:type="paragraph" w:customStyle="1" w:styleId="HeadHatzaotHok4Futer">
    <w:name w:val="Head HatzaotHok4Futer"/>
    <w:basedOn w:val="HeadHatzaotHok"/>
    <w:rsid w:val="009579F7"/>
    <w:pPr>
      <w:spacing w:before="120" w:after="120"/>
    </w:pPr>
    <w:rPr>
      <w:color w:val="FF0000"/>
      <w:w w:val="80"/>
    </w:rPr>
  </w:style>
  <w:style w:type="paragraph" w:customStyle="1" w:styleId="HeadMitparsemetBaze">
    <w:name w:val="Head MitparsemetBaze"/>
    <w:basedOn w:val="a"/>
    <w:rsid w:val="009579F7"/>
    <w:pPr>
      <w:keepNext/>
      <w:keepLines/>
      <w:pageBreakBefore/>
      <w:snapToGrid w:val="0"/>
      <w:spacing w:before="480" w:line="360" w:lineRule="auto"/>
    </w:pPr>
    <w:rPr>
      <w:rFonts w:ascii="Arial" w:eastAsia="Arial Unicode MS" w:hAnsi="Arial" w:cs="David"/>
      <w:b/>
      <w:bCs/>
      <w:snapToGrid w:val="0"/>
      <w:sz w:val="20"/>
      <w:szCs w:val="26"/>
    </w:rPr>
  </w:style>
  <w:style w:type="paragraph" w:styleId="ae">
    <w:name w:val="header"/>
    <w:basedOn w:val="a"/>
    <w:link w:val="af"/>
    <w:rsid w:val="009579F7"/>
    <w:pPr>
      <w:tabs>
        <w:tab w:val="center" w:pos="4153"/>
        <w:tab w:val="right" w:pos="8306"/>
      </w:tabs>
    </w:pPr>
  </w:style>
  <w:style w:type="character" w:customStyle="1" w:styleId="af">
    <w:name w:val="כותרת עליונה תו"/>
    <w:basedOn w:val="a0"/>
    <w:link w:val="ae"/>
    <w:rsid w:val="00BF4529"/>
    <w:rPr>
      <w:rFonts w:ascii="Hadasa Roso SL" w:eastAsia="MS Mincho" w:hAnsi="Hadasa Roso SL" w:cs="Hadasa Roso SL"/>
      <w:color w:val="000000"/>
      <w:spacing w:val="1"/>
      <w:sz w:val="17"/>
      <w:szCs w:val="17"/>
      <w:lang w:eastAsia="ja-JP"/>
    </w:rPr>
  </w:style>
  <w:style w:type="paragraph" w:customStyle="1" w:styleId="Hesber">
    <w:name w:val="Hesber"/>
    <w:basedOn w:val="Ragil"/>
    <w:rsid w:val="009579F7"/>
  </w:style>
  <w:style w:type="paragraph" w:customStyle="1" w:styleId="Hesber1st">
    <w:name w:val="Hesber 1st"/>
    <w:basedOn w:val="Hesber"/>
    <w:rsid w:val="009579F7"/>
    <w:pPr>
      <w:tabs>
        <w:tab w:val="left" w:pos="680"/>
        <w:tab w:val="left" w:pos="1020"/>
      </w:tabs>
      <w:ind w:firstLine="0"/>
    </w:pPr>
  </w:style>
  <w:style w:type="paragraph" w:customStyle="1" w:styleId="HesberHeading">
    <w:name w:val="Hesber Heading"/>
    <w:basedOn w:val="Hesber"/>
    <w:rsid w:val="009579F7"/>
    <w:pPr>
      <w:keepNext/>
      <w:keepLines/>
      <w:spacing w:before="240"/>
      <w:ind w:firstLine="0"/>
    </w:pPr>
    <w:rPr>
      <w:b/>
      <w:bCs/>
    </w:rPr>
  </w:style>
  <w:style w:type="paragraph" w:customStyle="1" w:styleId="HesberWriters">
    <w:name w:val="Hesber Writers"/>
    <w:basedOn w:val="Hesber"/>
    <w:rsid w:val="009579F7"/>
    <w:pPr>
      <w:spacing w:before="120" w:after="6000"/>
      <w:ind w:left="1418" w:firstLine="0"/>
      <w:jc w:val="right"/>
    </w:pPr>
    <w:rPr>
      <w:b/>
      <w:bCs/>
    </w:rPr>
  </w:style>
  <w:style w:type="character" w:styleId="Hyperlink">
    <w:name w:val="Hyperlink"/>
    <w:rsid w:val="009579F7"/>
    <w:rPr>
      <w:color w:val="0000FF"/>
      <w:u w:val="single"/>
    </w:rPr>
  </w:style>
  <w:style w:type="character" w:styleId="af0">
    <w:name w:val="page number"/>
    <w:basedOn w:val="a0"/>
    <w:rsid w:val="009579F7"/>
  </w:style>
  <w:style w:type="paragraph" w:customStyle="1" w:styleId="TableText">
    <w:name w:val="Table Text"/>
    <w:basedOn w:val="Ragil"/>
    <w:rsid w:val="009579F7"/>
    <w:pPr>
      <w:keepLines/>
      <w:tabs>
        <w:tab w:val="left" w:pos="624"/>
        <w:tab w:val="left" w:pos="1247"/>
      </w:tabs>
      <w:ind w:right="57" w:firstLine="0"/>
    </w:pPr>
  </w:style>
  <w:style w:type="paragraph" w:customStyle="1" w:styleId="TableBlock">
    <w:name w:val="Table Block"/>
    <w:basedOn w:val="TableText"/>
    <w:rsid w:val="009579F7"/>
    <w:pPr>
      <w:ind w:right="0"/>
    </w:pPr>
  </w:style>
  <w:style w:type="paragraph" w:customStyle="1" w:styleId="TableBlockOutdent">
    <w:name w:val="Table BlockOutdent"/>
    <w:basedOn w:val="TableBlock"/>
    <w:rsid w:val="009579F7"/>
    <w:pPr>
      <w:ind w:left="624" w:hanging="624"/>
    </w:pPr>
  </w:style>
  <w:style w:type="table" w:customStyle="1" w:styleId="10">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9579F7"/>
    <w:pPr>
      <w:ind w:right="0"/>
      <w:jc w:val="center"/>
    </w:pPr>
    <w:rPr>
      <w:b/>
      <w:bCs/>
    </w:rPr>
  </w:style>
  <w:style w:type="paragraph" w:customStyle="1" w:styleId="TableSideHeading">
    <w:name w:val="Table SideHeading"/>
    <w:basedOn w:val="TableText"/>
    <w:rsid w:val="009579F7"/>
  </w:style>
  <w:style w:type="paragraph" w:customStyle="1" w:styleId="TableInnerSideHeading">
    <w:name w:val="Table InnerSideHeading"/>
    <w:basedOn w:val="TableSideHeading"/>
    <w:rsid w:val="009579F7"/>
  </w:style>
  <w:style w:type="paragraph" w:customStyle="1" w:styleId="TableText2">
    <w:name w:val="Table Text2"/>
    <w:basedOn w:val="TableText"/>
    <w:rsid w:val="009579F7"/>
  </w:style>
  <w:style w:type="paragraph" w:styleId="af1">
    <w:name w:val="Title"/>
    <w:basedOn w:val="a"/>
    <w:qFormat/>
    <w:rsid w:val="009579F7"/>
    <w:pPr>
      <w:jc w:val="center"/>
    </w:pPr>
    <w:rPr>
      <w:rFonts w:cs="David"/>
      <w:b/>
      <w:bCs/>
      <w:sz w:val="28"/>
      <w:szCs w:val="28"/>
      <w:u w:val="single"/>
    </w:rPr>
  </w:style>
  <w:style w:type="paragraph" w:customStyle="1" w:styleId="TOC">
    <w:name w:val="TOC"/>
    <w:basedOn w:val="a"/>
    <w:uiPriority w:val="99"/>
    <w:rsid w:val="009579F7"/>
    <w:pPr>
      <w:tabs>
        <w:tab w:val="left" w:leader="dot" w:pos="8789"/>
      </w:tabs>
      <w:snapToGrid w:val="0"/>
      <w:spacing w:before="120" w:line="360" w:lineRule="auto"/>
      <w:ind w:left="284" w:right="284"/>
    </w:pPr>
    <w:rPr>
      <w:rFonts w:ascii="Arial" w:eastAsia="Arial Unicode MS" w:hAnsi="Arial" w:cs="David"/>
      <w:snapToGrid w:val="0"/>
      <w:sz w:val="20"/>
      <w:szCs w:val="26"/>
    </w:rPr>
  </w:style>
  <w:style w:type="paragraph" w:customStyle="1" w:styleId="TOCpg">
    <w:name w:val="TOC pg"/>
    <w:basedOn w:val="TOC"/>
    <w:uiPriority w:val="99"/>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styleId="af2">
    <w:name w:val="Balloon Text"/>
    <w:basedOn w:val="a"/>
    <w:link w:val="af3"/>
    <w:rsid w:val="0024044E"/>
    <w:pPr>
      <w:spacing w:before="0" w:line="240" w:lineRule="auto"/>
    </w:pPr>
    <w:rPr>
      <w:rFonts w:ascii="Tahoma" w:hAnsi="Tahoma" w:cs="Tahoma"/>
      <w:sz w:val="16"/>
      <w:szCs w:val="16"/>
    </w:rPr>
  </w:style>
  <w:style w:type="character" w:customStyle="1" w:styleId="af3">
    <w:name w:val="טקסט בלונים תו"/>
    <w:basedOn w:val="a0"/>
    <w:link w:val="af2"/>
    <w:rsid w:val="0024044E"/>
    <w:rPr>
      <w:rFonts w:ascii="Tahoma" w:eastAsia="MS Mincho" w:hAnsi="Tahoma" w:cs="Tahoma"/>
      <w:color w:val="000000"/>
      <w:spacing w:val="1"/>
      <w:sz w:val="16"/>
      <w:szCs w:val="16"/>
      <w:lang w:eastAsia="ja-JP"/>
    </w:rPr>
  </w:style>
  <w:style w:type="character" w:customStyle="1" w:styleId="af4">
    <w:name w:val="נושא הערה תו"/>
    <w:basedOn w:val="a5"/>
    <w:link w:val="af5"/>
    <w:semiHidden/>
    <w:rsid w:val="00BF4529"/>
    <w:rPr>
      <w:rFonts w:ascii="Hadasa Roso SL" w:eastAsia="MS Mincho" w:hAnsi="Hadasa Roso SL" w:cs="Hadasa Roso SL"/>
      <w:b/>
      <w:bCs/>
      <w:color w:val="000000"/>
      <w:spacing w:val="1"/>
      <w:lang w:eastAsia="ja-JP"/>
    </w:rPr>
  </w:style>
  <w:style w:type="paragraph" w:styleId="af5">
    <w:name w:val="annotation subject"/>
    <w:basedOn w:val="a4"/>
    <w:next w:val="a4"/>
    <w:link w:val="af4"/>
    <w:semiHidden/>
    <w:unhideWhenUsed/>
    <w:rsid w:val="00BF4529"/>
    <w:pPr>
      <w:spacing w:line="240" w:lineRule="auto"/>
      <w:textAlignment w:val="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9" ma:contentTypeDescription="צור מסמך חדש." ma:contentTypeScope="" ma:versionID="6a01ef1adf273ac3a4b4881f182ea46a">
  <xsd:schema xmlns:xsd="http://www.w3.org/2001/XMLSchema" xmlns:xs="http://www.w3.org/2001/XMLSchema" xmlns:p="http://schemas.microsoft.com/office/2006/metadata/properties" xmlns:ns2="e860c347-3c75-42f3-9b43-fe3c3ef9805f" xmlns:ns3="f380af25-22dd-4a89-bd18-c5bf793c562b" targetNamespace="http://schemas.microsoft.com/office/2006/metadata/properties" ma:root="true" ma:fieldsID="0aa1dd194ff4bc56b6d5b975ec8f82e1" ns2:_="" ns3:_="">
    <xsd:import namespace="e860c347-3c75-42f3-9b43-fe3c3ef9805f"/>
    <xsd:import namespace="f380af25-22dd-4a89-bd18-c5bf793c562b"/>
    <xsd:element name="properties">
      <xsd:complexType>
        <xsd:sequence>
          <xsd:element name="documentManagement">
            <xsd:complexType>
              <xsd:all>
                <xsd:element ref="ns2:_dlc_DocId" minOccurs="0"/>
                <xsd:element ref="ns2:_dlc_DocIdUrl" minOccurs="0"/>
                <xsd:element ref="ns2:_dlc_DocIdPersistId" minOccurs="0"/>
                <xsd:element ref="ns3:_x05e8__x05dc__x05d5__x05d5__x05e0__x05d8__x05d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_x05e8__x05dc__x05d5__x05d5__x05e0__x05d8__x05d9_" ma:index="11" nillable="true" ma:displayName="רלוונטי" ma:default="1" ma:internalName="_x05e8__x05dc__x05d5__x05d5__x05e0__x05d8__x05d9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DBBEA-70D8-42BF-840A-210C07FEF50B}"/>
</file>

<file path=customXml/itemProps2.xml><?xml version="1.0" encoding="utf-8"?>
<ds:datastoreItem xmlns:ds="http://schemas.openxmlformats.org/officeDocument/2006/customXml" ds:itemID="{C3E1657D-317C-48BB-A872-2C64BBB17B1B}"/>
</file>

<file path=customXml/itemProps3.xml><?xml version="1.0" encoding="utf-8"?>
<ds:datastoreItem xmlns:ds="http://schemas.openxmlformats.org/officeDocument/2006/customXml" ds:itemID="{5C990E72-2A10-47B5-8633-F22511D80AB8}"/>
</file>

<file path=customXml/itemProps4.xml><?xml version="1.0" encoding="utf-8"?>
<ds:datastoreItem xmlns:ds="http://schemas.openxmlformats.org/officeDocument/2006/customXml" ds:itemID="{5B445DB0-DE29-4A78-AA80-C9C210B7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0c347-3c75-42f3-9b43-fe3c3ef9805f"/>
    <ds:schemaRef ds:uri="f380af25-22dd-4a89-bd18-c5bf793c5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141E38-DF83-4968-8BF2-14AD5129C29D}"/>
</file>

<file path=customXml/itemProps6.xml><?xml version="1.0" encoding="utf-8"?>
<ds:datastoreItem xmlns:ds="http://schemas.openxmlformats.org/officeDocument/2006/customXml" ds:itemID="{9AAD3E59-1685-4866-88AE-10917921A27A}"/>
</file>

<file path=docProps/app.xml><?xml version="1.0" encoding="utf-8"?>
<Properties xmlns="http://schemas.openxmlformats.org/officeDocument/2006/extended-properties" xmlns:vt="http://schemas.openxmlformats.org/officeDocument/2006/docPropsVTypes">
  <Template>Normal</Template>
  <TotalTime>0</TotalTime>
  <Pages>53</Pages>
  <Words>9871</Words>
  <Characters>49358</Characters>
  <Application>Microsoft Office Word</Application>
  <DocSecurity>0</DocSecurity>
  <Lines>411</Lines>
  <Paragraphs>118</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59111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דפנה ברנאי</cp:lastModifiedBy>
  <cp:revision>2</cp:revision>
  <cp:lastPrinted>2015-08-03T08:45:00Z</cp:lastPrinted>
  <dcterms:created xsi:type="dcterms:W3CDTF">2015-08-05T12:27:00Z</dcterms:created>
  <dcterms:modified xsi:type="dcterms:W3CDTF">2015-08-05T12:27:00Z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67ed823b-b566-4053-8154-e1b23751d1a5</vt:lpwstr>
  </property>
  <property fmtid="{D5CDD505-2E9C-101B-9397-08002B2CF9AE}" pid="20" name="SanhedrinItemID">
    <vt:r8>566989</vt:r8>
  </property>
  <property fmtid="{D5CDD505-2E9C-101B-9397-08002B2CF9AE}" pid="21" name="SanhedrinDocumentType">
    <vt:r8>42</vt:r8>
  </property>
</Properties>
</file>