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1CEA6" w14:textId="77777777" w:rsidR="008525E2" w:rsidRDefault="00C7276B" w:rsidP="008525E2">
      <w:pPr>
        <w:spacing w:before="0"/>
        <w:jc w:val="center"/>
        <w:rPr>
          <w:b/>
          <w:bCs/>
          <w:sz w:val="28"/>
          <w:szCs w:val="28"/>
          <w:rtl/>
        </w:rPr>
      </w:pPr>
      <w:bookmarkStart w:id="0" w:name="_GoBack"/>
      <w:bookmarkEnd w:id="0"/>
      <w:r>
        <w:rPr>
          <w:noProof/>
          <w:lang w:eastAsia="en-US"/>
        </w:rPr>
        <w:drawing>
          <wp:inline distT="0" distB="0" distL="0" distR="0" wp14:anchorId="11F1CECB" wp14:editId="11F1CECC">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11F1CEA7" w14:textId="77777777" w:rsidR="008525E2" w:rsidRDefault="008525E2" w:rsidP="008525E2">
      <w:pPr>
        <w:spacing w:before="0"/>
        <w:jc w:val="center"/>
        <w:rPr>
          <w:b/>
          <w:bCs/>
          <w:sz w:val="28"/>
          <w:szCs w:val="28"/>
          <w:rtl/>
        </w:rPr>
      </w:pPr>
    </w:p>
    <w:p w14:paraId="11F1CEA8" w14:textId="71E42414" w:rsidR="008525E2" w:rsidRDefault="00220CAF" w:rsidP="008525E2">
      <w:pPr>
        <w:spacing w:before="0"/>
        <w:jc w:val="center"/>
        <w:rPr>
          <w:b/>
          <w:bCs/>
          <w:sz w:val="28"/>
          <w:szCs w:val="28"/>
          <w:rtl/>
        </w:rPr>
      </w:pPr>
      <w:bookmarkStart w:id="1" w:name="LGSName"/>
      <w:r>
        <w:rPr>
          <w:rStyle w:val="HeadHatzaotHok0"/>
          <w:rFonts w:hint="cs"/>
          <w:rtl/>
        </w:rPr>
        <w:t>חוק ההתיישנות (תיקון מס' 5), התשע"ה–2015</w:t>
      </w:r>
      <w:bookmarkEnd w:id="1"/>
      <w:r w:rsidR="008525E2">
        <w:rPr>
          <w:rStyle w:val="a8"/>
          <w:b/>
          <w:bCs/>
          <w:sz w:val="28"/>
          <w:szCs w:val="28"/>
          <w:rtl/>
        </w:rPr>
        <w:footnoteReference w:customMarkFollows="1" w:id="1"/>
        <w:t>*</w:t>
      </w:r>
    </w:p>
    <w:p w14:paraId="44F7CF9A" w14:textId="77777777" w:rsidR="00557B4B" w:rsidRDefault="00557B4B" w:rsidP="008525E2">
      <w:pPr>
        <w:spacing w:before="0"/>
        <w:jc w:val="center"/>
        <w:rPr>
          <w:b/>
          <w:bCs/>
          <w:sz w:val="28"/>
          <w:szCs w:val="28"/>
          <w:rtl/>
        </w:rPr>
      </w:pPr>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1871"/>
        <w:gridCol w:w="624"/>
        <w:gridCol w:w="4648"/>
      </w:tblGrid>
      <w:tr w:rsidR="00557B4B" w:rsidRPr="00EF2A4E" w14:paraId="42556B20" w14:textId="77777777" w:rsidTr="00557B4B">
        <w:trPr>
          <w:cantSplit/>
        </w:trPr>
        <w:tc>
          <w:tcPr>
            <w:tcW w:w="1871" w:type="dxa"/>
            <w:shd w:val="clear" w:color="auto" w:fill="auto"/>
            <w:tcMar>
              <w:top w:w="91" w:type="dxa"/>
              <w:left w:w="0" w:type="dxa"/>
              <w:bottom w:w="91" w:type="dxa"/>
              <w:right w:w="0" w:type="dxa"/>
            </w:tcMar>
          </w:tcPr>
          <w:p w14:paraId="43BDCF0F" w14:textId="77777777" w:rsidR="00557B4B" w:rsidRPr="00EF2A4E" w:rsidRDefault="00557B4B" w:rsidP="006A47F3">
            <w:pPr>
              <w:pStyle w:val="TableSideHeading"/>
              <w:rPr>
                <w:rtl/>
              </w:rPr>
            </w:pPr>
            <w:r w:rsidRPr="00EF2A4E">
              <w:rPr>
                <w:rtl/>
              </w:rPr>
              <w:t>החלפת סעיף 7</w:t>
            </w:r>
          </w:p>
        </w:tc>
        <w:tc>
          <w:tcPr>
            <w:tcW w:w="624" w:type="dxa"/>
            <w:shd w:val="clear" w:color="auto" w:fill="auto"/>
            <w:tcMar>
              <w:top w:w="91" w:type="dxa"/>
              <w:left w:w="0" w:type="dxa"/>
              <w:bottom w:w="91" w:type="dxa"/>
              <w:right w:w="0" w:type="dxa"/>
            </w:tcMar>
          </w:tcPr>
          <w:p w14:paraId="63BD3FD9" w14:textId="77777777" w:rsidR="00557B4B" w:rsidRPr="00EF2A4E" w:rsidRDefault="00557B4B" w:rsidP="006A47F3">
            <w:pPr>
              <w:pStyle w:val="TableText"/>
              <w:rPr>
                <w:rtl/>
              </w:rPr>
            </w:pPr>
            <w:r w:rsidRPr="00EF2A4E">
              <w:rPr>
                <w:rtl/>
              </w:rPr>
              <w:t>1.</w:t>
            </w:r>
          </w:p>
        </w:tc>
        <w:tc>
          <w:tcPr>
            <w:tcW w:w="7143" w:type="dxa"/>
            <w:gridSpan w:val="3"/>
            <w:shd w:val="clear" w:color="auto" w:fill="auto"/>
            <w:tcMar>
              <w:top w:w="91" w:type="dxa"/>
              <w:left w:w="0" w:type="dxa"/>
              <w:bottom w:w="91" w:type="dxa"/>
              <w:right w:w="0" w:type="dxa"/>
            </w:tcMar>
          </w:tcPr>
          <w:p w14:paraId="6E475A05" w14:textId="77777777" w:rsidR="00557B4B" w:rsidRPr="00EF2A4E" w:rsidRDefault="00557B4B" w:rsidP="00557B4B">
            <w:pPr>
              <w:pStyle w:val="TableBlock"/>
              <w:rPr>
                <w:rtl/>
              </w:rPr>
            </w:pPr>
            <w:r w:rsidRPr="00EF2A4E">
              <w:rPr>
                <w:rtl/>
              </w:rPr>
              <w:t>בחוק ההתיישנות, התשי"ח–1958‏</w:t>
            </w:r>
            <w:r w:rsidRPr="00EF2A4E">
              <w:rPr>
                <w:rStyle w:val="a8"/>
                <w:rtl/>
              </w:rPr>
              <w:footnoteReference w:id="2"/>
            </w:r>
            <w:r w:rsidRPr="00EF2A4E">
              <w:rPr>
                <w:rtl/>
              </w:rPr>
              <w:t xml:space="preserve">, במקום סעיף 7 יבוא: </w:t>
            </w:r>
          </w:p>
        </w:tc>
      </w:tr>
      <w:tr w:rsidR="00557B4B" w:rsidRPr="00EF2A4E" w14:paraId="58596F6E" w14:textId="77777777" w:rsidTr="00557B4B">
        <w:trPr>
          <w:cantSplit/>
        </w:trPr>
        <w:tc>
          <w:tcPr>
            <w:tcW w:w="1871" w:type="dxa"/>
            <w:shd w:val="clear" w:color="auto" w:fill="auto"/>
            <w:tcMar>
              <w:top w:w="91" w:type="dxa"/>
              <w:left w:w="0" w:type="dxa"/>
              <w:bottom w:w="91" w:type="dxa"/>
              <w:right w:w="0" w:type="dxa"/>
            </w:tcMar>
          </w:tcPr>
          <w:p w14:paraId="61FB8776" w14:textId="77777777" w:rsidR="00557B4B" w:rsidRPr="00EF2A4E" w:rsidRDefault="00557B4B" w:rsidP="006A47F3">
            <w:pPr>
              <w:pStyle w:val="TableSideHeading"/>
            </w:pPr>
          </w:p>
        </w:tc>
        <w:tc>
          <w:tcPr>
            <w:tcW w:w="624" w:type="dxa"/>
            <w:shd w:val="clear" w:color="auto" w:fill="auto"/>
            <w:tcMar>
              <w:top w:w="91" w:type="dxa"/>
              <w:left w:w="0" w:type="dxa"/>
              <w:bottom w:w="91" w:type="dxa"/>
              <w:right w:w="0" w:type="dxa"/>
            </w:tcMar>
          </w:tcPr>
          <w:p w14:paraId="098895BC" w14:textId="77777777" w:rsidR="00557B4B" w:rsidRPr="00EF2A4E" w:rsidRDefault="00557B4B" w:rsidP="006A47F3">
            <w:pPr>
              <w:pStyle w:val="TableText"/>
            </w:pPr>
          </w:p>
        </w:tc>
        <w:tc>
          <w:tcPr>
            <w:tcW w:w="1871" w:type="dxa"/>
            <w:shd w:val="clear" w:color="auto" w:fill="auto"/>
            <w:tcMar>
              <w:top w:w="91" w:type="dxa"/>
              <w:left w:w="0" w:type="dxa"/>
              <w:bottom w:w="91" w:type="dxa"/>
              <w:right w:w="0" w:type="dxa"/>
            </w:tcMar>
          </w:tcPr>
          <w:p w14:paraId="57E4F4EF" w14:textId="77777777" w:rsidR="00557B4B" w:rsidRPr="00EF2A4E" w:rsidRDefault="00557B4B" w:rsidP="00557B4B">
            <w:pPr>
              <w:pStyle w:val="TableInnerSideHeading"/>
              <w:rPr>
                <w:rtl/>
              </w:rPr>
            </w:pPr>
            <w:r w:rsidRPr="00EF2A4E">
              <w:rPr>
                <w:rtl/>
              </w:rPr>
              <w:t xml:space="preserve">"השעיית מרוץ תקופת ההתיישנות עקב התנהגות פסולה של הנתבע </w:t>
            </w:r>
          </w:p>
        </w:tc>
        <w:tc>
          <w:tcPr>
            <w:tcW w:w="624" w:type="dxa"/>
            <w:shd w:val="clear" w:color="auto" w:fill="auto"/>
            <w:tcMar>
              <w:top w:w="91" w:type="dxa"/>
              <w:left w:w="0" w:type="dxa"/>
              <w:bottom w:w="91" w:type="dxa"/>
              <w:right w:w="0" w:type="dxa"/>
            </w:tcMar>
          </w:tcPr>
          <w:p w14:paraId="0595520A" w14:textId="77777777" w:rsidR="00557B4B" w:rsidRPr="00EF2A4E" w:rsidRDefault="00557B4B" w:rsidP="006A47F3">
            <w:pPr>
              <w:pStyle w:val="TableText"/>
              <w:rPr>
                <w:rtl/>
              </w:rPr>
            </w:pPr>
            <w:r w:rsidRPr="00EF2A4E">
              <w:rPr>
                <w:rtl/>
              </w:rPr>
              <w:t xml:space="preserve">7. </w:t>
            </w:r>
          </w:p>
        </w:tc>
        <w:tc>
          <w:tcPr>
            <w:tcW w:w="4648" w:type="dxa"/>
            <w:shd w:val="clear" w:color="auto" w:fill="auto"/>
            <w:tcMar>
              <w:top w:w="91" w:type="dxa"/>
              <w:left w:w="0" w:type="dxa"/>
              <w:bottom w:w="91" w:type="dxa"/>
              <w:right w:w="0" w:type="dxa"/>
            </w:tcMar>
          </w:tcPr>
          <w:p w14:paraId="4C78FB9C" w14:textId="77777777" w:rsidR="00557B4B" w:rsidRPr="00EF2A4E" w:rsidRDefault="00557B4B" w:rsidP="00557B4B">
            <w:pPr>
              <w:pStyle w:val="TableBlock"/>
              <w:rPr>
                <w:rtl/>
              </w:rPr>
            </w:pPr>
            <w:r w:rsidRPr="00EF2A4E">
              <w:rPr>
                <w:rtl/>
              </w:rPr>
              <w:t>מרוץ תקופת ההתיישנות של תביעה יושעה כל עוד נמנע התובע מלהגיש תובענה בשל כך שהנתבע, או מי מטעמו, מטעה ביודעין את התובע, מפעיל נגדו כוח, מאיים עליו או מנצל את מצוקתו; לעניין זה, "הטעיה" – לרבות בדרך של אי־גילוי ביודעין של עובדה מהעובדות המהוות את עילת התובענה."</w:t>
            </w:r>
          </w:p>
        </w:tc>
      </w:tr>
    </w:tbl>
    <w:p w14:paraId="11F1CEAE" w14:textId="77777777" w:rsidR="008525E2" w:rsidRPr="00E125CC" w:rsidRDefault="008525E2" w:rsidP="008525E2">
      <w:pPr>
        <w:pStyle w:val="Noparagraphstyle"/>
        <w:rPr>
          <w:sz w:val="26"/>
          <w:rtl/>
        </w:rPr>
      </w:pPr>
    </w:p>
    <w:p w14:paraId="11F1CEAF" w14:textId="77777777" w:rsidR="008525E2" w:rsidRPr="00E125CC" w:rsidRDefault="008525E2" w:rsidP="008525E2">
      <w:pPr>
        <w:pStyle w:val="Noparagraphstyle"/>
        <w:rPr>
          <w:sz w:val="26"/>
          <w:rtl/>
        </w:rPr>
      </w:pPr>
    </w:p>
    <w:p w14:paraId="11F1CEB0" w14:textId="77777777" w:rsidR="008525E2" w:rsidRPr="00E125CC" w:rsidRDefault="008525E2" w:rsidP="008525E2">
      <w:pPr>
        <w:pStyle w:val="Noparagraphstyle"/>
        <w:rPr>
          <w:sz w:val="26"/>
          <w:rtl/>
        </w:rPr>
      </w:pPr>
    </w:p>
    <w:p w14:paraId="11F1CEB1" w14:textId="77777777" w:rsidR="008525E2" w:rsidRPr="00E125CC" w:rsidRDefault="008525E2" w:rsidP="008525E2">
      <w:pPr>
        <w:pStyle w:val="Noparagraphstyle"/>
        <w:rPr>
          <w:sz w:val="26"/>
          <w:rtl/>
        </w:rPr>
      </w:pPr>
    </w:p>
    <w:p w14:paraId="11F1CEB2" w14:textId="77777777" w:rsidR="008525E2" w:rsidRPr="00E125CC" w:rsidRDefault="008525E2" w:rsidP="008525E2">
      <w:pPr>
        <w:pStyle w:val="Noparagraphstyle"/>
        <w:rPr>
          <w:sz w:val="26"/>
          <w:rtl/>
        </w:rPr>
      </w:pPr>
    </w:p>
    <w:tbl>
      <w:tblPr>
        <w:bidiVisual/>
        <w:tblW w:w="9639" w:type="dxa"/>
        <w:tblLook w:val="00A0" w:firstRow="1" w:lastRow="0" w:firstColumn="1" w:lastColumn="0" w:noHBand="0" w:noVBand="0"/>
      </w:tblPr>
      <w:tblGrid>
        <w:gridCol w:w="2409"/>
        <w:gridCol w:w="2410"/>
        <w:gridCol w:w="2410"/>
        <w:gridCol w:w="2410"/>
      </w:tblGrid>
      <w:tr w:rsidR="008525E2" w:rsidRPr="00D466D4" w14:paraId="11F1CEB9" w14:textId="77777777" w:rsidTr="006F3CC7">
        <w:tc>
          <w:tcPr>
            <w:tcW w:w="2410" w:type="dxa"/>
            <w:shd w:val="clear" w:color="auto" w:fill="auto"/>
          </w:tcPr>
          <w:p w14:paraId="11F1CEB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4" w14:textId="77777777" w:rsidR="008525E2" w:rsidRPr="00D466D4" w:rsidRDefault="00220CAF" w:rsidP="006F3CC7">
            <w:pPr>
              <w:spacing w:before="0" w:line="360" w:lineRule="auto"/>
              <w:ind w:firstLine="0"/>
              <w:jc w:val="center"/>
              <w:rPr>
                <w:rFonts w:cs="David"/>
                <w:sz w:val="26"/>
                <w:szCs w:val="26"/>
                <w:rtl/>
              </w:rPr>
            </w:pPr>
            <w:bookmarkStart w:id="7" w:name="PrimeMinistryName"/>
            <w:r>
              <w:rPr>
                <w:rFonts w:cs="David" w:hint="cs"/>
                <w:sz w:val="26"/>
                <w:szCs w:val="26"/>
                <w:rtl/>
              </w:rPr>
              <w:t>בנימין נתניהו</w:t>
            </w:r>
            <w:bookmarkEnd w:id="7"/>
          </w:p>
          <w:p w14:paraId="11F1CEB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ראש הממשלה</w:t>
            </w:r>
          </w:p>
        </w:tc>
        <w:tc>
          <w:tcPr>
            <w:tcW w:w="2410" w:type="dxa"/>
            <w:shd w:val="clear" w:color="auto" w:fill="auto"/>
          </w:tcPr>
          <w:p w14:paraId="11F1CEB6"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7" w14:textId="6F9E2F63" w:rsidR="008525E2" w:rsidRPr="00D466D4" w:rsidRDefault="007D0742" w:rsidP="006F3CC7">
            <w:pPr>
              <w:spacing w:before="0" w:line="360" w:lineRule="auto"/>
              <w:ind w:firstLine="0"/>
              <w:jc w:val="center"/>
              <w:rPr>
                <w:rFonts w:cs="David"/>
                <w:sz w:val="26"/>
                <w:szCs w:val="26"/>
                <w:rtl/>
              </w:rPr>
            </w:pPr>
            <w:r>
              <w:rPr>
                <w:rFonts w:cs="David" w:hint="cs"/>
                <w:sz w:val="26"/>
                <w:szCs w:val="26"/>
                <w:rtl/>
              </w:rPr>
              <w:t>איילת שקד</w:t>
            </w:r>
          </w:p>
          <w:p w14:paraId="11F1CEB8" w14:textId="77C81249" w:rsidR="008525E2" w:rsidRPr="00D466D4" w:rsidRDefault="007D0742" w:rsidP="006F3CC7">
            <w:pPr>
              <w:spacing w:before="0" w:line="360" w:lineRule="auto"/>
              <w:ind w:firstLine="0"/>
              <w:jc w:val="center"/>
              <w:rPr>
                <w:rFonts w:cs="David"/>
                <w:sz w:val="26"/>
                <w:szCs w:val="26"/>
                <w:rtl/>
              </w:rPr>
            </w:pPr>
            <w:r>
              <w:rPr>
                <w:rFonts w:cs="David" w:hint="cs"/>
                <w:sz w:val="26"/>
                <w:szCs w:val="26"/>
                <w:rtl/>
              </w:rPr>
              <w:t>שרת המשפטים</w:t>
            </w:r>
          </w:p>
        </w:tc>
      </w:tr>
      <w:tr w:rsidR="008525E2" w:rsidRPr="00D466D4" w14:paraId="11F1CEC0" w14:textId="77777777" w:rsidTr="006F3CC7">
        <w:tc>
          <w:tcPr>
            <w:tcW w:w="2410" w:type="dxa"/>
            <w:shd w:val="clear" w:color="auto" w:fill="auto"/>
          </w:tcPr>
          <w:p w14:paraId="11F1CEBA" w14:textId="77777777" w:rsidR="008525E2" w:rsidRPr="00D466D4" w:rsidRDefault="008525E2" w:rsidP="006F3CC7">
            <w:pPr>
              <w:spacing w:before="0" w:line="360" w:lineRule="auto"/>
              <w:ind w:firstLine="0"/>
              <w:jc w:val="center"/>
              <w:rPr>
                <w:rFonts w:cs="David"/>
                <w:sz w:val="26"/>
                <w:szCs w:val="26"/>
                <w:rtl/>
              </w:rPr>
            </w:pPr>
          </w:p>
          <w:p w14:paraId="11F1CEBB"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C"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D"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E" w14:textId="77777777" w:rsidR="008525E2" w:rsidRPr="00D466D4" w:rsidRDefault="008525E2" w:rsidP="006F3CC7">
            <w:pPr>
              <w:spacing w:before="0" w:line="360" w:lineRule="auto"/>
              <w:ind w:firstLine="0"/>
              <w:jc w:val="center"/>
              <w:rPr>
                <w:rFonts w:cs="David"/>
                <w:sz w:val="26"/>
                <w:szCs w:val="26"/>
                <w:rtl/>
              </w:rPr>
            </w:pPr>
          </w:p>
          <w:p w14:paraId="11F1CEBF" w14:textId="77777777" w:rsidR="008525E2" w:rsidRPr="00D466D4" w:rsidRDefault="008525E2" w:rsidP="006F3CC7">
            <w:pPr>
              <w:spacing w:before="0" w:line="360" w:lineRule="auto"/>
              <w:ind w:firstLine="0"/>
              <w:jc w:val="center"/>
              <w:rPr>
                <w:rFonts w:cs="David"/>
                <w:sz w:val="26"/>
                <w:szCs w:val="26"/>
                <w:rtl/>
              </w:rPr>
            </w:pPr>
          </w:p>
        </w:tc>
      </w:tr>
      <w:tr w:rsidR="008525E2" w:rsidRPr="00D466D4" w14:paraId="11F1CEC7" w14:textId="77777777" w:rsidTr="006F3CC7">
        <w:tc>
          <w:tcPr>
            <w:tcW w:w="2410" w:type="dxa"/>
            <w:shd w:val="clear" w:color="auto" w:fill="auto"/>
          </w:tcPr>
          <w:p w14:paraId="11F1CEC1" w14:textId="77777777" w:rsidR="008525E2" w:rsidRPr="00D466D4" w:rsidRDefault="008525E2" w:rsidP="006F3CC7">
            <w:pPr>
              <w:spacing w:before="0" w:line="360" w:lineRule="auto"/>
              <w:ind w:firstLine="0"/>
              <w:jc w:val="center"/>
              <w:rPr>
                <w:rFonts w:cs="David"/>
                <w:sz w:val="26"/>
                <w:szCs w:val="26"/>
                <w:rtl/>
              </w:rPr>
            </w:pPr>
            <w:r w:rsidRPr="003710E7">
              <w:rPr>
                <w:rFonts w:cs="David" w:hint="cs"/>
                <w:sz w:val="26"/>
                <w:szCs w:val="26"/>
                <w:rtl/>
              </w:rPr>
              <w:t>ראובן ריבלין</w:t>
            </w:r>
          </w:p>
          <w:p w14:paraId="11F1CEC2"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נשיא המדינה</w:t>
            </w:r>
          </w:p>
        </w:tc>
        <w:tc>
          <w:tcPr>
            <w:tcW w:w="2410" w:type="dxa"/>
            <w:shd w:val="clear" w:color="auto" w:fill="auto"/>
          </w:tcPr>
          <w:p w14:paraId="11F1CEC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C4" w14:textId="77777777" w:rsidR="008525E2" w:rsidRPr="00D466D4" w:rsidRDefault="00220CAF" w:rsidP="006F3CC7">
            <w:pPr>
              <w:spacing w:before="0" w:line="360" w:lineRule="auto"/>
              <w:ind w:firstLine="0"/>
              <w:jc w:val="center"/>
              <w:rPr>
                <w:rFonts w:cs="David"/>
                <w:sz w:val="26"/>
                <w:szCs w:val="26"/>
                <w:rtl/>
              </w:rPr>
            </w:pPr>
            <w:bookmarkStart w:id="8" w:name="HeadKnessetName"/>
            <w:r>
              <w:rPr>
                <w:rFonts w:cs="David" w:hint="cs"/>
                <w:sz w:val="26"/>
                <w:szCs w:val="26"/>
                <w:rtl/>
              </w:rPr>
              <w:t>יולי יואל אדלשטיין</w:t>
            </w:r>
            <w:bookmarkEnd w:id="8"/>
          </w:p>
          <w:p w14:paraId="11F1CEC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יושב ראש הכנסת</w:t>
            </w:r>
          </w:p>
        </w:tc>
        <w:tc>
          <w:tcPr>
            <w:tcW w:w="2410" w:type="dxa"/>
            <w:shd w:val="clear" w:color="auto" w:fill="auto"/>
          </w:tcPr>
          <w:p w14:paraId="11F1CEC6" w14:textId="77777777" w:rsidR="008525E2" w:rsidRPr="00D466D4" w:rsidRDefault="008525E2" w:rsidP="006F3CC7">
            <w:pPr>
              <w:spacing w:before="0" w:line="360" w:lineRule="auto"/>
              <w:ind w:firstLine="0"/>
              <w:jc w:val="center"/>
              <w:rPr>
                <w:rFonts w:cs="David"/>
                <w:sz w:val="26"/>
                <w:szCs w:val="26"/>
                <w:rtl/>
              </w:rPr>
            </w:pPr>
          </w:p>
        </w:tc>
      </w:tr>
    </w:tbl>
    <w:p w14:paraId="11F1CEC8" w14:textId="77777777" w:rsidR="008525E2" w:rsidRDefault="008525E2" w:rsidP="008525E2">
      <w:pPr>
        <w:pStyle w:val="Hesber"/>
        <w:rPr>
          <w:rtl/>
        </w:rPr>
      </w:pPr>
    </w:p>
    <w:p w14:paraId="11F1CEC9" w14:textId="77777777" w:rsidR="008525E2" w:rsidRPr="00FD6E55" w:rsidRDefault="008525E2" w:rsidP="008525E2">
      <w:pPr>
        <w:rPr>
          <w:rtl/>
        </w:rPr>
      </w:pPr>
    </w:p>
    <w:p w14:paraId="11F1CECA" w14:textId="77777777" w:rsidR="002137F8" w:rsidRPr="008525E2" w:rsidRDefault="002137F8" w:rsidP="008525E2">
      <w:pPr>
        <w:rPr>
          <w:rtl/>
        </w:rPr>
      </w:pPr>
    </w:p>
    <w:sectPr w:rsidR="002137F8" w:rsidRPr="008525E2" w:rsidSect="004E77B7">
      <w:headerReference w:type="even" r:id="rId13"/>
      <w:headerReference w:type="default" r:id="rId14"/>
      <w:footerReference w:type="even" r:id="rId15"/>
      <w:pgSz w:w="11906" w:h="16838"/>
      <w:pgMar w:top="1440" w:right="1134" w:bottom="1440"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CECF" w14:textId="77777777" w:rsidR="00707F31" w:rsidRDefault="00707F31" w:rsidP="00B416AF">
      <w:pPr>
        <w:pStyle w:val="HeadHatzaotHok"/>
      </w:pPr>
      <w:r>
        <w:separator/>
      </w:r>
    </w:p>
  </w:endnote>
  <w:endnote w:type="continuationSeparator" w:id="0">
    <w:p w14:paraId="11F1CED0" w14:textId="77777777" w:rsidR="00707F31" w:rsidRDefault="00707F31"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5" w14:textId="77777777" w:rsidR="002137F8" w:rsidRDefault="002137F8" w:rsidP="00B416AF">
    <w:pPr>
      <w:pStyle w:val="a7"/>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11F1CED6" w14:textId="77777777" w:rsidR="002137F8" w:rsidRDefault="002137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1CECD" w14:textId="77777777" w:rsidR="00707F31" w:rsidRDefault="00707F31" w:rsidP="00696C5E">
      <w:pPr>
        <w:pStyle w:val="HeadHatzaotHok"/>
        <w:spacing w:before="0"/>
        <w:jc w:val="left"/>
      </w:pPr>
      <w:r>
        <w:separator/>
      </w:r>
    </w:p>
  </w:footnote>
  <w:footnote w:type="continuationSeparator" w:id="0">
    <w:p w14:paraId="11F1CECE" w14:textId="77777777" w:rsidR="00707F31" w:rsidRPr="00696C5E" w:rsidRDefault="00707F31" w:rsidP="00696C5E">
      <w:pPr>
        <w:pStyle w:val="HeadHatzaotHok"/>
        <w:spacing w:before="0"/>
        <w:jc w:val="left"/>
      </w:pPr>
      <w:r>
        <w:separator/>
      </w:r>
    </w:p>
  </w:footnote>
  <w:footnote w:id="1">
    <w:p w14:paraId="11F1CED7" w14:textId="19C2ACBB" w:rsidR="008525E2" w:rsidRDefault="008525E2" w:rsidP="00557B4B">
      <w:pPr>
        <w:pStyle w:val="a9"/>
        <w:rPr>
          <w:rtl/>
        </w:rPr>
      </w:pPr>
      <w:r>
        <w:rPr>
          <w:rStyle w:val="a8"/>
        </w:rPr>
        <w:t>*</w:t>
      </w:r>
      <w:r>
        <w:rPr>
          <w:rFonts w:hint="cs"/>
          <w:rtl/>
        </w:rPr>
        <w:t xml:space="preserve"> התקבל בכנסת ביום </w:t>
      </w:r>
      <w:bookmarkStart w:id="2" w:name="LGSVote3Date"/>
      <w:r w:rsidR="00557B4B">
        <w:rPr>
          <w:rFonts w:hint="cs"/>
          <w:rtl/>
        </w:rPr>
        <w:t>י"ב באב התשע"ה (28 ביולי 2015)</w:t>
      </w:r>
      <w:bookmarkEnd w:id="2"/>
      <w:r>
        <w:rPr>
          <w:rFonts w:hint="cs"/>
          <w:rtl/>
        </w:rPr>
        <w:t xml:space="preserve">; הצעת החוק ודברי הסבר פורסמו בהצעות חוק </w:t>
      </w:r>
      <w:bookmarkStart w:id="3" w:name="LGSType"/>
      <w:r>
        <w:rPr>
          <w:rFonts w:hint="cs"/>
          <w:rtl/>
        </w:rPr>
        <w:t>הכנסת</w:t>
      </w:r>
      <w:bookmarkEnd w:id="3"/>
      <w:r>
        <w:rPr>
          <w:rFonts w:hint="cs"/>
          <w:rtl/>
        </w:rPr>
        <w:t xml:space="preserve"> </w:t>
      </w:r>
      <w:r>
        <w:rPr>
          <w:rFonts w:hint="eastAsia"/>
          <w:rtl/>
        </w:rPr>
        <w:t>–</w:t>
      </w:r>
      <w:r>
        <w:rPr>
          <w:rFonts w:hint="cs"/>
          <w:rtl/>
        </w:rPr>
        <w:t xml:space="preserve"> </w:t>
      </w:r>
      <w:bookmarkStart w:id="4" w:name="LGSNum"/>
      <w:r>
        <w:rPr>
          <w:rFonts w:hint="cs"/>
          <w:rtl/>
        </w:rPr>
        <w:t>600</w:t>
      </w:r>
      <w:bookmarkEnd w:id="4"/>
      <w:r>
        <w:rPr>
          <w:rFonts w:hint="eastAsia"/>
          <w:rtl/>
        </w:rPr>
        <w:t xml:space="preserve">, מיום </w:t>
      </w:r>
      <w:bookmarkStart w:id="5" w:name="HebDate"/>
      <w:r w:rsidR="00557B4B">
        <w:rPr>
          <w:rFonts w:hint="cs"/>
          <w:rtl/>
        </w:rPr>
        <w:t>ה'</w:t>
      </w:r>
      <w:r>
        <w:rPr>
          <w:rFonts w:hint="cs"/>
          <w:rtl/>
        </w:rPr>
        <w:t xml:space="preserve"> באב התשע"ה</w:t>
      </w:r>
      <w:bookmarkEnd w:id="5"/>
      <w:r w:rsidRPr="00827E61">
        <w:rPr>
          <w:rFonts w:hint="cs"/>
          <w:rtl/>
        </w:rPr>
        <w:t xml:space="preserve"> (</w:t>
      </w:r>
      <w:bookmarkStart w:id="6" w:name="EngDate"/>
      <w:r w:rsidR="00557B4B">
        <w:rPr>
          <w:rFonts w:hint="cs"/>
          <w:rtl/>
        </w:rPr>
        <w:t>21</w:t>
      </w:r>
      <w:r>
        <w:rPr>
          <w:rFonts w:hint="cs"/>
          <w:rtl/>
        </w:rPr>
        <w:t xml:space="preserve"> ביולי 2015</w:t>
      </w:r>
      <w:bookmarkEnd w:id="6"/>
      <w:r w:rsidRPr="00827E61">
        <w:rPr>
          <w:rFonts w:hint="cs"/>
          <w:rtl/>
        </w:rPr>
        <w:t>), עמ'</w:t>
      </w:r>
      <w:r w:rsidR="00557B4B">
        <w:rPr>
          <w:rFonts w:hint="cs"/>
          <w:rtl/>
        </w:rPr>
        <w:t xml:space="preserve"> 126</w:t>
      </w:r>
      <w:r>
        <w:rPr>
          <w:rFonts w:hint="cs"/>
          <w:rtl/>
        </w:rPr>
        <w:t>.</w:t>
      </w:r>
    </w:p>
  </w:footnote>
  <w:footnote w:id="2">
    <w:p w14:paraId="7A14AE0B" w14:textId="77777777" w:rsidR="00557B4B" w:rsidRDefault="00557B4B" w:rsidP="00557B4B">
      <w:pPr>
        <w:pStyle w:val="a9"/>
        <w:rPr>
          <w:rtl/>
        </w:rPr>
      </w:pPr>
      <w:r>
        <w:rPr>
          <w:rStyle w:val="a8"/>
        </w:rPr>
        <w:footnoteRef/>
      </w:r>
      <w:r>
        <w:rPr>
          <w:rtl/>
        </w:rPr>
        <w:t xml:space="preserve"> </w:t>
      </w:r>
      <w:r>
        <w:rPr>
          <w:rFonts w:hint="eastAsia"/>
          <w:rtl/>
        </w:rPr>
        <w:t>ס</w:t>
      </w:r>
      <w:r>
        <w:rPr>
          <w:rtl/>
        </w:rPr>
        <w:t xml:space="preserve">"ח התשי"ח, עמ' 112; התשס"ז, עמ' 385.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1" w14:textId="77777777" w:rsidR="002137F8" w:rsidRDefault="002137F8">
    <w:pPr>
      <w:pStyle w:val="ab"/>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14:paraId="11F1CED2" w14:textId="77777777" w:rsidR="002137F8" w:rsidRDefault="002137F8">
    <w:pPr>
      <w:pStyle w:val="ab"/>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3" w14:textId="77777777" w:rsidR="002137F8" w:rsidRPr="00E125CC" w:rsidRDefault="002137F8">
    <w:pPr>
      <w:pStyle w:val="ab"/>
      <w:framePr w:wrap="around" w:vAnchor="text" w:hAnchor="margin" w:xAlign="center" w:y="1"/>
      <w:rPr>
        <w:rStyle w:val="ac"/>
        <w:rFonts w:cs="David"/>
        <w:sz w:val="24"/>
        <w:szCs w:val="24"/>
        <w:rtl/>
      </w:rPr>
    </w:pPr>
    <w:r>
      <w:rPr>
        <w:rStyle w:val="ac"/>
        <w:rFonts w:cs="David" w:hint="cs"/>
        <w:sz w:val="24"/>
        <w:szCs w:val="24"/>
        <w:rtl/>
      </w:rPr>
      <w:t xml:space="preserve">- </w:t>
    </w:r>
    <w:r w:rsidRPr="00E125CC">
      <w:rPr>
        <w:rStyle w:val="ac"/>
        <w:rFonts w:cs="David"/>
        <w:sz w:val="24"/>
        <w:szCs w:val="24"/>
        <w:rtl/>
      </w:rPr>
      <w:fldChar w:fldCharType="begin"/>
    </w:r>
    <w:r w:rsidRPr="00E125CC">
      <w:rPr>
        <w:rStyle w:val="ac"/>
        <w:rFonts w:cs="David"/>
        <w:sz w:val="24"/>
        <w:szCs w:val="24"/>
      </w:rPr>
      <w:instrText xml:space="preserve">PAGE  </w:instrText>
    </w:r>
    <w:r w:rsidRPr="00E125CC">
      <w:rPr>
        <w:rStyle w:val="ac"/>
        <w:rFonts w:cs="David"/>
        <w:sz w:val="24"/>
        <w:szCs w:val="24"/>
        <w:rtl/>
      </w:rPr>
      <w:fldChar w:fldCharType="separate"/>
    </w:r>
    <w:r>
      <w:rPr>
        <w:rStyle w:val="ac"/>
        <w:rFonts w:cs="David"/>
        <w:noProof/>
        <w:sz w:val="24"/>
        <w:szCs w:val="24"/>
        <w:rtl/>
      </w:rPr>
      <w:t>2</w:t>
    </w:r>
    <w:r w:rsidRPr="00E125CC">
      <w:rPr>
        <w:rStyle w:val="ac"/>
        <w:rFonts w:cs="David"/>
        <w:sz w:val="24"/>
        <w:szCs w:val="24"/>
        <w:rtl/>
      </w:rPr>
      <w:fldChar w:fldCharType="end"/>
    </w:r>
    <w:r>
      <w:rPr>
        <w:rStyle w:val="ac"/>
        <w:rFonts w:cs="David" w:hint="cs"/>
        <w:sz w:val="24"/>
        <w:szCs w:val="24"/>
        <w:rtl/>
      </w:rPr>
      <w:t xml:space="preserve"> -</w:t>
    </w:r>
  </w:p>
  <w:p w14:paraId="11F1CED4" w14:textId="77777777" w:rsidR="002137F8" w:rsidRDefault="002137F8">
    <w:pPr>
      <w:pStyle w:val="ab"/>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43"/>
    <w:rsid w:val="00022EBF"/>
    <w:rsid w:val="0002643E"/>
    <w:rsid w:val="0002757A"/>
    <w:rsid w:val="00027E2D"/>
    <w:rsid w:val="00033033"/>
    <w:rsid w:val="00047882"/>
    <w:rsid w:val="00077AF1"/>
    <w:rsid w:val="00097925"/>
    <w:rsid w:val="000B3A00"/>
    <w:rsid w:val="000C38BE"/>
    <w:rsid w:val="000E3B18"/>
    <w:rsid w:val="000E4563"/>
    <w:rsid w:val="000E7E08"/>
    <w:rsid w:val="000F6D7C"/>
    <w:rsid w:val="001253F6"/>
    <w:rsid w:val="00135743"/>
    <w:rsid w:val="00150DEC"/>
    <w:rsid w:val="001C4A6C"/>
    <w:rsid w:val="002000B0"/>
    <w:rsid w:val="00205DFF"/>
    <w:rsid w:val="0020610D"/>
    <w:rsid w:val="0020793A"/>
    <w:rsid w:val="002137F8"/>
    <w:rsid w:val="00220CAF"/>
    <w:rsid w:val="00222DA1"/>
    <w:rsid w:val="0024044E"/>
    <w:rsid w:val="00280B87"/>
    <w:rsid w:val="002C4285"/>
    <w:rsid w:val="002C4FF8"/>
    <w:rsid w:val="002E1F11"/>
    <w:rsid w:val="002E6458"/>
    <w:rsid w:val="00331786"/>
    <w:rsid w:val="0034385F"/>
    <w:rsid w:val="00352E82"/>
    <w:rsid w:val="003710E7"/>
    <w:rsid w:val="0037452B"/>
    <w:rsid w:val="003948C0"/>
    <w:rsid w:val="003B4BC6"/>
    <w:rsid w:val="003C03C8"/>
    <w:rsid w:val="003C1215"/>
    <w:rsid w:val="003D27C5"/>
    <w:rsid w:val="003D58F4"/>
    <w:rsid w:val="004239B4"/>
    <w:rsid w:val="004265E2"/>
    <w:rsid w:val="00443D7D"/>
    <w:rsid w:val="004B1418"/>
    <w:rsid w:val="004B1FDD"/>
    <w:rsid w:val="004C68A2"/>
    <w:rsid w:val="004D7542"/>
    <w:rsid w:val="004E5E15"/>
    <w:rsid w:val="004E77B7"/>
    <w:rsid w:val="0052521E"/>
    <w:rsid w:val="005527D3"/>
    <w:rsid w:val="00557B4B"/>
    <w:rsid w:val="005652C2"/>
    <w:rsid w:val="0057628C"/>
    <w:rsid w:val="005A2EB8"/>
    <w:rsid w:val="005B6107"/>
    <w:rsid w:val="005C5383"/>
    <w:rsid w:val="005D1A36"/>
    <w:rsid w:val="005F20ED"/>
    <w:rsid w:val="00606368"/>
    <w:rsid w:val="00696C5E"/>
    <w:rsid w:val="006B4B3F"/>
    <w:rsid w:val="006C2108"/>
    <w:rsid w:val="006D0910"/>
    <w:rsid w:val="006F219C"/>
    <w:rsid w:val="006F3CC7"/>
    <w:rsid w:val="00707F31"/>
    <w:rsid w:val="00732EFC"/>
    <w:rsid w:val="007428E7"/>
    <w:rsid w:val="00765153"/>
    <w:rsid w:val="00787D9C"/>
    <w:rsid w:val="007C2914"/>
    <w:rsid w:val="007C4213"/>
    <w:rsid w:val="007D0742"/>
    <w:rsid w:val="007E362D"/>
    <w:rsid w:val="00827E61"/>
    <w:rsid w:val="0083056F"/>
    <w:rsid w:val="00847132"/>
    <w:rsid w:val="008525E2"/>
    <w:rsid w:val="00854E28"/>
    <w:rsid w:val="00855A92"/>
    <w:rsid w:val="00861CDE"/>
    <w:rsid w:val="008836D8"/>
    <w:rsid w:val="00885A35"/>
    <w:rsid w:val="00890350"/>
    <w:rsid w:val="008A5C70"/>
    <w:rsid w:val="008B055C"/>
    <w:rsid w:val="009579F7"/>
    <w:rsid w:val="009B1679"/>
    <w:rsid w:val="009C37CC"/>
    <w:rsid w:val="009C7FC7"/>
    <w:rsid w:val="009E19BF"/>
    <w:rsid w:val="009F0EF8"/>
    <w:rsid w:val="00A03A03"/>
    <w:rsid w:val="00A15945"/>
    <w:rsid w:val="00A54DE5"/>
    <w:rsid w:val="00A9474C"/>
    <w:rsid w:val="00AA5399"/>
    <w:rsid w:val="00AC4CCE"/>
    <w:rsid w:val="00B16515"/>
    <w:rsid w:val="00B416AF"/>
    <w:rsid w:val="00B4412A"/>
    <w:rsid w:val="00B6418A"/>
    <w:rsid w:val="00BA09A3"/>
    <w:rsid w:val="00BA2FCA"/>
    <w:rsid w:val="00BD0880"/>
    <w:rsid w:val="00C0211F"/>
    <w:rsid w:val="00C35CC5"/>
    <w:rsid w:val="00C61EBB"/>
    <w:rsid w:val="00C63E8C"/>
    <w:rsid w:val="00C7276B"/>
    <w:rsid w:val="00C72DFC"/>
    <w:rsid w:val="00CA7AA2"/>
    <w:rsid w:val="00CA7D8A"/>
    <w:rsid w:val="00CA7E27"/>
    <w:rsid w:val="00CC515F"/>
    <w:rsid w:val="00CD1A3B"/>
    <w:rsid w:val="00CD2734"/>
    <w:rsid w:val="00CD5774"/>
    <w:rsid w:val="00D24673"/>
    <w:rsid w:val="00D4588A"/>
    <w:rsid w:val="00D82284"/>
    <w:rsid w:val="00D92FDC"/>
    <w:rsid w:val="00D9552D"/>
    <w:rsid w:val="00DF5CB6"/>
    <w:rsid w:val="00E26850"/>
    <w:rsid w:val="00E36A7E"/>
    <w:rsid w:val="00E449A1"/>
    <w:rsid w:val="00E61062"/>
    <w:rsid w:val="00EC7E05"/>
    <w:rsid w:val="00EE492B"/>
    <w:rsid w:val="00F05158"/>
    <w:rsid w:val="00F93AD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1CEA6"/>
  <w15:docId w15:val="{AC1632CD-F938-47DC-93F2-390B369C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B4B"/>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qFormat/>
    <w:rsid w:val="009579F7"/>
    <w:pPr>
      <w:keepNext/>
      <w:jc w:val="center"/>
      <w:outlineLvl w:val="0"/>
    </w:pPr>
    <w:rPr>
      <w:rFonts w:cs="David"/>
      <w:b/>
      <w:bCs/>
      <w:sz w:val="28"/>
      <w:szCs w:val="28"/>
      <w:u w:val="single"/>
    </w:rPr>
  </w:style>
  <w:style w:type="paragraph" w:styleId="2">
    <w:name w:val="heading 2"/>
    <w:basedOn w:val="a"/>
    <w:next w:val="a"/>
    <w:qFormat/>
    <w:rsid w:val="009579F7"/>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557B4B"/>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557B4B"/>
    <w:rPr>
      <w:sz w:val="36"/>
      <w:szCs w:val="52"/>
    </w:rPr>
  </w:style>
  <w:style w:type="paragraph" w:customStyle="1" w:styleId="Cover3-Haknesset">
    <w:name w:val="Cover 3-Haknesset"/>
    <w:basedOn w:val="Cover1-Reshumot"/>
    <w:rsid w:val="00557B4B"/>
    <w:rPr>
      <w:b/>
      <w:bCs/>
      <w:spacing w:val="60"/>
    </w:rPr>
  </w:style>
  <w:style w:type="paragraph" w:customStyle="1" w:styleId="Cover4-Date">
    <w:name w:val="Cover 4-Date"/>
    <w:basedOn w:val="a"/>
    <w:rsid w:val="00557B4B"/>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character" w:styleId="a5">
    <w:name w:val="endnote reference"/>
    <w:basedOn w:val="a0"/>
    <w:semiHidden/>
    <w:rsid w:val="00557B4B"/>
    <w:rPr>
      <w:vertAlign w:val="superscript"/>
    </w:rPr>
  </w:style>
  <w:style w:type="paragraph" w:customStyle="1" w:styleId="Ragil">
    <w:name w:val="Ragil"/>
    <w:basedOn w:val="a"/>
    <w:rsid w:val="00557B4B"/>
    <w:pPr>
      <w:snapToGrid w:val="0"/>
      <w:spacing w:before="0" w:line="360" w:lineRule="auto"/>
      <w:jc w:val="left"/>
    </w:pPr>
    <w:rPr>
      <w:rFonts w:ascii="Arial" w:eastAsia="Arial Unicode MS" w:hAnsi="Arial" w:cs="David"/>
      <w:snapToGrid w:val="0"/>
      <w:spacing w:val="0"/>
      <w:sz w:val="20"/>
      <w:szCs w:val="26"/>
    </w:rPr>
  </w:style>
  <w:style w:type="paragraph" w:styleId="a6">
    <w:name w:val="endnote text"/>
    <w:basedOn w:val="a"/>
    <w:semiHidden/>
    <w:rsid w:val="00557B4B"/>
    <w:pPr>
      <w:ind w:left="227" w:hanging="227"/>
    </w:pPr>
    <w:rPr>
      <w:sz w:val="14"/>
      <w:szCs w:val="22"/>
    </w:rPr>
  </w:style>
  <w:style w:type="paragraph" w:styleId="a7">
    <w:name w:val="footer"/>
    <w:basedOn w:val="a"/>
    <w:rsid w:val="00557B4B"/>
    <w:pPr>
      <w:tabs>
        <w:tab w:val="center" w:pos="4153"/>
        <w:tab w:val="right" w:pos="8306"/>
      </w:tabs>
    </w:pPr>
  </w:style>
  <w:style w:type="character" w:styleId="a8">
    <w:name w:val="footnote reference"/>
    <w:aliases w:val="Footnote Reference"/>
    <w:basedOn w:val="a0"/>
    <w:semiHidden/>
    <w:rsid w:val="00557B4B"/>
    <w:rPr>
      <w:vertAlign w:val="superscript"/>
    </w:rPr>
  </w:style>
  <w:style w:type="paragraph" w:styleId="a9">
    <w:name w:val="footnote text"/>
    <w:basedOn w:val="a"/>
    <w:link w:val="aa"/>
    <w:autoRedefine/>
    <w:semiHidden/>
    <w:rsid w:val="00557B4B"/>
    <w:pPr>
      <w:snapToGrid w:val="0"/>
      <w:spacing w:before="0" w:line="240" w:lineRule="auto"/>
      <w:ind w:left="227" w:hanging="227"/>
      <w:jc w:val="left"/>
    </w:pPr>
    <w:rPr>
      <w:rFonts w:ascii="Arial" w:eastAsia="Arial Unicode MS" w:hAnsi="Arial" w:cs="David"/>
      <w:snapToGrid w:val="0"/>
      <w:spacing w:val="0"/>
      <w:sz w:val="14"/>
      <w:szCs w:val="20"/>
    </w:rPr>
  </w:style>
  <w:style w:type="paragraph" w:customStyle="1" w:styleId="HeadDivreiHesber">
    <w:name w:val="Head DivreiHesber"/>
    <w:basedOn w:val="a"/>
    <w:rsid w:val="00557B4B"/>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
    <w:name w:val="Head HatzaotHok"/>
    <w:basedOn w:val="a"/>
    <w:link w:val="HeadHatzaotHok0"/>
    <w:rsid w:val="00557B4B"/>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557B4B"/>
    <w:pPr>
      <w:spacing w:before="120" w:after="120"/>
    </w:pPr>
    <w:rPr>
      <w:color w:val="FF0000"/>
      <w:w w:val="80"/>
    </w:rPr>
  </w:style>
  <w:style w:type="paragraph" w:customStyle="1" w:styleId="HeadMitparsemetBaze">
    <w:name w:val="Head MitparsemetBaze"/>
    <w:basedOn w:val="a"/>
    <w:rsid w:val="00557B4B"/>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styleId="ab">
    <w:name w:val="header"/>
    <w:basedOn w:val="a"/>
    <w:rsid w:val="00557B4B"/>
    <w:pPr>
      <w:tabs>
        <w:tab w:val="center" w:pos="4153"/>
        <w:tab w:val="right" w:pos="8306"/>
      </w:tabs>
    </w:pPr>
  </w:style>
  <w:style w:type="paragraph" w:customStyle="1" w:styleId="Hesber">
    <w:name w:val="Hesber"/>
    <w:basedOn w:val="a"/>
    <w:rsid w:val="00557B4B"/>
    <w:pPr>
      <w:snapToGrid w:val="0"/>
      <w:spacing w:before="0" w:line="360" w:lineRule="auto"/>
    </w:pPr>
    <w:rPr>
      <w:rFonts w:ascii="Arial" w:eastAsia="Arial Unicode MS" w:hAnsi="Arial" w:cs="David"/>
      <w:snapToGrid w:val="0"/>
      <w:spacing w:val="0"/>
      <w:sz w:val="20"/>
      <w:szCs w:val="26"/>
    </w:rPr>
  </w:style>
  <w:style w:type="paragraph" w:customStyle="1" w:styleId="Hesber1st">
    <w:name w:val="Hesber 1st"/>
    <w:basedOn w:val="Hesber"/>
    <w:rsid w:val="00557B4B"/>
    <w:pPr>
      <w:tabs>
        <w:tab w:val="left" w:pos="680"/>
        <w:tab w:val="left" w:pos="1020"/>
      </w:tabs>
      <w:ind w:firstLine="0"/>
    </w:pPr>
  </w:style>
  <w:style w:type="paragraph" w:customStyle="1" w:styleId="HesberHeading">
    <w:name w:val="Hesber Heading"/>
    <w:basedOn w:val="Hesber"/>
    <w:rsid w:val="00557B4B"/>
    <w:pPr>
      <w:tabs>
        <w:tab w:val="left" w:pos="624"/>
        <w:tab w:val="left" w:pos="1247"/>
      </w:tabs>
      <w:ind w:firstLine="0"/>
    </w:pPr>
    <w:rPr>
      <w:b/>
      <w:bCs/>
    </w:rPr>
  </w:style>
  <w:style w:type="paragraph" w:customStyle="1" w:styleId="HesberWriters">
    <w:name w:val="Hesber Writers"/>
    <w:basedOn w:val="Hesber"/>
    <w:rsid w:val="00557B4B"/>
    <w:pPr>
      <w:spacing w:before="120" w:after="6000"/>
      <w:ind w:left="1418" w:firstLine="0"/>
      <w:jc w:val="right"/>
    </w:pPr>
    <w:rPr>
      <w:b/>
      <w:bCs/>
    </w:rPr>
  </w:style>
  <w:style w:type="character" w:styleId="Hyperlink">
    <w:name w:val="Hyperlink"/>
    <w:rsid w:val="009579F7"/>
    <w:rPr>
      <w:color w:val="0000FF"/>
      <w:u w:val="single"/>
    </w:rPr>
  </w:style>
  <w:style w:type="character" w:styleId="ac">
    <w:name w:val="page number"/>
    <w:basedOn w:val="a0"/>
    <w:rsid w:val="00557B4B"/>
  </w:style>
  <w:style w:type="paragraph" w:customStyle="1" w:styleId="TableText">
    <w:name w:val="Table Text"/>
    <w:basedOn w:val="a"/>
    <w:rsid w:val="00557B4B"/>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rsid w:val="00557B4B"/>
    <w:pPr>
      <w:ind w:right="0"/>
      <w:jc w:val="both"/>
    </w:pPr>
  </w:style>
  <w:style w:type="paragraph" w:customStyle="1" w:styleId="TableBlockOutdent">
    <w:name w:val="Table BlockOutdent"/>
    <w:basedOn w:val="TableBlock"/>
    <w:rsid w:val="00557B4B"/>
    <w:pPr>
      <w:ind w:left="624" w:hanging="624"/>
    </w:pPr>
  </w:style>
  <w:style w:type="table" w:customStyle="1" w:styleId="10">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557B4B"/>
    <w:pPr>
      <w:ind w:right="0"/>
      <w:jc w:val="center"/>
    </w:pPr>
    <w:rPr>
      <w:b/>
      <w:bCs/>
    </w:rPr>
  </w:style>
  <w:style w:type="paragraph" w:customStyle="1" w:styleId="TableSideHeading">
    <w:name w:val="Table SideHeading"/>
    <w:basedOn w:val="TableText"/>
    <w:rsid w:val="00557B4B"/>
  </w:style>
  <w:style w:type="paragraph" w:customStyle="1" w:styleId="TableInnerSideHeading">
    <w:name w:val="Table InnerSideHeading"/>
    <w:basedOn w:val="TableSideHeading"/>
    <w:rsid w:val="00557B4B"/>
  </w:style>
  <w:style w:type="paragraph" w:customStyle="1" w:styleId="TableText2">
    <w:name w:val="Table Text2"/>
    <w:basedOn w:val="TableText"/>
    <w:rsid w:val="009579F7"/>
  </w:style>
  <w:style w:type="paragraph" w:styleId="ad">
    <w:name w:val="Title"/>
    <w:basedOn w:val="a"/>
    <w:qFormat/>
    <w:rsid w:val="009579F7"/>
    <w:pPr>
      <w:jc w:val="center"/>
    </w:pPr>
    <w:rPr>
      <w:rFonts w:cs="David"/>
      <w:b/>
      <w:bCs/>
      <w:sz w:val="28"/>
      <w:szCs w:val="28"/>
      <w:u w:val="single"/>
    </w:rPr>
  </w:style>
  <w:style w:type="paragraph" w:customStyle="1" w:styleId="TOC">
    <w:name w:val="TOC"/>
    <w:basedOn w:val="a"/>
    <w:rsid w:val="009579F7"/>
    <w:pPr>
      <w:tabs>
        <w:tab w:val="left" w:leader="dot" w:pos="8789"/>
      </w:tabs>
      <w:snapToGrid w:val="0"/>
      <w:spacing w:before="120" w:line="360" w:lineRule="auto"/>
      <w:ind w:left="284" w:right="284"/>
    </w:pPr>
    <w:rPr>
      <w:rFonts w:ascii="Arial" w:eastAsia="Arial Unicode MS" w:hAnsi="Arial" w:cs="David"/>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color w:val="000000"/>
      <w:szCs w:val="26"/>
      <w:lang w:eastAsia="ja-JP"/>
    </w:rPr>
  </w:style>
  <w:style w:type="character" w:customStyle="1" w:styleId="aa">
    <w:name w:val="טקסט הערת שוליים תו"/>
    <w:link w:val="a9"/>
    <w:semiHidden/>
    <w:rsid w:val="008525E2"/>
    <w:rPr>
      <w:rFonts w:ascii="Arial" w:eastAsia="Arial Unicode MS" w:hAnsi="Arial" w:cs="David"/>
      <w:snapToGrid w:val="0"/>
      <w:color w:val="000000"/>
      <w:sz w:val="14"/>
      <w:lang w:eastAsia="ja-JP"/>
    </w:rPr>
  </w:style>
  <w:style w:type="paragraph" w:styleId="ae">
    <w:name w:val="Balloon Text"/>
    <w:basedOn w:val="a"/>
    <w:link w:val="af"/>
    <w:rsid w:val="0024044E"/>
    <w:pPr>
      <w:spacing w:before="0" w:line="240" w:lineRule="auto"/>
    </w:pPr>
    <w:rPr>
      <w:rFonts w:ascii="Tahoma" w:hAnsi="Tahoma" w:cs="Tahoma"/>
      <w:sz w:val="16"/>
      <w:szCs w:val="16"/>
    </w:rPr>
  </w:style>
  <w:style w:type="character" w:customStyle="1" w:styleId="af">
    <w:name w:val="טקסט בלונים תו"/>
    <w:basedOn w:val="a0"/>
    <w:link w:val="ae"/>
    <w:rsid w:val="0024044E"/>
    <w:rPr>
      <w:rFonts w:ascii="Tahoma" w:eastAsia="MS Mincho"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5e8__x05dc__x05d5__x05d5__x05e0__x05d8__x05d9_ xmlns="f380af25-22dd-4a89-bd18-c5bf793c562b">true</_x05e8__x05dc__x05d5__x05d5__x05e0__x05d8__x05d9_>
    <_dlc_DocId xmlns="e860c347-3c75-42f3-9b43-fe3c3ef9805f">LEGALDEP-6-447</_dlc_DocId>
    <_dlc_DocIdUrl xmlns="e860c347-3c75-42f3-9b43-fe3c3ef9805f">
      <Url>http://doccenter/sites/LegalDepartment/_layouts/15/DocIdRedir.aspx?ID=LEGALDEP-6-447</Url>
      <Description>LEGALDEP-6-447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D3E59-1685-4866-88AE-10917921A27A}"/>
</file>

<file path=customXml/itemProps2.xml><?xml version="1.0" encoding="utf-8"?>
<ds:datastoreItem xmlns:ds="http://schemas.openxmlformats.org/officeDocument/2006/customXml" ds:itemID="{C3E1657D-317C-48BB-A872-2C64BBB17B1B}"/>
</file>

<file path=customXml/itemProps3.xml><?xml version="1.0" encoding="utf-8"?>
<ds:datastoreItem xmlns:ds="http://schemas.openxmlformats.org/officeDocument/2006/customXml" ds:itemID="{5C990E72-2A10-47B5-8633-F22511D80AB8}"/>
</file>

<file path=customXml/itemProps4.xml><?xml version="1.0" encoding="utf-8"?>
<ds:datastoreItem xmlns:ds="http://schemas.openxmlformats.org/officeDocument/2006/customXml" ds:itemID="{9AAD3E59-1685-4866-88AE-10917921A27A}">
  <ds:schemaRefs>
    <ds:schemaRef ds:uri="http://schemas.microsoft.com/office/2006/documentManagement/types"/>
    <ds:schemaRef ds:uri="f380af25-22dd-4a89-bd18-c5bf793c562b"/>
    <ds:schemaRef ds:uri="http://schemas.microsoft.com/office/2006/metadata/properties"/>
    <ds:schemaRef ds:uri="http://www.w3.org/XML/1998/namespace"/>
    <ds:schemaRef ds:uri="http://purl.org/dc/terms/"/>
    <ds:schemaRef ds:uri="e860c347-3c75-42f3-9b43-fe3c3ef9805f"/>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CF7CD7D2-6A56-4C0C-AF7B-5DC8E135EA00}"/>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471</Characters>
  <Application>Microsoft Office Word</Application>
  <DocSecurity>0</DocSecurity>
  <Lines>3</Lines>
  <Paragraphs>1</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דפנה ברנאי</cp:lastModifiedBy>
  <cp:revision>2</cp:revision>
  <cp:lastPrinted>2015-07-29T09:08:00Z</cp:lastPrinted>
  <dcterms:created xsi:type="dcterms:W3CDTF">2015-08-05T12:23:00Z</dcterms:created>
  <dcterms:modified xsi:type="dcterms:W3CDTF">2015-08-05T12:23:00Z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8cf83e87-eecc-4981-8684-9a02b807427f</vt:lpwstr>
  </property>
  <property fmtid="{D5CDD505-2E9C-101B-9397-08002B2CF9AE}" pid="20" name="SanhedrinItemID">
    <vt:r8>562425</vt:r8>
  </property>
  <property fmtid="{D5CDD505-2E9C-101B-9397-08002B2CF9AE}" pid="21" name="SanhedrinDocumentType">
    <vt:r8>42</vt:r8>
  </property>
</Properties>
</file>