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י"ח בתמוז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01 ביולי, 2018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10620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תחקיר אסון נחל אשלים: כיל התעלמה מ־20 שנה של התרעות על אסון מתקרב בנגב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תחקיר "המקור" חושף מסמכים שמוכיחים שמומחים מטעם כיל ומטעם חברת ייעוץ חיצונית התריעו שוב ושוב על יציבות הסוללה במפעל רותם אמפרט. התעלמות ואז היא קרסה והובילה לאסון אקולוגי ענק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לפני שנה, ב־30 ביוני, קרס הקיר המזרחי של "בריכת גבס מספר 3" במפעל רותם אמפרט מקבוצת כימיקלים לישראל, והחלה גלישה מסיבית של 100-200 אלף קו"ב חומרים מזהמים מסוכנים לשמורת הטבע של מדבר יהודה, באזור נחל אשלים בזרם אדיר משך 48 שעות תוך גרימת נזק רב לסביבה, למותם של בעלי חיים, ולהרעלת הקרקע.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על כן אבקש לקיים דיון מהיר בנושא בוועדת הפנים והגנת הסביבה 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סעיד אלחרומי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95595-2F56-4592-98F4-0092FAAE98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2072860</vt:r8>
  </property>
</Properties>
</file>