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י"ב בשבט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28 בינואר,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9254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ירוקים מבושה: היערכות צה"ל לאתגר החיילים העניים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השבוע נחשף בעיתון ידיעות אחרונות סיפורו של שי אשר יחד עם אימו ישנים כל לילה במקלט ציבורי בין קרטונים וציוד. עיקר הבעיה אינה נוגעת לחייל ספציפי; נתונים שהתפרסמו בחלוף השנה האחרונה מראים כי 1 מכל 5 הוא חייל עני הזקוק לסיוע.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חלק מהתוצאות המזעזעות של עוני בקרב חיילי צה"ל הן תופעות כגון; עריקות וכלא צבאי על מנת שחיילים יוכלו לעבוד, חיילים קרביים שנשארים בבסיסים בחגים ושבתות ולא יוצאים הביתה רק כי יש ארוחות ומקלחות חמות ואף בקשות של חיילים ממטבחים צה"ליים לקבל אוכל הביתה. אמא אחת אף הודתה: "אם הבן שלי לא מביא אוכל מהבסיס, אין לנו מה לאכול".</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אין זה מתקבל על הדעת שבאחד מהצבאות החזקים בעולם חיילים עניים חוזרים לבתים עם מקררים ריקים ונאלצים לישון ברחוב או במקלטים.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נוכח הדברים אבקש לקיים דיון מהיר בוועדת חוץ וביטחון כדי לקדם פיתרון לבעיה. </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איציק שמולי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1692047F-7B55-4AC8-9EA1-300885536509}"/>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2064591</vt:r8>
  </property>
</Properties>
</file>