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כ"ט באייר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06 ביוני,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3766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רגילה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הצעה לסדר-היום בנושא: "המאבק סביב הפעלת קייטנות לכיתות ג' ו-ד' וסביב מחירי הקייטנות בבתי הספר ובגני הילדים"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הולכת וגוברת "מחאת הקייטנות". מדובר בהפעלת קייטנות לילדים בכיתות ג' ו-ד' ובמאבק לכשעצמו על מחירי הקייטנות. אמנם ישנם ערים שהוזילו מחירי ועל כך יבורכו אולם עדיין ישנם אלפי ואולי עשרות אלפי ילדים שיד הוריהם לא משגת לשלם על המחירים הגבוהים.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יגאל גואטה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2C8C5-8D4B-4994-87AA-8DF865129684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2003488</vt:r8>
  </property>
</Properties>
</file>