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כ"א באייר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29 במאי,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3604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התייקרות הארנונה בשל חישוב טייס אוטומטי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כפי שפורסם היום בכלי התקשורת, ב-2017 צפויה התייקרות בארנונה אשר נובעת מנוסחת טייס אוטומטי שבה נעשה שימוש לחישוב התייקרות הארנונה בכל שנה. השנה קבעו במשרד הפנים כי ההתייקרות תהיה בגובה של 1.77% . כתוצאה מכך, בעשור האחרון התייקרה הארנונה ביותר מ-25%.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חישוב שיעור התייקרות הארנונה נקבע באופן אוטומטי על ידי שקלול ממוצע השינוי במדד המחירים לצרכן והשינוי במדד השכר הציבורי. לפי ניתוח שערכה התאחדות התעשיינים, ההתייקרות תעלה לציבור  כ-442 מיליון שקל לכלל הציבור - מחצית מהסכום תכביד על משקי הבית והמחצית האחרת תכביד על המגזר העסקי.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באופן אבסורדי, הארנונה תתייקר, למרות שמדד המחירים לצרכן ירד בתקופה הקובעת בקרוב לאחוז (0.9%) וזאת עקב התייקרות במרכיב השכר של עובדי המגזר הציבורי.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על כן אבקש לקיים דיון דחוף בועדת הכספים של הכנסת ולבדוק את הצורך בתיקון הנוסחה.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רועי פולקמן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4F01A-FD19-4AAE-BF29-64E2FE6FA4B1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2002927</vt:r8>
  </property>
</Properties>
</file>