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כ"ז באדר א'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07 במרץ,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3273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הצעה לסדר-היום בנושא: "תכנית האוצר להוזלת הדירות - חברות בניה זרות יורשו לבנות בישראל"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תכנית האוצר להוזלת מחירי הדירות בישראל כחלק ממאבקה בתחום, טומנת בחובה סיכויים מול סיכונים. אבקש לדון בנושא בדחיפות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יעקב מרגי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527E0-9F43-43EF-957A-1EBE13B73541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577717</vt:r8>
  </property>
</Properties>
</file>