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C5D" w:rsidRDefault="00360C5D">
      <w:pPr>
        <w:rPr>
          <w:rFonts w:cs="David"/>
          <w:rtl/>
        </w:rPr>
      </w:pPr>
    </w:p>
    <w:p w:rsidR="00360C5D" w:rsidRDefault="00360C5D">
      <w:pPr>
        <w:rPr>
          <w:rFonts w:cs="David"/>
          <w:rtl/>
        </w:rPr>
      </w:pPr>
    </w:p>
    <w:p w:rsidR="00AC3AD0" w:rsidRPr="0057333A" w:rsidRDefault="00AC3AD0" w:rsidP="00CA75A9">
      <w:pPr>
        <w:pStyle w:val="3"/>
        <w:spacing w:before="0" w:after="0" w:line="360" w:lineRule="auto"/>
        <w:jc w:val="right"/>
        <w:rPr>
          <w:rFonts w:cs="David"/>
          <w:sz w:val="28"/>
          <w:szCs w:val="28"/>
          <w:rtl/>
        </w:rPr>
      </w:pPr>
      <w:r w:rsidRPr="00DA639C">
        <w:rPr>
          <w:rFonts w:cs="David" w:hint="cs"/>
          <w:color w:val="000000"/>
          <w:sz w:val="28"/>
          <w:szCs w:val="28"/>
          <w:u w:val="single"/>
          <w:rtl/>
        </w:rPr>
        <w:t>החלטה מס'</w:t>
      </w:r>
      <w:r>
        <w:rPr>
          <w:rFonts w:cs="David" w:hint="cs"/>
          <w:color w:val="000000"/>
          <w:sz w:val="28"/>
          <w:szCs w:val="28"/>
          <w:u w:val="single"/>
          <w:rtl/>
        </w:rPr>
        <w:t xml:space="preserve"> </w:t>
      </w:r>
      <w:r w:rsidR="00CA75A9">
        <w:rPr>
          <w:rFonts w:cs="David" w:hint="cs"/>
          <w:color w:val="000000"/>
          <w:sz w:val="28"/>
          <w:szCs w:val="28"/>
          <w:u w:val="single"/>
          <w:rtl/>
        </w:rPr>
        <w:t>52/20</w:t>
      </w:r>
    </w:p>
    <w:p w:rsidR="00AC3AD0" w:rsidRDefault="00AC3AD0" w:rsidP="00AC3AD0">
      <w:pPr>
        <w:pStyle w:val="3"/>
        <w:spacing w:before="0" w:after="0" w:line="360" w:lineRule="auto"/>
        <w:jc w:val="right"/>
        <w:rPr>
          <w:rFonts w:cs="David"/>
          <w:b w:val="0"/>
          <w:bCs w:val="0"/>
          <w:sz w:val="28"/>
          <w:szCs w:val="28"/>
          <w:rtl/>
        </w:rPr>
      </w:pPr>
    </w:p>
    <w:p w:rsidR="00AC3AD0" w:rsidRPr="00367D49" w:rsidRDefault="00AC3AD0" w:rsidP="00367D49">
      <w:pPr>
        <w:jc w:val="center"/>
        <w:rPr>
          <w:rFonts w:cs="David"/>
          <w:b/>
          <w:bCs/>
          <w:sz w:val="28"/>
          <w:szCs w:val="28"/>
          <w:u w:val="single"/>
          <w:rtl/>
        </w:rPr>
      </w:pPr>
      <w:bookmarkStart w:id="0" w:name="_GoBack"/>
      <w:r w:rsidRPr="00367D49">
        <w:rPr>
          <w:rFonts w:cs="David" w:hint="cs"/>
          <w:b/>
          <w:bCs/>
          <w:sz w:val="28"/>
          <w:szCs w:val="28"/>
          <w:u w:val="single"/>
          <w:rtl/>
        </w:rPr>
        <w:t xml:space="preserve">החלטת ועדת האתיקה </w:t>
      </w:r>
      <w:r w:rsidR="00367D49" w:rsidRPr="00367D49">
        <w:rPr>
          <w:rFonts w:cs="David" w:hint="cs"/>
          <w:b/>
          <w:bCs/>
          <w:sz w:val="28"/>
          <w:szCs w:val="28"/>
          <w:u w:val="single"/>
          <w:rtl/>
        </w:rPr>
        <w:t>בעניין עיסוק נוסף כעורך דין</w:t>
      </w:r>
      <w:r w:rsidR="00367D49">
        <w:rPr>
          <w:rFonts w:cs="David" w:hint="cs"/>
          <w:b/>
          <w:bCs/>
          <w:sz w:val="28"/>
          <w:szCs w:val="28"/>
          <w:u w:val="single"/>
          <w:rtl/>
        </w:rPr>
        <w:t xml:space="preserve"> שלא בשכר</w:t>
      </w:r>
      <w:bookmarkEnd w:id="0"/>
    </w:p>
    <w:p w:rsidR="00AC3AD0" w:rsidRDefault="00AC3AD0" w:rsidP="00CA75A9">
      <w:pPr>
        <w:pStyle w:val="3"/>
        <w:spacing w:before="0" w:after="0"/>
        <w:jc w:val="center"/>
        <w:rPr>
          <w:rFonts w:cs="David"/>
          <w:b w:val="0"/>
          <w:bCs w:val="0"/>
          <w:sz w:val="22"/>
          <w:szCs w:val="22"/>
          <w:rtl/>
        </w:rPr>
      </w:pPr>
      <w:r>
        <w:rPr>
          <w:rFonts w:ascii="Times New Roman" w:hAnsi="Times New Roman" w:cs="David" w:hint="cs"/>
          <w:b w:val="0"/>
          <w:bCs w:val="0"/>
          <w:color w:val="000000"/>
          <w:sz w:val="24"/>
          <w:szCs w:val="24"/>
          <w:rtl/>
        </w:rPr>
        <w:t>מיום</w:t>
      </w:r>
      <w:r w:rsidR="00CA75A9">
        <w:rPr>
          <w:rFonts w:ascii="Times New Roman" w:hAnsi="Times New Roman" w:cs="David" w:hint="cs"/>
          <w:b w:val="0"/>
          <w:bCs w:val="0"/>
          <w:color w:val="000000"/>
          <w:sz w:val="24"/>
          <w:szCs w:val="24"/>
          <w:rtl/>
        </w:rPr>
        <w:t xml:space="preserve"> כ"ו באדר התשע"ח </w:t>
      </w:r>
      <w:r w:rsidR="00CA75A9">
        <w:rPr>
          <w:rFonts w:ascii="Times New Roman" w:hAnsi="Times New Roman" w:cs="David"/>
          <w:b w:val="0"/>
          <w:bCs w:val="0"/>
          <w:color w:val="000000"/>
          <w:sz w:val="24"/>
          <w:szCs w:val="24"/>
          <w:rtl/>
        </w:rPr>
        <w:t>–</w:t>
      </w:r>
      <w:r w:rsidR="00CA75A9">
        <w:rPr>
          <w:rFonts w:ascii="Times New Roman" w:hAnsi="Times New Roman" w:cs="David" w:hint="cs"/>
          <w:b w:val="0"/>
          <w:bCs w:val="0"/>
          <w:color w:val="000000"/>
          <w:sz w:val="24"/>
          <w:szCs w:val="24"/>
          <w:rtl/>
        </w:rPr>
        <w:t xml:space="preserve"> 13 במרץ 2018</w:t>
      </w:r>
    </w:p>
    <w:p w:rsidR="00AC3AD0" w:rsidRDefault="00AC3AD0" w:rsidP="00AC3AD0">
      <w:pPr>
        <w:jc w:val="center"/>
        <w:rPr>
          <w:rFonts w:cs="David"/>
          <w:rtl/>
        </w:rPr>
      </w:pPr>
    </w:p>
    <w:p w:rsidR="00AC3AD0" w:rsidRDefault="00AC3AD0" w:rsidP="00AC3AD0">
      <w:pPr>
        <w:jc w:val="center"/>
        <w:rPr>
          <w:rFonts w:cs="David"/>
          <w:rtl/>
        </w:rPr>
      </w:pPr>
    </w:p>
    <w:p w:rsidR="00AC3AD0" w:rsidRPr="00166971" w:rsidRDefault="00AC3AD0" w:rsidP="00AC3AD0">
      <w:pPr>
        <w:jc w:val="center"/>
        <w:rPr>
          <w:rFonts w:cs="David"/>
          <w:rtl/>
        </w:rPr>
      </w:pPr>
    </w:p>
    <w:tbl>
      <w:tblPr>
        <w:bidiVisual/>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8554"/>
      </w:tblGrid>
      <w:tr w:rsidR="00F60CF6" w:rsidRPr="00FE3124" w:rsidTr="00CD00A1">
        <w:tc>
          <w:tcPr>
            <w:tcW w:w="9085" w:type="dxa"/>
            <w:gridSpan w:val="2"/>
            <w:tcBorders>
              <w:top w:val="nil"/>
              <w:left w:val="nil"/>
              <w:bottom w:val="nil"/>
              <w:right w:val="nil"/>
            </w:tcBorders>
            <w:shd w:val="clear" w:color="auto" w:fill="auto"/>
          </w:tcPr>
          <w:p w:rsidR="00F60CF6" w:rsidRPr="00F60CF6" w:rsidRDefault="00F60CF6" w:rsidP="00F60CF6">
            <w:pPr>
              <w:spacing w:line="360" w:lineRule="auto"/>
              <w:jc w:val="both"/>
              <w:rPr>
                <w:rFonts w:cs="David"/>
                <w:b/>
                <w:bCs/>
                <w:sz w:val="26"/>
                <w:szCs w:val="26"/>
                <w:u w:val="single"/>
                <w:rtl/>
              </w:rPr>
            </w:pPr>
            <w:r w:rsidRPr="00F60CF6">
              <w:rPr>
                <w:rFonts w:cs="David" w:hint="cs"/>
                <w:b/>
                <w:bCs/>
                <w:sz w:val="26"/>
                <w:szCs w:val="26"/>
                <w:u w:val="single"/>
                <w:rtl/>
              </w:rPr>
              <w:t>רקע</w:t>
            </w:r>
          </w:p>
          <w:p w:rsidR="00F60CF6" w:rsidRDefault="00F60CF6" w:rsidP="00F60CF6">
            <w:pPr>
              <w:jc w:val="both"/>
              <w:rPr>
                <w:rFonts w:cs="David"/>
                <w:sz w:val="26"/>
                <w:szCs w:val="26"/>
                <w:rtl/>
              </w:rPr>
            </w:pPr>
          </w:p>
        </w:tc>
      </w:tr>
      <w:tr w:rsidR="00AC3AD0" w:rsidRPr="00FE3124" w:rsidTr="00823139">
        <w:tc>
          <w:tcPr>
            <w:tcW w:w="531" w:type="dxa"/>
            <w:tcBorders>
              <w:top w:val="nil"/>
              <w:left w:val="nil"/>
              <w:bottom w:val="nil"/>
              <w:right w:val="nil"/>
            </w:tcBorders>
            <w:shd w:val="clear" w:color="auto" w:fill="auto"/>
          </w:tcPr>
          <w:p w:rsidR="00AC3AD0" w:rsidRPr="00FE3124" w:rsidRDefault="00AC3AD0" w:rsidP="00823139">
            <w:pPr>
              <w:numPr>
                <w:ilvl w:val="0"/>
                <w:numId w:val="1"/>
              </w:numPr>
              <w:spacing w:line="360" w:lineRule="auto"/>
              <w:ind w:left="0" w:firstLine="0"/>
              <w:rPr>
                <w:rFonts w:cs="David"/>
                <w:sz w:val="26"/>
                <w:szCs w:val="26"/>
                <w:rtl/>
              </w:rPr>
            </w:pPr>
          </w:p>
        </w:tc>
        <w:tc>
          <w:tcPr>
            <w:tcW w:w="8554" w:type="dxa"/>
            <w:tcBorders>
              <w:top w:val="nil"/>
              <w:left w:val="nil"/>
              <w:bottom w:val="nil"/>
              <w:right w:val="nil"/>
            </w:tcBorders>
            <w:shd w:val="clear" w:color="auto" w:fill="auto"/>
          </w:tcPr>
          <w:p w:rsidR="00AC3AD0" w:rsidRDefault="00367D49" w:rsidP="0065125E">
            <w:pPr>
              <w:spacing w:line="360" w:lineRule="auto"/>
              <w:jc w:val="both"/>
              <w:rPr>
                <w:rFonts w:cs="David"/>
                <w:sz w:val="26"/>
                <w:szCs w:val="26"/>
                <w:rtl/>
              </w:rPr>
            </w:pPr>
            <w:r>
              <w:rPr>
                <w:rFonts w:cs="David" w:hint="cs"/>
                <w:sz w:val="26"/>
                <w:szCs w:val="26"/>
                <w:rtl/>
              </w:rPr>
              <w:t xml:space="preserve">ביום </w:t>
            </w:r>
            <w:r w:rsidR="00576B11">
              <w:rPr>
                <w:rFonts w:cs="David" w:hint="cs"/>
                <w:sz w:val="26"/>
                <w:szCs w:val="26"/>
                <w:rtl/>
              </w:rPr>
              <w:t>18.12</w:t>
            </w:r>
            <w:r w:rsidR="000E7ABE">
              <w:rPr>
                <w:rFonts w:cs="David" w:hint="cs"/>
                <w:sz w:val="26"/>
                <w:szCs w:val="26"/>
                <w:rtl/>
              </w:rPr>
              <w:t>.2017 שודרה בחדשות 10 כתבה שלפיה</w:t>
            </w:r>
            <w:r>
              <w:rPr>
                <w:rFonts w:cs="David" w:hint="cs"/>
                <w:sz w:val="26"/>
                <w:szCs w:val="26"/>
                <w:rtl/>
              </w:rPr>
              <w:t xml:space="preserve"> חה"כ בצלאל סמוטריץ' אימת תצהירים כעורך דין עבור מועצת קדומים</w:t>
            </w:r>
            <w:r w:rsidR="0095175F">
              <w:rPr>
                <w:rFonts w:cs="David" w:hint="cs"/>
                <w:sz w:val="26"/>
                <w:szCs w:val="26"/>
                <w:rtl/>
              </w:rPr>
              <w:t>,</w:t>
            </w:r>
            <w:r>
              <w:rPr>
                <w:rFonts w:cs="David" w:hint="cs"/>
                <w:sz w:val="26"/>
                <w:szCs w:val="26"/>
                <w:rtl/>
              </w:rPr>
              <w:t xml:space="preserve"> בה הוא מתגורר</w:t>
            </w:r>
            <w:r w:rsidR="00862A96">
              <w:rPr>
                <w:rFonts w:cs="David" w:hint="cs"/>
                <w:sz w:val="26"/>
                <w:szCs w:val="26"/>
                <w:rtl/>
              </w:rPr>
              <w:t>, במסגרת הליך של הגשת בקש</w:t>
            </w:r>
            <w:r w:rsidR="00F60CF6">
              <w:rPr>
                <w:rFonts w:cs="David" w:hint="cs"/>
                <w:sz w:val="26"/>
                <w:szCs w:val="26"/>
                <w:rtl/>
              </w:rPr>
              <w:t>ה</w:t>
            </w:r>
            <w:r w:rsidR="00862A96">
              <w:rPr>
                <w:rFonts w:cs="David" w:hint="cs"/>
                <w:sz w:val="26"/>
                <w:szCs w:val="26"/>
                <w:rtl/>
              </w:rPr>
              <w:t xml:space="preserve"> לקק"ל להקמת שבילי </w:t>
            </w:r>
            <w:r w:rsidR="00F74F97">
              <w:rPr>
                <w:rFonts w:cs="David" w:hint="cs"/>
                <w:sz w:val="26"/>
                <w:szCs w:val="26"/>
                <w:rtl/>
              </w:rPr>
              <w:t>הליכה ו</w:t>
            </w:r>
            <w:r w:rsidR="00862A96">
              <w:rPr>
                <w:rFonts w:cs="David" w:hint="cs"/>
                <w:sz w:val="26"/>
                <w:szCs w:val="26"/>
                <w:rtl/>
              </w:rPr>
              <w:t>אופניים.</w:t>
            </w:r>
            <w:r w:rsidR="00F74F97">
              <w:rPr>
                <w:rFonts w:cs="David" w:hint="cs"/>
                <w:sz w:val="26"/>
                <w:szCs w:val="26"/>
                <w:rtl/>
              </w:rPr>
              <w:t xml:space="preserve"> עוד נטען בכתבה כי </w:t>
            </w:r>
            <w:r w:rsidR="006E2AE4">
              <w:rPr>
                <w:rFonts w:cs="David" w:hint="cs"/>
                <w:sz w:val="26"/>
                <w:szCs w:val="26"/>
                <w:rtl/>
              </w:rPr>
              <w:t xml:space="preserve">חודשים אחדים לאחר מכן, סייע </w:t>
            </w:r>
            <w:r w:rsidR="00497D4B">
              <w:rPr>
                <w:rFonts w:cs="David" w:hint="cs"/>
                <w:sz w:val="26"/>
                <w:szCs w:val="26"/>
                <w:rtl/>
              </w:rPr>
              <w:t xml:space="preserve">חה"כ סמוטריץ' </w:t>
            </w:r>
            <w:r w:rsidR="006E2AE4">
              <w:rPr>
                <w:rFonts w:cs="David" w:hint="cs"/>
                <w:sz w:val="26"/>
                <w:szCs w:val="26"/>
                <w:rtl/>
              </w:rPr>
              <w:t xml:space="preserve">לקק"ל </w:t>
            </w:r>
            <w:r w:rsidR="0065125E">
              <w:rPr>
                <w:rFonts w:cs="David" w:hint="cs"/>
                <w:sz w:val="26"/>
                <w:szCs w:val="26"/>
                <w:rtl/>
              </w:rPr>
              <w:t>בעת הדיונים</w:t>
            </w:r>
            <w:r w:rsidR="006E2AE4">
              <w:rPr>
                <w:rFonts w:cs="David" w:hint="cs"/>
                <w:sz w:val="26"/>
                <w:szCs w:val="26"/>
                <w:rtl/>
              </w:rPr>
              <w:t xml:space="preserve"> </w:t>
            </w:r>
            <w:r w:rsidR="0065125E">
              <w:rPr>
                <w:rFonts w:cs="David" w:hint="cs"/>
                <w:sz w:val="26"/>
                <w:szCs w:val="26"/>
                <w:rtl/>
              </w:rPr>
              <w:t>ב</w:t>
            </w:r>
            <w:r w:rsidR="006E2AE4">
              <w:rPr>
                <w:rFonts w:cs="David" w:hint="cs"/>
                <w:sz w:val="26"/>
                <w:szCs w:val="26"/>
                <w:rtl/>
              </w:rPr>
              <w:t>הצעת חוק שעסקה בענייניה הכספיים</w:t>
            </w:r>
            <w:r w:rsidR="00497D4B">
              <w:rPr>
                <w:rFonts w:cs="David" w:hint="cs"/>
                <w:sz w:val="26"/>
                <w:szCs w:val="26"/>
                <w:rtl/>
              </w:rPr>
              <w:t>, מה שעשוי להיראות כניגוד עניינים</w:t>
            </w:r>
            <w:r w:rsidR="006E2AE4">
              <w:rPr>
                <w:rFonts w:cs="David" w:hint="cs"/>
                <w:sz w:val="26"/>
                <w:szCs w:val="26"/>
                <w:rtl/>
              </w:rPr>
              <w:t>.</w:t>
            </w:r>
          </w:p>
          <w:p w:rsidR="003B2C4C" w:rsidRPr="00FE3124" w:rsidRDefault="003B2C4C" w:rsidP="00862A96">
            <w:pPr>
              <w:spacing w:line="360" w:lineRule="auto"/>
              <w:jc w:val="both"/>
              <w:rPr>
                <w:rFonts w:cs="David"/>
                <w:sz w:val="26"/>
                <w:szCs w:val="26"/>
                <w:rtl/>
              </w:rPr>
            </w:pPr>
          </w:p>
        </w:tc>
      </w:tr>
      <w:tr w:rsidR="00AC3AD0" w:rsidRPr="00FE3124" w:rsidTr="00823139">
        <w:tc>
          <w:tcPr>
            <w:tcW w:w="531" w:type="dxa"/>
            <w:tcBorders>
              <w:top w:val="nil"/>
              <w:left w:val="nil"/>
              <w:bottom w:val="nil"/>
              <w:right w:val="nil"/>
            </w:tcBorders>
            <w:shd w:val="clear" w:color="auto" w:fill="auto"/>
          </w:tcPr>
          <w:p w:rsidR="00AC3AD0" w:rsidRPr="00FE3124" w:rsidRDefault="00AC3AD0" w:rsidP="00823139">
            <w:pPr>
              <w:numPr>
                <w:ilvl w:val="0"/>
                <w:numId w:val="1"/>
              </w:numPr>
              <w:spacing w:line="360" w:lineRule="auto"/>
              <w:ind w:left="0" w:firstLine="0"/>
              <w:rPr>
                <w:rFonts w:cs="David"/>
                <w:sz w:val="26"/>
                <w:szCs w:val="26"/>
                <w:rtl/>
              </w:rPr>
            </w:pPr>
          </w:p>
        </w:tc>
        <w:tc>
          <w:tcPr>
            <w:tcW w:w="8554" w:type="dxa"/>
            <w:tcBorders>
              <w:top w:val="nil"/>
              <w:left w:val="nil"/>
              <w:bottom w:val="nil"/>
              <w:right w:val="nil"/>
            </w:tcBorders>
            <w:shd w:val="clear" w:color="auto" w:fill="auto"/>
          </w:tcPr>
          <w:p w:rsidR="00F60CF6" w:rsidRDefault="00576B11" w:rsidP="00833FE3">
            <w:pPr>
              <w:spacing w:line="360" w:lineRule="auto"/>
              <w:jc w:val="both"/>
              <w:rPr>
                <w:rFonts w:cs="David"/>
                <w:sz w:val="26"/>
                <w:szCs w:val="26"/>
                <w:rtl/>
              </w:rPr>
            </w:pPr>
            <w:r>
              <w:rPr>
                <w:rFonts w:cs="David" w:hint="cs"/>
                <w:sz w:val="26"/>
                <w:szCs w:val="26"/>
                <w:rtl/>
              </w:rPr>
              <w:t>חה"כ סמוטריץ</w:t>
            </w:r>
            <w:r w:rsidR="00F60CF6">
              <w:rPr>
                <w:rFonts w:cs="David" w:hint="cs"/>
                <w:sz w:val="26"/>
                <w:szCs w:val="26"/>
                <w:rtl/>
              </w:rPr>
              <w:t>', בתגובה</w:t>
            </w:r>
            <w:r>
              <w:rPr>
                <w:rFonts w:cs="David" w:hint="cs"/>
                <w:sz w:val="26"/>
                <w:szCs w:val="26"/>
                <w:rtl/>
              </w:rPr>
              <w:t xml:space="preserve"> </w:t>
            </w:r>
            <w:r w:rsidR="00F60CF6">
              <w:rPr>
                <w:rFonts w:cs="David" w:hint="cs"/>
                <w:sz w:val="26"/>
                <w:szCs w:val="26"/>
                <w:rtl/>
              </w:rPr>
              <w:t xml:space="preserve">ששודרה בכתבה, טען כי אימות התצהירים נעשה על ידו ללא תמורה ובהתנדבות מלאה, וכי </w:t>
            </w:r>
            <w:r w:rsidR="00F74F97">
              <w:rPr>
                <w:rFonts w:cs="David" w:hint="cs"/>
                <w:sz w:val="26"/>
                <w:szCs w:val="26"/>
                <w:rtl/>
              </w:rPr>
              <w:t>"</w:t>
            </w:r>
            <w:r w:rsidR="00F60CF6">
              <w:rPr>
                <w:rFonts w:cs="David" w:hint="cs"/>
                <w:sz w:val="26"/>
                <w:szCs w:val="26"/>
                <w:rtl/>
              </w:rPr>
              <w:t xml:space="preserve">חוק חסינות חברי הכנסת </w:t>
            </w:r>
            <w:r w:rsidR="00F74F97">
              <w:rPr>
                <w:rFonts w:cs="David" w:hint="cs"/>
                <w:sz w:val="26"/>
                <w:szCs w:val="26"/>
                <w:rtl/>
              </w:rPr>
              <w:t>קובע מפורשות כי אין מניעה מצדו של ח"כ לשמש עו"ד בהתנדבות ובתנאי שאין מדובר בייצוג בהליך שהמדינה צד לו</w:t>
            </w:r>
            <w:r w:rsidR="006E2AE4">
              <w:rPr>
                <w:rFonts w:cs="David" w:hint="cs"/>
                <w:sz w:val="26"/>
                <w:szCs w:val="26"/>
                <w:rtl/>
              </w:rPr>
              <w:t>.</w:t>
            </w:r>
            <w:r w:rsidR="00F74F97">
              <w:rPr>
                <w:rFonts w:cs="David" w:hint="cs"/>
                <w:sz w:val="26"/>
                <w:szCs w:val="26"/>
                <w:rtl/>
              </w:rPr>
              <w:t>"</w:t>
            </w:r>
          </w:p>
          <w:p w:rsidR="00F60CF6" w:rsidRDefault="006E2AE4" w:rsidP="00D17883">
            <w:pPr>
              <w:spacing w:line="360" w:lineRule="auto"/>
              <w:jc w:val="both"/>
              <w:rPr>
                <w:rFonts w:cs="David"/>
                <w:sz w:val="26"/>
                <w:szCs w:val="26"/>
                <w:rtl/>
              </w:rPr>
            </w:pPr>
            <w:r>
              <w:rPr>
                <w:rFonts w:cs="David" w:hint="cs"/>
                <w:sz w:val="26"/>
                <w:szCs w:val="26"/>
                <w:rtl/>
              </w:rPr>
              <w:t xml:space="preserve">עוד </w:t>
            </w:r>
            <w:r w:rsidR="00D17883">
              <w:rPr>
                <w:rFonts w:cs="David" w:hint="cs"/>
                <w:sz w:val="26"/>
                <w:szCs w:val="26"/>
                <w:rtl/>
              </w:rPr>
              <w:t>טען</w:t>
            </w:r>
            <w:r>
              <w:rPr>
                <w:rFonts w:cs="David" w:hint="cs"/>
                <w:sz w:val="26"/>
                <w:szCs w:val="26"/>
                <w:rtl/>
              </w:rPr>
              <w:t xml:space="preserve"> כי הוא מאמת תצהירים בהתנדבות לכל מי שנדרש לכך עוד מלפני בחירתו לכנסת, וכי אינו מייצג בהליכים. לדבריו "קשה לחשוב על ניגוד עניינים בשל פעולה שבוצעה חצי שנה לפני שעניינה של קק"ל הגיע לכנסת."</w:t>
            </w:r>
          </w:p>
          <w:p w:rsidR="006E2AE4" w:rsidRDefault="006E2AE4" w:rsidP="00497D4B">
            <w:pPr>
              <w:jc w:val="both"/>
              <w:rPr>
                <w:rFonts w:cs="David"/>
                <w:sz w:val="26"/>
                <w:szCs w:val="26"/>
                <w:rtl/>
              </w:rPr>
            </w:pPr>
          </w:p>
          <w:p w:rsidR="003B2C4C" w:rsidRDefault="006E2AE4" w:rsidP="006E2AE4">
            <w:pPr>
              <w:spacing w:line="360" w:lineRule="auto"/>
              <w:jc w:val="both"/>
              <w:rPr>
                <w:rFonts w:cs="David"/>
                <w:sz w:val="26"/>
                <w:szCs w:val="26"/>
                <w:rtl/>
              </w:rPr>
            </w:pPr>
            <w:r>
              <w:rPr>
                <w:rFonts w:cs="David" w:hint="cs"/>
                <w:sz w:val="26"/>
                <w:szCs w:val="26"/>
                <w:rtl/>
              </w:rPr>
              <w:t>בדברים נוספים שמסר חה"כ סמוטריץ' לוועדת האתיקה (בשיחות עם יו"ר הוועדה ועם היועץ המשפטי לכנסת), טען כי לוועדת האתיקה אין סמכות לאסור עיסוק מעין זה, לאור לשונו המפורשת של חוק החסינות, וכי לכל היותר הוועדה רשאית לקרוא למחוקק לתקן את החוק.</w:t>
            </w:r>
          </w:p>
          <w:p w:rsidR="00833FE3" w:rsidRDefault="00833FE3" w:rsidP="00497D4B">
            <w:pPr>
              <w:jc w:val="both"/>
              <w:rPr>
                <w:rFonts w:cs="David"/>
                <w:sz w:val="26"/>
                <w:szCs w:val="26"/>
                <w:rtl/>
              </w:rPr>
            </w:pPr>
          </w:p>
          <w:p w:rsidR="00833FE3" w:rsidRDefault="00833FE3" w:rsidP="00833FE3">
            <w:pPr>
              <w:spacing w:line="360" w:lineRule="auto"/>
              <w:jc w:val="both"/>
              <w:rPr>
                <w:rFonts w:cs="David"/>
                <w:sz w:val="26"/>
                <w:szCs w:val="26"/>
                <w:rtl/>
              </w:rPr>
            </w:pPr>
            <w:r>
              <w:rPr>
                <w:rFonts w:cs="David" w:hint="cs"/>
                <w:sz w:val="26"/>
                <w:szCs w:val="26"/>
                <w:rtl/>
              </w:rPr>
              <w:t xml:space="preserve">לחלופין טען חה"כ סמוטריץ' כי גם אם הוועדה תטיל איסור על עריכת תצהירים ללא תמורה, הרי שיש לייחד את האיסור למתן שירות לגופים ציבוריים או גופים שעניינם </w:t>
            </w:r>
            <w:r w:rsidR="0059061B">
              <w:rPr>
                <w:rFonts w:cs="David" w:hint="cs"/>
                <w:sz w:val="26"/>
                <w:szCs w:val="26"/>
                <w:rtl/>
              </w:rPr>
              <w:t>נדון בכנסת, ולא עבור אנשים פרטיים.</w:t>
            </w:r>
          </w:p>
          <w:p w:rsidR="006E2AE4" w:rsidRPr="00FE3124" w:rsidRDefault="006E2AE4" w:rsidP="006E2AE4">
            <w:pPr>
              <w:spacing w:line="360" w:lineRule="auto"/>
              <w:jc w:val="both"/>
              <w:rPr>
                <w:rFonts w:cs="David"/>
                <w:sz w:val="26"/>
                <w:szCs w:val="26"/>
                <w:rtl/>
              </w:rPr>
            </w:pPr>
          </w:p>
        </w:tc>
      </w:tr>
      <w:tr w:rsidR="00F60CF6" w:rsidRPr="00FE3124" w:rsidTr="00E45977">
        <w:tc>
          <w:tcPr>
            <w:tcW w:w="9085" w:type="dxa"/>
            <w:gridSpan w:val="2"/>
            <w:tcBorders>
              <w:top w:val="nil"/>
              <w:left w:val="nil"/>
              <w:bottom w:val="nil"/>
              <w:right w:val="nil"/>
            </w:tcBorders>
            <w:shd w:val="clear" w:color="auto" w:fill="auto"/>
          </w:tcPr>
          <w:p w:rsidR="00F60CF6" w:rsidRPr="00F60CF6" w:rsidRDefault="00F60CF6" w:rsidP="00E45977">
            <w:pPr>
              <w:spacing w:line="360" w:lineRule="auto"/>
              <w:jc w:val="both"/>
              <w:rPr>
                <w:rFonts w:cs="David"/>
                <w:b/>
                <w:bCs/>
                <w:sz w:val="26"/>
                <w:szCs w:val="26"/>
                <w:u w:val="single"/>
                <w:rtl/>
              </w:rPr>
            </w:pPr>
            <w:r>
              <w:rPr>
                <w:rFonts w:cs="David" w:hint="cs"/>
                <w:b/>
                <w:bCs/>
                <w:sz w:val="26"/>
                <w:szCs w:val="26"/>
                <w:u w:val="single"/>
                <w:rtl/>
              </w:rPr>
              <w:t>החלטת הוועדה</w:t>
            </w:r>
          </w:p>
          <w:p w:rsidR="00F60CF6" w:rsidRDefault="00F60CF6" w:rsidP="00E45977">
            <w:pPr>
              <w:jc w:val="both"/>
              <w:rPr>
                <w:rFonts w:cs="David"/>
                <w:sz w:val="26"/>
                <w:szCs w:val="26"/>
                <w:rtl/>
              </w:rPr>
            </w:pPr>
          </w:p>
        </w:tc>
      </w:tr>
      <w:tr w:rsidR="00AC3AD0" w:rsidRPr="00FE3124" w:rsidTr="00823139">
        <w:tc>
          <w:tcPr>
            <w:tcW w:w="531" w:type="dxa"/>
            <w:tcBorders>
              <w:top w:val="nil"/>
              <w:left w:val="nil"/>
              <w:bottom w:val="nil"/>
              <w:right w:val="nil"/>
            </w:tcBorders>
            <w:shd w:val="clear" w:color="auto" w:fill="auto"/>
          </w:tcPr>
          <w:p w:rsidR="00AC3AD0" w:rsidRPr="00FE3124" w:rsidRDefault="00AC3AD0" w:rsidP="00823139">
            <w:pPr>
              <w:numPr>
                <w:ilvl w:val="0"/>
                <w:numId w:val="1"/>
              </w:numPr>
              <w:spacing w:line="360" w:lineRule="auto"/>
              <w:ind w:left="0" w:firstLine="0"/>
              <w:rPr>
                <w:rFonts w:cs="David"/>
                <w:sz w:val="26"/>
                <w:szCs w:val="26"/>
                <w:rtl/>
              </w:rPr>
            </w:pPr>
          </w:p>
        </w:tc>
        <w:tc>
          <w:tcPr>
            <w:tcW w:w="8554" w:type="dxa"/>
            <w:tcBorders>
              <w:top w:val="nil"/>
              <w:left w:val="nil"/>
              <w:bottom w:val="nil"/>
              <w:right w:val="nil"/>
            </w:tcBorders>
            <w:shd w:val="clear" w:color="auto" w:fill="auto"/>
          </w:tcPr>
          <w:p w:rsidR="00833FE3" w:rsidRPr="00833FE3" w:rsidRDefault="003B2C4C" w:rsidP="0059061B">
            <w:pPr>
              <w:spacing w:line="360" w:lineRule="auto"/>
              <w:jc w:val="both"/>
              <w:rPr>
                <w:rFonts w:cs="David"/>
                <w:sz w:val="26"/>
                <w:szCs w:val="26"/>
                <w:rtl/>
              </w:rPr>
            </w:pPr>
            <w:r>
              <w:rPr>
                <w:rFonts w:cs="David" w:hint="cs"/>
                <w:sz w:val="26"/>
                <w:szCs w:val="26"/>
                <w:rtl/>
              </w:rPr>
              <w:t>חוק חסינות חברי הכנסת, זכו</w:t>
            </w:r>
            <w:r w:rsidR="00833FE3">
              <w:rPr>
                <w:rFonts w:cs="David" w:hint="cs"/>
                <w:sz w:val="26"/>
                <w:szCs w:val="26"/>
                <w:rtl/>
              </w:rPr>
              <w:t xml:space="preserve">יותיהם וחובותיהם, התשי"א-1951, </w:t>
            </w:r>
            <w:r>
              <w:rPr>
                <w:rFonts w:cs="David" w:hint="cs"/>
                <w:sz w:val="26"/>
                <w:szCs w:val="26"/>
                <w:rtl/>
              </w:rPr>
              <w:t xml:space="preserve">מטיל מגבלות על עיסוקים נוספים של חברי הכנסת, </w:t>
            </w:r>
            <w:r w:rsidR="00833FE3">
              <w:rPr>
                <w:rFonts w:cs="David" w:hint="cs"/>
                <w:sz w:val="26"/>
                <w:szCs w:val="26"/>
                <w:rtl/>
              </w:rPr>
              <w:t xml:space="preserve">למעט עיסוקים "בהתנדבות וללא תמורה". מוסיף החוק וקובע כי </w:t>
            </w:r>
            <w:r w:rsidR="00833FE3" w:rsidRPr="00833FE3">
              <w:rPr>
                <w:rFonts w:cs="David"/>
                <w:sz w:val="26"/>
                <w:szCs w:val="26"/>
                <w:rtl/>
              </w:rPr>
              <w:t>חבר הכנסת לא יעסוק בכל עיסוק נוסף,</w:t>
            </w:r>
            <w:r w:rsidR="00833FE3" w:rsidRPr="00833FE3">
              <w:rPr>
                <w:rFonts w:cs="David" w:hint="cs"/>
                <w:sz w:val="26"/>
                <w:szCs w:val="26"/>
                <w:rtl/>
              </w:rPr>
              <w:t xml:space="preserve"> אם יש בו "</w:t>
            </w:r>
            <w:r w:rsidR="00833FE3" w:rsidRPr="00833FE3">
              <w:rPr>
                <w:rFonts w:cs="David"/>
                <w:sz w:val="26"/>
                <w:szCs w:val="26"/>
                <w:rtl/>
              </w:rPr>
              <w:t>ייצוג משפטי של בעל דין בהליך משפטי שבו אחד מבעלי הדין הוא המדינה.</w:t>
            </w:r>
            <w:r w:rsidR="00833FE3" w:rsidRPr="00833FE3">
              <w:rPr>
                <w:rFonts w:cs="David" w:hint="cs"/>
                <w:sz w:val="26"/>
                <w:szCs w:val="26"/>
                <w:rtl/>
              </w:rPr>
              <w:t>"</w:t>
            </w:r>
            <w:r w:rsidR="0059061B">
              <w:rPr>
                <w:rFonts w:cs="David" w:hint="cs"/>
                <w:sz w:val="26"/>
                <w:szCs w:val="26"/>
                <w:rtl/>
              </w:rPr>
              <w:t xml:space="preserve"> (ס' 13א(ב)(4)).</w:t>
            </w:r>
          </w:p>
          <w:p w:rsidR="00AC3AD0" w:rsidRPr="00FE3124" w:rsidRDefault="00AC3AD0" w:rsidP="00833FE3">
            <w:pPr>
              <w:spacing w:line="360" w:lineRule="auto"/>
              <w:jc w:val="both"/>
              <w:rPr>
                <w:rFonts w:cs="David"/>
                <w:sz w:val="26"/>
                <w:szCs w:val="26"/>
                <w:rtl/>
              </w:rPr>
            </w:pPr>
          </w:p>
        </w:tc>
      </w:tr>
      <w:tr w:rsidR="00AC3AD0" w:rsidRPr="00FE3124" w:rsidTr="00823139">
        <w:tc>
          <w:tcPr>
            <w:tcW w:w="531" w:type="dxa"/>
            <w:tcBorders>
              <w:top w:val="nil"/>
              <w:left w:val="nil"/>
              <w:bottom w:val="nil"/>
              <w:right w:val="nil"/>
            </w:tcBorders>
            <w:shd w:val="clear" w:color="auto" w:fill="auto"/>
          </w:tcPr>
          <w:p w:rsidR="00AC3AD0" w:rsidRPr="00FE3124" w:rsidRDefault="00AC3AD0" w:rsidP="00823139">
            <w:pPr>
              <w:numPr>
                <w:ilvl w:val="0"/>
                <w:numId w:val="1"/>
              </w:numPr>
              <w:spacing w:line="360" w:lineRule="auto"/>
              <w:ind w:left="0" w:firstLine="0"/>
              <w:rPr>
                <w:rFonts w:cs="David"/>
                <w:sz w:val="26"/>
                <w:szCs w:val="26"/>
                <w:rtl/>
              </w:rPr>
            </w:pPr>
          </w:p>
        </w:tc>
        <w:tc>
          <w:tcPr>
            <w:tcW w:w="8554" w:type="dxa"/>
            <w:tcBorders>
              <w:top w:val="nil"/>
              <w:left w:val="nil"/>
              <w:bottom w:val="nil"/>
              <w:right w:val="nil"/>
            </w:tcBorders>
            <w:shd w:val="clear" w:color="auto" w:fill="auto"/>
          </w:tcPr>
          <w:p w:rsidR="00AC3AD0" w:rsidRDefault="003E3B32" w:rsidP="00D2471B">
            <w:pPr>
              <w:spacing w:line="360" w:lineRule="auto"/>
              <w:jc w:val="both"/>
              <w:rPr>
                <w:rFonts w:cs="David"/>
                <w:sz w:val="26"/>
                <w:szCs w:val="26"/>
                <w:rtl/>
              </w:rPr>
            </w:pPr>
            <w:r>
              <w:rPr>
                <w:rFonts w:cs="David" w:hint="cs"/>
                <w:sz w:val="26"/>
                <w:szCs w:val="26"/>
                <w:rtl/>
              </w:rPr>
              <w:t xml:space="preserve">אכן ניתן להבין </w:t>
            </w:r>
            <w:r w:rsidR="0059061B">
              <w:rPr>
                <w:rFonts w:cs="David" w:hint="cs"/>
                <w:sz w:val="26"/>
                <w:szCs w:val="26"/>
                <w:rtl/>
              </w:rPr>
              <w:t xml:space="preserve">הוראות אלה </w:t>
            </w:r>
            <w:r>
              <w:rPr>
                <w:rFonts w:cs="David" w:hint="cs"/>
                <w:sz w:val="26"/>
                <w:szCs w:val="26"/>
                <w:rtl/>
              </w:rPr>
              <w:t xml:space="preserve">ככאלה המאפשרות </w:t>
            </w:r>
            <w:r w:rsidR="0059061B">
              <w:rPr>
                <w:rFonts w:cs="David" w:hint="cs"/>
                <w:sz w:val="26"/>
                <w:szCs w:val="26"/>
                <w:rtl/>
              </w:rPr>
              <w:t xml:space="preserve">לכאורה לחבר כנסת שהוא עו"ד </w:t>
            </w:r>
            <w:r w:rsidR="00D2471B">
              <w:rPr>
                <w:rFonts w:cs="David" w:hint="cs"/>
                <w:sz w:val="26"/>
                <w:szCs w:val="26"/>
                <w:rtl/>
              </w:rPr>
              <w:t>לערוך</w:t>
            </w:r>
            <w:r w:rsidR="0059061B">
              <w:rPr>
                <w:rFonts w:cs="David" w:hint="cs"/>
                <w:sz w:val="26"/>
                <w:szCs w:val="26"/>
                <w:rtl/>
              </w:rPr>
              <w:t xml:space="preserve"> תצהירים</w:t>
            </w:r>
            <w:r w:rsidR="00D2471B">
              <w:rPr>
                <w:rFonts w:cs="David" w:hint="cs"/>
                <w:sz w:val="26"/>
                <w:szCs w:val="26"/>
                <w:rtl/>
              </w:rPr>
              <w:t xml:space="preserve"> ולאמת חתימות</w:t>
            </w:r>
            <w:r w:rsidR="0059061B">
              <w:rPr>
                <w:rFonts w:cs="David" w:hint="cs"/>
                <w:sz w:val="26"/>
                <w:szCs w:val="26"/>
                <w:rtl/>
              </w:rPr>
              <w:t>, כאשר הדבר נעשה בהתנדבות.</w:t>
            </w:r>
          </w:p>
          <w:p w:rsidR="0059061B" w:rsidRDefault="0059061B" w:rsidP="00823139">
            <w:pPr>
              <w:spacing w:line="360" w:lineRule="auto"/>
              <w:jc w:val="both"/>
              <w:rPr>
                <w:rFonts w:cs="David"/>
                <w:sz w:val="26"/>
                <w:szCs w:val="26"/>
                <w:rtl/>
              </w:rPr>
            </w:pPr>
          </w:p>
          <w:p w:rsidR="0059061B" w:rsidRDefault="0059061B" w:rsidP="00456518">
            <w:pPr>
              <w:spacing w:line="360" w:lineRule="auto"/>
              <w:jc w:val="both"/>
              <w:rPr>
                <w:rFonts w:cs="David"/>
                <w:sz w:val="26"/>
                <w:szCs w:val="26"/>
                <w:rtl/>
              </w:rPr>
            </w:pPr>
            <w:r>
              <w:rPr>
                <w:rFonts w:cs="David" w:hint="cs"/>
                <w:sz w:val="26"/>
                <w:szCs w:val="26"/>
                <w:rtl/>
              </w:rPr>
              <w:t>ואולם, ועדת האתיק</w:t>
            </w:r>
            <w:r w:rsidR="00D2471B">
              <w:rPr>
                <w:rFonts w:cs="David" w:hint="cs"/>
                <w:sz w:val="26"/>
                <w:szCs w:val="26"/>
                <w:rtl/>
              </w:rPr>
              <w:t xml:space="preserve">ה סבורה כי עיסוק נוסף כעו"ד, גם אם </w:t>
            </w:r>
            <w:r>
              <w:rPr>
                <w:rFonts w:cs="David" w:hint="cs"/>
                <w:sz w:val="26"/>
                <w:szCs w:val="26"/>
                <w:rtl/>
              </w:rPr>
              <w:t>ללא תמורה,</w:t>
            </w:r>
            <w:r w:rsidR="00D2471B">
              <w:rPr>
                <w:rFonts w:cs="David" w:hint="cs"/>
                <w:sz w:val="26"/>
                <w:szCs w:val="26"/>
                <w:rtl/>
              </w:rPr>
              <w:t xml:space="preserve"> לרבות עריכת תצהירים ואימותם,</w:t>
            </w:r>
            <w:r>
              <w:rPr>
                <w:rFonts w:cs="David" w:hint="cs"/>
                <w:sz w:val="26"/>
                <w:szCs w:val="26"/>
                <w:rtl/>
              </w:rPr>
              <w:t xml:space="preserve"> יוצר חשש לני</w:t>
            </w:r>
            <w:r w:rsidR="00456518">
              <w:rPr>
                <w:rFonts w:cs="David" w:hint="cs"/>
                <w:sz w:val="26"/>
                <w:szCs w:val="26"/>
                <w:rtl/>
              </w:rPr>
              <w:t xml:space="preserve">גוד עניינים, ובוודאי מראית עין </w:t>
            </w:r>
            <w:r>
              <w:rPr>
                <w:rFonts w:cs="David" w:hint="cs"/>
                <w:sz w:val="26"/>
                <w:szCs w:val="26"/>
                <w:rtl/>
              </w:rPr>
              <w:t xml:space="preserve">לחשש כזה, </w:t>
            </w:r>
            <w:r w:rsidR="00497D4B">
              <w:rPr>
                <w:rFonts w:cs="David" w:hint="cs"/>
                <w:sz w:val="26"/>
                <w:szCs w:val="26"/>
                <w:rtl/>
              </w:rPr>
              <w:t>ולכן חל</w:t>
            </w:r>
            <w:r w:rsidR="00D2471B">
              <w:rPr>
                <w:rFonts w:cs="David" w:hint="cs"/>
                <w:sz w:val="26"/>
                <w:szCs w:val="26"/>
                <w:rtl/>
              </w:rPr>
              <w:t>ה</w:t>
            </w:r>
            <w:r w:rsidR="00497D4B">
              <w:rPr>
                <w:rFonts w:cs="David" w:hint="cs"/>
                <w:sz w:val="26"/>
                <w:szCs w:val="26"/>
                <w:rtl/>
              </w:rPr>
              <w:t xml:space="preserve"> לגביו </w:t>
            </w:r>
            <w:r w:rsidR="00D2471B">
              <w:rPr>
                <w:rFonts w:cs="David" w:hint="cs"/>
                <w:sz w:val="26"/>
                <w:szCs w:val="26"/>
                <w:rtl/>
              </w:rPr>
              <w:t xml:space="preserve">הוראת </w:t>
            </w:r>
            <w:r w:rsidR="00497D4B">
              <w:rPr>
                <w:rFonts w:cs="David" w:hint="cs"/>
                <w:sz w:val="26"/>
                <w:szCs w:val="26"/>
                <w:rtl/>
              </w:rPr>
              <w:t xml:space="preserve">חוק החסינות </w:t>
            </w:r>
            <w:r w:rsidR="00D2471B">
              <w:rPr>
                <w:rFonts w:cs="David" w:hint="cs"/>
                <w:sz w:val="26"/>
                <w:szCs w:val="26"/>
                <w:rtl/>
              </w:rPr>
              <w:t>האוסרת</w:t>
            </w:r>
            <w:r w:rsidR="00497D4B">
              <w:rPr>
                <w:rFonts w:cs="David" w:hint="cs"/>
                <w:sz w:val="26"/>
                <w:szCs w:val="26"/>
                <w:rtl/>
              </w:rPr>
              <w:t xml:space="preserve"> עיסוק נוסף </w:t>
            </w:r>
            <w:r w:rsidR="00D2471B">
              <w:rPr>
                <w:rFonts w:cs="David" w:hint="cs"/>
                <w:sz w:val="26"/>
                <w:szCs w:val="26"/>
                <w:rtl/>
              </w:rPr>
              <w:t>שיש בו</w:t>
            </w:r>
            <w:r w:rsidR="00497D4B">
              <w:rPr>
                <w:rFonts w:cs="David" w:hint="cs"/>
                <w:sz w:val="26"/>
                <w:szCs w:val="26"/>
                <w:rtl/>
              </w:rPr>
              <w:t xml:space="preserve"> "אפשרות של ניגוד עניינים בין העיסוק הנוסף לבין תפקידו כחבר הכנסת"</w:t>
            </w:r>
            <w:r>
              <w:rPr>
                <w:rFonts w:cs="David" w:hint="cs"/>
                <w:sz w:val="26"/>
                <w:szCs w:val="26"/>
                <w:rtl/>
              </w:rPr>
              <w:t xml:space="preserve"> (ס' 13א(ב)(3)).</w:t>
            </w:r>
          </w:p>
          <w:p w:rsidR="0059061B" w:rsidRDefault="0059061B" w:rsidP="00823139">
            <w:pPr>
              <w:spacing w:line="360" w:lineRule="auto"/>
              <w:jc w:val="both"/>
              <w:rPr>
                <w:rFonts w:cs="David"/>
                <w:sz w:val="26"/>
                <w:szCs w:val="26"/>
                <w:rtl/>
              </w:rPr>
            </w:pPr>
          </w:p>
          <w:p w:rsidR="0059061B" w:rsidRDefault="0059061B" w:rsidP="00482E88">
            <w:pPr>
              <w:spacing w:line="360" w:lineRule="auto"/>
              <w:jc w:val="both"/>
              <w:rPr>
                <w:rFonts w:cs="David"/>
                <w:sz w:val="26"/>
                <w:szCs w:val="26"/>
                <w:rtl/>
              </w:rPr>
            </w:pPr>
            <w:r>
              <w:rPr>
                <w:rFonts w:cs="David" w:hint="cs"/>
                <w:sz w:val="26"/>
                <w:szCs w:val="26"/>
                <w:rtl/>
              </w:rPr>
              <w:t xml:space="preserve">בהתנגשות בין שני הסעיפים, </w:t>
            </w:r>
            <w:r w:rsidR="00497D4B">
              <w:rPr>
                <w:rFonts w:cs="David" w:hint="cs"/>
                <w:sz w:val="26"/>
                <w:szCs w:val="26"/>
                <w:rtl/>
              </w:rPr>
              <w:t xml:space="preserve">זה המתיר וזה האוסר, </w:t>
            </w:r>
            <w:r>
              <w:rPr>
                <w:rFonts w:cs="David" w:hint="cs"/>
                <w:sz w:val="26"/>
                <w:szCs w:val="26"/>
                <w:rtl/>
              </w:rPr>
              <w:t xml:space="preserve">עמדת ועדת האתיקה היא שהסעיף בדבר ניגוד העניינים גובר, וכי על חברי הכנסת להימנע מכל </w:t>
            </w:r>
            <w:r w:rsidR="00482E88">
              <w:rPr>
                <w:rFonts w:cs="David" w:hint="cs"/>
                <w:sz w:val="26"/>
                <w:szCs w:val="26"/>
                <w:rtl/>
              </w:rPr>
              <w:t>עיסוק נוסף כעורכי דין</w:t>
            </w:r>
            <w:r>
              <w:rPr>
                <w:rFonts w:cs="David" w:hint="cs"/>
                <w:sz w:val="26"/>
                <w:szCs w:val="26"/>
                <w:rtl/>
              </w:rPr>
              <w:t>. יצירת הבחנות והותרת פתח לעיסוקים נוספים בתחום עריכת הדין יש בה פוטנציאל מובהק לניגוד עניינים ולפגיעה בתדמית</w:t>
            </w:r>
            <w:r w:rsidR="00482E88">
              <w:rPr>
                <w:rFonts w:cs="David" w:hint="cs"/>
                <w:sz w:val="26"/>
                <w:szCs w:val="26"/>
                <w:rtl/>
              </w:rPr>
              <w:t xml:space="preserve"> הכנסת ו</w:t>
            </w:r>
            <w:r>
              <w:rPr>
                <w:rFonts w:cs="David" w:hint="cs"/>
                <w:sz w:val="26"/>
                <w:szCs w:val="26"/>
                <w:rtl/>
              </w:rPr>
              <w:t>חברי הכנסת.</w:t>
            </w:r>
          </w:p>
          <w:p w:rsidR="00482E88" w:rsidRDefault="00482E88" w:rsidP="00482E88">
            <w:pPr>
              <w:spacing w:line="360" w:lineRule="auto"/>
              <w:jc w:val="both"/>
              <w:rPr>
                <w:rFonts w:cs="David"/>
                <w:sz w:val="26"/>
                <w:szCs w:val="26"/>
                <w:rtl/>
              </w:rPr>
            </w:pPr>
          </w:p>
          <w:p w:rsidR="00482E88" w:rsidRDefault="00482E88" w:rsidP="00456518">
            <w:pPr>
              <w:spacing w:line="360" w:lineRule="auto"/>
              <w:jc w:val="both"/>
              <w:rPr>
                <w:rFonts w:cs="David"/>
                <w:sz w:val="26"/>
                <w:szCs w:val="26"/>
                <w:rtl/>
              </w:rPr>
            </w:pPr>
            <w:r>
              <w:rPr>
                <w:rFonts w:cs="David" w:hint="cs"/>
                <w:sz w:val="26"/>
                <w:szCs w:val="26"/>
                <w:rtl/>
              </w:rPr>
              <w:t xml:space="preserve">אשר לחתימה על תצהירים, </w:t>
            </w:r>
            <w:r w:rsidR="00456518">
              <w:rPr>
                <w:rFonts w:cs="David" w:hint="cs"/>
                <w:sz w:val="26"/>
                <w:szCs w:val="26"/>
                <w:rtl/>
              </w:rPr>
              <w:t>הנחזית להיות פעולה טכנית פשוטה, אלה לרוב נחתמים לצורך הגשת בקשות</w:t>
            </w:r>
            <w:r>
              <w:rPr>
                <w:rFonts w:cs="David" w:hint="cs"/>
                <w:sz w:val="26"/>
                <w:szCs w:val="26"/>
                <w:rtl/>
              </w:rPr>
              <w:t xml:space="preserve"> לרשויות המדינה השונות, </w:t>
            </w:r>
            <w:r w:rsidR="00456518">
              <w:rPr>
                <w:rFonts w:cs="David" w:hint="cs"/>
                <w:sz w:val="26"/>
                <w:szCs w:val="26"/>
                <w:rtl/>
              </w:rPr>
              <w:t>מה שעלול ליצור</w:t>
            </w:r>
            <w:r>
              <w:rPr>
                <w:rFonts w:cs="David" w:hint="cs"/>
                <w:sz w:val="26"/>
                <w:szCs w:val="26"/>
                <w:rtl/>
              </w:rPr>
              <w:t xml:space="preserve"> </w:t>
            </w:r>
            <w:r w:rsidR="00456518">
              <w:rPr>
                <w:rFonts w:cs="David" w:hint="cs"/>
                <w:sz w:val="26"/>
                <w:szCs w:val="26"/>
                <w:rtl/>
              </w:rPr>
              <w:t>מצג כלפי הרשויות שחבר הכנסת עומד מאחורי הבקשה או המבקש, ולכן בוודאי ש</w:t>
            </w:r>
            <w:r>
              <w:rPr>
                <w:rFonts w:cs="David" w:hint="cs"/>
                <w:sz w:val="26"/>
                <w:szCs w:val="26"/>
                <w:rtl/>
              </w:rPr>
              <w:t>אין מקום לכך ששמו של ח</w:t>
            </w:r>
            <w:r w:rsidR="000C1E62">
              <w:rPr>
                <w:rFonts w:cs="David" w:hint="cs"/>
                <w:sz w:val="26"/>
                <w:szCs w:val="26"/>
                <w:rtl/>
              </w:rPr>
              <w:t>בר כנסת</w:t>
            </w:r>
            <w:r>
              <w:rPr>
                <w:rFonts w:cs="David" w:hint="cs"/>
                <w:sz w:val="26"/>
                <w:szCs w:val="26"/>
                <w:rtl/>
              </w:rPr>
              <w:t xml:space="preserve"> יתנוסס על גבי תצהיר שמופנה </w:t>
            </w:r>
            <w:r w:rsidR="00456518">
              <w:rPr>
                <w:rFonts w:cs="David" w:hint="cs"/>
                <w:sz w:val="26"/>
                <w:szCs w:val="26"/>
                <w:rtl/>
              </w:rPr>
              <w:t>לרשויות אלה.</w:t>
            </w:r>
          </w:p>
          <w:p w:rsidR="0059061B" w:rsidRDefault="0059061B" w:rsidP="00823139">
            <w:pPr>
              <w:spacing w:line="360" w:lineRule="auto"/>
              <w:jc w:val="both"/>
              <w:rPr>
                <w:rFonts w:cs="David"/>
                <w:sz w:val="26"/>
                <w:szCs w:val="26"/>
                <w:rtl/>
              </w:rPr>
            </w:pPr>
          </w:p>
        </w:tc>
      </w:tr>
      <w:tr w:rsidR="000A4083" w:rsidRPr="00FE3124" w:rsidTr="00823139">
        <w:tc>
          <w:tcPr>
            <w:tcW w:w="531" w:type="dxa"/>
            <w:tcBorders>
              <w:top w:val="nil"/>
              <w:left w:val="nil"/>
              <w:bottom w:val="nil"/>
              <w:right w:val="nil"/>
            </w:tcBorders>
            <w:shd w:val="clear" w:color="auto" w:fill="auto"/>
          </w:tcPr>
          <w:p w:rsidR="000A4083" w:rsidRPr="00FE3124" w:rsidRDefault="000A4083" w:rsidP="00823139">
            <w:pPr>
              <w:numPr>
                <w:ilvl w:val="0"/>
                <w:numId w:val="1"/>
              </w:numPr>
              <w:spacing w:line="360" w:lineRule="auto"/>
              <w:ind w:left="0" w:firstLine="0"/>
              <w:rPr>
                <w:rFonts w:cs="David"/>
                <w:sz w:val="26"/>
                <w:szCs w:val="26"/>
                <w:rtl/>
              </w:rPr>
            </w:pPr>
          </w:p>
        </w:tc>
        <w:tc>
          <w:tcPr>
            <w:tcW w:w="8554" w:type="dxa"/>
            <w:tcBorders>
              <w:top w:val="nil"/>
              <w:left w:val="nil"/>
              <w:bottom w:val="nil"/>
              <w:right w:val="nil"/>
            </w:tcBorders>
            <w:shd w:val="clear" w:color="auto" w:fill="auto"/>
          </w:tcPr>
          <w:p w:rsidR="000A4083" w:rsidRDefault="000A4083" w:rsidP="00D677E4">
            <w:pPr>
              <w:spacing w:line="360" w:lineRule="auto"/>
              <w:jc w:val="both"/>
              <w:rPr>
                <w:rFonts w:cs="David"/>
                <w:sz w:val="26"/>
                <w:szCs w:val="26"/>
                <w:rtl/>
              </w:rPr>
            </w:pPr>
            <w:r>
              <w:rPr>
                <w:rFonts w:cs="David" w:hint="cs"/>
                <w:sz w:val="26"/>
                <w:szCs w:val="26"/>
                <w:rtl/>
              </w:rPr>
              <w:t xml:space="preserve">לא בכדי </w:t>
            </w:r>
            <w:r w:rsidR="00D677E4">
              <w:rPr>
                <w:rFonts w:cs="David" w:hint="cs"/>
                <w:sz w:val="26"/>
                <w:szCs w:val="26"/>
                <w:rtl/>
              </w:rPr>
              <w:t xml:space="preserve">היועץ המשפטי לכנסת הנחה בתחילת כהונתה של הכנסת </w:t>
            </w:r>
            <w:r w:rsidR="00B81D3F">
              <w:rPr>
                <w:rFonts w:cs="David" w:hint="cs"/>
                <w:sz w:val="26"/>
                <w:szCs w:val="26"/>
                <w:rtl/>
              </w:rPr>
              <w:t xml:space="preserve">ה-20 </w:t>
            </w:r>
            <w:r w:rsidR="00D677E4">
              <w:rPr>
                <w:rFonts w:cs="David" w:hint="cs"/>
                <w:sz w:val="26"/>
                <w:szCs w:val="26"/>
                <w:rtl/>
              </w:rPr>
              <w:t>את חברי הכנסת החדשים שהם עורכי דין, כי הם רשאים להמשיך את חברותם בלשכת עורכי הדין, אולם</w:t>
            </w:r>
            <w:r w:rsidR="00B81D3F">
              <w:rPr>
                <w:rFonts w:cs="David" w:hint="cs"/>
                <w:sz w:val="26"/>
                <w:szCs w:val="26"/>
                <w:rtl/>
              </w:rPr>
              <w:t xml:space="preserve"> הדגיש כי</w:t>
            </w:r>
            <w:r w:rsidR="00D677E4">
              <w:rPr>
                <w:rFonts w:cs="David" w:hint="cs"/>
                <w:sz w:val="26"/>
                <w:szCs w:val="26"/>
                <w:rtl/>
              </w:rPr>
              <w:t xml:space="preserve"> "</w:t>
            </w:r>
            <w:r w:rsidR="00D677E4" w:rsidRPr="00D677E4">
              <w:rPr>
                <w:rFonts w:cs="David" w:hint="cs"/>
                <w:sz w:val="26"/>
                <w:szCs w:val="26"/>
                <w:rtl/>
              </w:rPr>
              <w:t>מובן כי אין בהיתר להמשך החברות בלשכה כדי להתיר עיסוק כלשהו במקצוע עריכת הדין".</w:t>
            </w:r>
          </w:p>
          <w:p w:rsidR="00D677E4" w:rsidRDefault="00D677E4" w:rsidP="00D677E4">
            <w:pPr>
              <w:spacing w:line="360" w:lineRule="auto"/>
              <w:jc w:val="both"/>
              <w:rPr>
                <w:rFonts w:cs="David"/>
                <w:sz w:val="26"/>
                <w:szCs w:val="26"/>
                <w:rtl/>
              </w:rPr>
            </w:pPr>
          </w:p>
        </w:tc>
      </w:tr>
      <w:tr w:rsidR="00D677E4" w:rsidRPr="00FE3124" w:rsidTr="00823139">
        <w:tc>
          <w:tcPr>
            <w:tcW w:w="531" w:type="dxa"/>
            <w:tcBorders>
              <w:top w:val="nil"/>
              <w:left w:val="nil"/>
              <w:bottom w:val="nil"/>
              <w:right w:val="nil"/>
            </w:tcBorders>
            <w:shd w:val="clear" w:color="auto" w:fill="auto"/>
          </w:tcPr>
          <w:p w:rsidR="00D677E4" w:rsidRPr="00FE3124" w:rsidRDefault="00D677E4" w:rsidP="00823139">
            <w:pPr>
              <w:numPr>
                <w:ilvl w:val="0"/>
                <w:numId w:val="1"/>
              </w:numPr>
              <w:spacing w:line="360" w:lineRule="auto"/>
              <w:ind w:left="0" w:firstLine="0"/>
              <w:rPr>
                <w:rFonts w:cs="David"/>
                <w:sz w:val="26"/>
                <w:szCs w:val="26"/>
                <w:rtl/>
              </w:rPr>
            </w:pPr>
          </w:p>
        </w:tc>
        <w:tc>
          <w:tcPr>
            <w:tcW w:w="8554" w:type="dxa"/>
            <w:tcBorders>
              <w:top w:val="nil"/>
              <w:left w:val="nil"/>
              <w:bottom w:val="nil"/>
              <w:right w:val="nil"/>
            </w:tcBorders>
            <w:shd w:val="clear" w:color="auto" w:fill="auto"/>
          </w:tcPr>
          <w:p w:rsidR="00D677E4" w:rsidRDefault="00D677E4" w:rsidP="004824E6">
            <w:pPr>
              <w:spacing w:line="360" w:lineRule="auto"/>
              <w:jc w:val="both"/>
              <w:rPr>
                <w:rFonts w:cs="David"/>
                <w:sz w:val="26"/>
                <w:szCs w:val="26"/>
                <w:rtl/>
              </w:rPr>
            </w:pPr>
            <w:r>
              <w:rPr>
                <w:rFonts w:cs="David" w:hint="cs"/>
                <w:sz w:val="26"/>
                <w:szCs w:val="26"/>
                <w:rtl/>
              </w:rPr>
              <w:t xml:space="preserve">הוועדה מאמצת </w:t>
            </w:r>
            <w:r w:rsidR="00B81D3F">
              <w:rPr>
                <w:rFonts w:cs="David" w:hint="cs"/>
                <w:sz w:val="26"/>
                <w:szCs w:val="26"/>
                <w:rtl/>
              </w:rPr>
              <w:t xml:space="preserve">איפוא </w:t>
            </w:r>
            <w:r>
              <w:rPr>
                <w:rFonts w:cs="David" w:hint="cs"/>
                <w:sz w:val="26"/>
                <w:szCs w:val="26"/>
                <w:rtl/>
              </w:rPr>
              <w:t>את ח</w:t>
            </w:r>
            <w:r w:rsidR="00497D4B">
              <w:rPr>
                <w:rFonts w:cs="David" w:hint="cs"/>
                <w:sz w:val="26"/>
                <w:szCs w:val="26"/>
                <w:rtl/>
              </w:rPr>
              <w:t xml:space="preserve">וות דעתו של היועץ המשפטי לכנסת בעניין זה, וקובעת כי </w:t>
            </w:r>
            <w:r w:rsidR="00C9386F">
              <w:rPr>
                <w:rFonts w:cs="David" w:hint="cs"/>
                <w:sz w:val="26"/>
                <w:szCs w:val="26"/>
                <w:rtl/>
              </w:rPr>
              <w:t xml:space="preserve">כל </w:t>
            </w:r>
            <w:r w:rsidR="00497D4B">
              <w:rPr>
                <w:rFonts w:cs="David" w:hint="cs"/>
                <w:sz w:val="26"/>
                <w:szCs w:val="26"/>
                <w:rtl/>
              </w:rPr>
              <w:t>עיסוק נוסף כעורך דין ללא תמורה</w:t>
            </w:r>
            <w:r w:rsidR="00496454">
              <w:rPr>
                <w:rFonts w:cs="David" w:hint="cs"/>
                <w:sz w:val="26"/>
                <w:szCs w:val="26"/>
                <w:rtl/>
              </w:rPr>
              <w:t xml:space="preserve">, לרבות </w:t>
            </w:r>
            <w:r w:rsidR="00456518">
              <w:rPr>
                <w:rFonts w:cs="David" w:hint="cs"/>
                <w:sz w:val="26"/>
                <w:szCs w:val="26"/>
                <w:rtl/>
              </w:rPr>
              <w:t xml:space="preserve">אימות </w:t>
            </w:r>
            <w:r w:rsidR="00496454">
              <w:rPr>
                <w:rFonts w:cs="David" w:hint="cs"/>
                <w:sz w:val="26"/>
                <w:szCs w:val="26"/>
                <w:rtl/>
              </w:rPr>
              <w:t>חתימה על תצהירים,</w:t>
            </w:r>
            <w:r w:rsidR="00497D4B">
              <w:rPr>
                <w:rFonts w:cs="David" w:hint="cs"/>
                <w:sz w:val="26"/>
                <w:szCs w:val="26"/>
                <w:rtl/>
              </w:rPr>
              <w:t xml:space="preserve"> מהווה הפרה של כללי האתיקה, </w:t>
            </w:r>
            <w:r w:rsidR="004824E6">
              <w:rPr>
                <w:rFonts w:cs="David" w:hint="cs"/>
                <w:sz w:val="26"/>
                <w:szCs w:val="26"/>
                <w:rtl/>
              </w:rPr>
              <w:t>ועל כן יש להימנע</w:t>
            </w:r>
            <w:r w:rsidR="00496454">
              <w:rPr>
                <w:rFonts w:cs="David" w:hint="cs"/>
                <w:sz w:val="26"/>
                <w:szCs w:val="26"/>
                <w:rtl/>
              </w:rPr>
              <w:t xml:space="preserve"> מכך</w:t>
            </w:r>
            <w:r w:rsidR="00497D4B">
              <w:rPr>
                <w:rFonts w:cs="David" w:hint="cs"/>
                <w:sz w:val="26"/>
                <w:szCs w:val="26"/>
                <w:rtl/>
              </w:rPr>
              <w:t xml:space="preserve">. </w:t>
            </w:r>
          </w:p>
          <w:p w:rsidR="00C9386F" w:rsidRDefault="00C9386F" w:rsidP="004824E6">
            <w:pPr>
              <w:spacing w:line="360" w:lineRule="auto"/>
              <w:jc w:val="both"/>
              <w:rPr>
                <w:rFonts w:cs="David"/>
                <w:sz w:val="26"/>
                <w:szCs w:val="26"/>
                <w:rtl/>
              </w:rPr>
            </w:pPr>
          </w:p>
          <w:p w:rsidR="00C9386F" w:rsidRDefault="00C9386F" w:rsidP="00C9386F">
            <w:pPr>
              <w:spacing w:line="360" w:lineRule="auto"/>
              <w:jc w:val="both"/>
              <w:rPr>
                <w:rFonts w:cs="David"/>
                <w:sz w:val="26"/>
                <w:szCs w:val="26"/>
                <w:rtl/>
              </w:rPr>
            </w:pPr>
            <w:r>
              <w:rPr>
                <w:rFonts w:cs="David" w:hint="cs"/>
                <w:sz w:val="26"/>
                <w:szCs w:val="26"/>
                <w:rtl/>
              </w:rPr>
              <w:t>ועדת האתיקה רשאית, במקרים חריגים, לתת לחבר הכנסת אישור בכתב ומראש לנהוג בעניין מסוים בחריגה מהוראות אלה.</w:t>
            </w:r>
          </w:p>
        </w:tc>
      </w:tr>
    </w:tbl>
    <w:p w:rsidR="003B2C4C" w:rsidRDefault="003B2C4C" w:rsidP="00AC3AD0">
      <w:pPr>
        <w:spacing w:line="360" w:lineRule="auto"/>
        <w:ind w:right="-540"/>
        <w:jc w:val="both"/>
        <w:rPr>
          <w:rFonts w:cs="David"/>
          <w:sz w:val="26"/>
          <w:szCs w:val="26"/>
          <w:rtl/>
        </w:rPr>
      </w:pPr>
    </w:p>
    <w:p w:rsidR="00AC3AD0" w:rsidRDefault="00AC3AD0" w:rsidP="00CA75A9">
      <w:pPr>
        <w:spacing w:line="360" w:lineRule="auto"/>
        <w:ind w:right="-540"/>
        <w:jc w:val="both"/>
        <w:rPr>
          <w:rFonts w:ascii="Arial" w:hAnsi="Arial" w:cs="David"/>
          <w:sz w:val="28"/>
          <w:szCs w:val="28"/>
          <w:rtl/>
        </w:rPr>
      </w:pPr>
      <w:r>
        <w:rPr>
          <w:rFonts w:cs="David" w:hint="cs"/>
          <w:sz w:val="26"/>
          <w:szCs w:val="26"/>
          <w:rtl/>
        </w:rPr>
        <w:t>ההחלטה תונח על שולחן הכנסת.</w:t>
      </w:r>
    </w:p>
    <w:p w:rsidR="00AC3AD0" w:rsidRPr="007D4A97" w:rsidRDefault="00AC3AD0" w:rsidP="00367D49">
      <w:pPr>
        <w:pStyle w:val="a3"/>
        <w:tabs>
          <w:tab w:val="clear" w:pos="8306"/>
          <w:tab w:val="left" w:pos="720"/>
        </w:tabs>
        <w:jc w:val="both"/>
        <w:rPr>
          <w:rFonts w:cs="David"/>
          <w:sz w:val="28"/>
          <w:szCs w:val="28"/>
          <w:rtl/>
        </w:rPr>
      </w:pPr>
      <w:r>
        <w:rPr>
          <w:rFonts w:hint="cs"/>
          <w:rtl/>
        </w:rPr>
        <w:tab/>
      </w:r>
      <w:r>
        <w:rPr>
          <w:rFonts w:hint="cs"/>
          <w:rtl/>
        </w:rPr>
        <w:tab/>
      </w:r>
      <w:r>
        <w:rPr>
          <w:rFonts w:hint="cs"/>
          <w:rtl/>
        </w:rPr>
        <w:tab/>
      </w:r>
      <w:r>
        <w:rPr>
          <w:rFonts w:hint="cs"/>
          <w:rtl/>
        </w:rPr>
        <w:tab/>
        <w:t xml:space="preserve">      </w:t>
      </w:r>
      <w:r>
        <w:rPr>
          <w:rFonts w:cs="David" w:hint="cs"/>
          <w:sz w:val="28"/>
          <w:szCs w:val="28"/>
          <w:rtl/>
        </w:rPr>
        <w:t>__</w:t>
      </w:r>
      <w:r w:rsidR="00367D49">
        <w:rPr>
          <w:rFonts w:cs="David" w:hint="cs"/>
          <w:sz w:val="28"/>
          <w:szCs w:val="28"/>
          <w:rtl/>
        </w:rPr>
        <w:t>_</w:t>
      </w:r>
      <w:r>
        <w:rPr>
          <w:rFonts w:cs="David" w:hint="cs"/>
          <w:sz w:val="28"/>
          <w:szCs w:val="28"/>
          <w:rtl/>
        </w:rPr>
        <w:t>_________________</w:t>
      </w:r>
      <w:r>
        <w:rPr>
          <w:rFonts w:cs="David" w:hint="cs"/>
          <w:sz w:val="28"/>
          <w:szCs w:val="28"/>
          <w:rtl/>
        </w:rPr>
        <w:tab/>
      </w:r>
      <w:r>
        <w:rPr>
          <w:rFonts w:cs="David" w:hint="cs"/>
          <w:sz w:val="28"/>
          <w:szCs w:val="28"/>
          <w:rtl/>
        </w:rPr>
        <w:tab/>
      </w:r>
      <w:r>
        <w:rPr>
          <w:rFonts w:cs="David" w:hint="cs"/>
          <w:sz w:val="28"/>
          <w:szCs w:val="28"/>
          <w:rtl/>
        </w:rPr>
        <w:tab/>
        <w:t xml:space="preserve">       </w:t>
      </w:r>
      <w:r w:rsidRPr="007D4A97">
        <w:rPr>
          <w:rFonts w:cs="David" w:hint="cs"/>
          <w:sz w:val="28"/>
          <w:szCs w:val="28"/>
          <w:rtl/>
        </w:rPr>
        <w:tab/>
      </w:r>
      <w:r>
        <w:rPr>
          <w:rFonts w:cs="David" w:hint="cs"/>
          <w:sz w:val="28"/>
          <w:szCs w:val="28"/>
          <w:rtl/>
        </w:rPr>
        <w:t xml:space="preserve">         </w:t>
      </w:r>
      <w:r w:rsidR="00496454">
        <w:rPr>
          <w:rFonts w:cs="David" w:hint="cs"/>
          <w:sz w:val="28"/>
          <w:szCs w:val="28"/>
          <w:rtl/>
        </w:rPr>
        <w:t xml:space="preserve"> </w:t>
      </w:r>
      <w:r w:rsidR="00367D49">
        <w:rPr>
          <w:rFonts w:cs="David" w:hint="cs"/>
          <w:sz w:val="28"/>
          <w:szCs w:val="28"/>
          <w:rtl/>
        </w:rPr>
        <w:t>ח</w:t>
      </w:r>
      <w:r>
        <w:rPr>
          <w:rFonts w:cs="David" w:hint="cs"/>
          <w:sz w:val="28"/>
          <w:szCs w:val="28"/>
          <w:rtl/>
        </w:rPr>
        <w:t>בר הכנסת</w:t>
      </w:r>
      <w:r w:rsidRPr="007D4A97">
        <w:rPr>
          <w:rFonts w:cs="David" w:hint="cs"/>
          <w:sz w:val="28"/>
          <w:szCs w:val="28"/>
          <w:rtl/>
        </w:rPr>
        <w:t xml:space="preserve"> יצחק וקנין</w:t>
      </w:r>
    </w:p>
    <w:p w:rsidR="00AC3AD0" w:rsidRPr="007D4A97" w:rsidRDefault="000C1E62" w:rsidP="000C1E62">
      <w:pPr>
        <w:pStyle w:val="a3"/>
        <w:tabs>
          <w:tab w:val="clear" w:pos="8306"/>
          <w:tab w:val="left" w:pos="720"/>
        </w:tabs>
        <w:jc w:val="center"/>
        <w:rPr>
          <w:rFonts w:cs="David"/>
          <w:sz w:val="28"/>
          <w:szCs w:val="28"/>
        </w:rPr>
      </w:pPr>
      <w:r>
        <w:rPr>
          <w:rFonts w:cs="David" w:hint="cs"/>
          <w:sz w:val="28"/>
          <w:szCs w:val="28"/>
          <w:rtl/>
        </w:rPr>
        <w:t xml:space="preserve">                                                                                       יושב </w:t>
      </w:r>
      <w:r w:rsidR="00AC3AD0" w:rsidRPr="007D4A97">
        <w:rPr>
          <w:rFonts w:cs="David" w:hint="cs"/>
          <w:sz w:val="28"/>
          <w:szCs w:val="28"/>
          <w:rtl/>
        </w:rPr>
        <w:t>ראש ועדת האתיקה</w:t>
      </w:r>
    </w:p>
    <w:sectPr w:rsidR="00AC3AD0" w:rsidRPr="007D4A97" w:rsidSect="00AA5D7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4A5" w:rsidRDefault="002054A5" w:rsidP="00367D49">
      <w:r>
        <w:separator/>
      </w:r>
    </w:p>
  </w:endnote>
  <w:endnote w:type="continuationSeparator" w:id="0">
    <w:p w:rsidR="002054A5" w:rsidRDefault="002054A5" w:rsidP="00367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41" w:rsidRDefault="00E9714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41" w:rsidRDefault="00E9714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41" w:rsidRDefault="00E9714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4A5" w:rsidRDefault="002054A5" w:rsidP="00367D49">
      <w:r>
        <w:separator/>
      </w:r>
    </w:p>
  </w:footnote>
  <w:footnote w:type="continuationSeparator" w:id="0">
    <w:p w:rsidR="002054A5" w:rsidRDefault="002054A5" w:rsidP="00367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41" w:rsidRDefault="00E9714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41" w:rsidRDefault="00E9714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141" w:rsidRDefault="00E9714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579B3"/>
    <w:multiLevelType w:val="hybridMultilevel"/>
    <w:tmpl w:val="1E98F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78"/>
    <w:rsid w:val="000A4083"/>
    <w:rsid w:val="000C1E62"/>
    <w:rsid w:val="000E7ABE"/>
    <w:rsid w:val="002054A5"/>
    <w:rsid w:val="00205D0A"/>
    <w:rsid w:val="002430FD"/>
    <w:rsid w:val="00360C5D"/>
    <w:rsid w:val="00367D49"/>
    <w:rsid w:val="003B2C4C"/>
    <w:rsid w:val="003D2DB2"/>
    <w:rsid w:val="003E3B32"/>
    <w:rsid w:val="00426E22"/>
    <w:rsid w:val="00456518"/>
    <w:rsid w:val="004824E6"/>
    <w:rsid w:val="00482E88"/>
    <w:rsid w:val="00492C78"/>
    <w:rsid w:val="00496454"/>
    <w:rsid w:val="00497D4B"/>
    <w:rsid w:val="004E6D9A"/>
    <w:rsid w:val="00576B11"/>
    <w:rsid w:val="0059061B"/>
    <w:rsid w:val="0065125E"/>
    <w:rsid w:val="00663D85"/>
    <w:rsid w:val="006C096A"/>
    <w:rsid w:val="006E2AE4"/>
    <w:rsid w:val="007F76C5"/>
    <w:rsid w:val="00833FE3"/>
    <w:rsid w:val="00862A96"/>
    <w:rsid w:val="008F3B52"/>
    <w:rsid w:val="0095175F"/>
    <w:rsid w:val="0096019F"/>
    <w:rsid w:val="00AA5D73"/>
    <w:rsid w:val="00AC3AD0"/>
    <w:rsid w:val="00B81D3F"/>
    <w:rsid w:val="00C9386F"/>
    <w:rsid w:val="00CA75A9"/>
    <w:rsid w:val="00D17883"/>
    <w:rsid w:val="00D2471B"/>
    <w:rsid w:val="00D677E4"/>
    <w:rsid w:val="00DB469D"/>
    <w:rsid w:val="00E14208"/>
    <w:rsid w:val="00E97141"/>
    <w:rsid w:val="00F60CF6"/>
    <w:rsid w:val="00F74F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82D3AD-B82C-4C46-9928-C1ADD51E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AD0"/>
    <w:pPr>
      <w:bidi/>
      <w:spacing w:after="0" w:line="240" w:lineRule="auto"/>
    </w:pPr>
    <w:rPr>
      <w:rFonts w:ascii="Times New Roman" w:eastAsia="Times New Roman" w:hAnsi="Times New Roman" w:cs="Times New Roman"/>
      <w:sz w:val="24"/>
      <w:szCs w:val="24"/>
    </w:rPr>
  </w:style>
  <w:style w:type="paragraph" w:styleId="3">
    <w:name w:val="heading 3"/>
    <w:basedOn w:val="a"/>
    <w:next w:val="a"/>
    <w:link w:val="30"/>
    <w:unhideWhenUsed/>
    <w:qFormat/>
    <w:rsid w:val="00AC3AD0"/>
    <w:pPr>
      <w:keepNext/>
      <w:spacing w:before="240" w:after="60"/>
      <w:outlineLvl w:val="2"/>
    </w:pPr>
    <w:rPr>
      <w:rFonts w:ascii="Calibri Light" w:hAnsi="Calibri Light"/>
      <w:b/>
      <w:bCs/>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AC3AD0"/>
    <w:rPr>
      <w:rFonts w:ascii="Calibri Light" w:eastAsia="Times New Roman" w:hAnsi="Calibri Light" w:cs="Times New Roman"/>
      <w:b/>
      <w:bCs/>
      <w:sz w:val="26"/>
      <w:szCs w:val="26"/>
      <w:lang w:eastAsia="he-IL"/>
    </w:rPr>
  </w:style>
  <w:style w:type="paragraph" w:styleId="a3">
    <w:name w:val="header"/>
    <w:basedOn w:val="a"/>
    <w:link w:val="a4"/>
    <w:rsid w:val="00AC3AD0"/>
    <w:pPr>
      <w:tabs>
        <w:tab w:val="center" w:pos="4153"/>
        <w:tab w:val="right" w:pos="8306"/>
      </w:tabs>
    </w:pPr>
  </w:style>
  <w:style w:type="character" w:customStyle="1" w:styleId="a4">
    <w:name w:val="כותרת עליונה תו"/>
    <w:basedOn w:val="a0"/>
    <w:link w:val="a3"/>
    <w:rsid w:val="00AC3AD0"/>
    <w:rPr>
      <w:rFonts w:ascii="Times New Roman" w:eastAsia="Times New Roman" w:hAnsi="Times New Roman" w:cs="Times New Roman"/>
      <w:sz w:val="24"/>
      <w:szCs w:val="24"/>
    </w:rPr>
  </w:style>
  <w:style w:type="paragraph" w:styleId="a5">
    <w:name w:val="footer"/>
    <w:basedOn w:val="a"/>
    <w:link w:val="a6"/>
    <w:uiPriority w:val="99"/>
    <w:unhideWhenUsed/>
    <w:rsid w:val="00367D49"/>
    <w:pPr>
      <w:tabs>
        <w:tab w:val="center" w:pos="4153"/>
        <w:tab w:val="right" w:pos="8306"/>
      </w:tabs>
    </w:pPr>
  </w:style>
  <w:style w:type="character" w:customStyle="1" w:styleId="a6">
    <w:name w:val="כותרת תחתונה תו"/>
    <w:basedOn w:val="a0"/>
    <w:link w:val="a5"/>
    <w:uiPriority w:val="99"/>
    <w:rsid w:val="00367D49"/>
    <w:rPr>
      <w:rFonts w:ascii="Times New Roman" w:eastAsia="Times New Roman" w:hAnsi="Times New Roman" w:cs="Times New Roman"/>
      <w:sz w:val="24"/>
      <w:szCs w:val="24"/>
    </w:rPr>
  </w:style>
  <w:style w:type="paragraph" w:styleId="a7">
    <w:name w:val="footnote text"/>
    <w:basedOn w:val="a"/>
    <w:link w:val="1"/>
    <w:rsid w:val="003B2C4C"/>
    <w:rPr>
      <w:rFonts w:cs="David"/>
      <w:sz w:val="20"/>
      <w:szCs w:val="20"/>
      <w:lang w:eastAsia="he-IL"/>
    </w:rPr>
  </w:style>
  <w:style w:type="character" w:customStyle="1" w:styleId="a8">
    <w:name w:val="טקסט הערת שוליים תו"/>
    <w:basedOn w:val="a0"/>
    <w:uiPriority w:val="99"/>
    <w:semiHidden/>
    <w:rsid w:val="003B2C4C"/>
    <w:rPr>
      <w:rFonts w:ascii="Times New Roman" w:eastAsia="Times New Roman" w:hAnsi="Times New Roman" w:cs="Times New Roman"/>
      <w:sz w:val="20"/>
      <w:szCs w:val="20"/>
    </w:rPr>
  </w:style>
  <w:style w:type="character" w:styleId="a9">
    <w:name w:val="footnote reference"/>
    <w:aliases w:val="Footnote Reference"/>
    <w:rsid w:val="003B2C4C"/>
    <w:rPr>
      <w:vertAlign w:val="superscript"/>
    </w:rPr>
  </w:style>
  <w:style w:type="character" w:customStyle="1" w:styleId="1">
    <w:name w:val="טקסט הערת שוליים תו1"/>
    <w:link w:val="a7"/>
    <w:rsid w:val="003B2C4C"/>
    <w:rPr>
      <w:rFonts w:ascii="Times New Roman" w:eastAsia="Times New Roman" w:hAnsi="Times New Roman" w:cs="David"/>
      <w:sz w:val="20"/>
      <w:szCs w:val="20"/>
      <w:lang w:eastAsia="he-IL"/>
    </w:rPr>
  </w:style>
  <w:style w:type="paragraph" w:styleId="aa">
    <w:name w:val="Balloon Text"/>
    <w:basedOn w:val="a"/>
    <w:link w:val="ab"/>
    <w:uiPriority w:val="99"/>
    <w:semiHidden/>
    <w:unhideWhenUsed/>
    <w:rsid w:val="00205D0A"/>
    <w:rPr>
      <w:rFonts w:ascii="Tahoma" w:hAnsi="Tahoma" w:cs="Tahoma"/>
      <w:sz w:val="18"/>
      <w:szCs w:val="18"/>
    </w:rPr>
  </w:style>
  <w:style w:type="character" w:customStyle="1" w:styleId="ab">
    <w:name w:val="טקסט בלונים תו"/>
    <w:basedOn w:val="a0"/>
    <w:link w:val="aa"/>
    <w:uiPriority w:val="99"/>
    <w:semiHidden/>
    <w:rsid w:val="00205D0A"/>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3EF33D1B52BB45A57E9BBA3875562F" ma:contentTypeVersion="0" ma:contentTypeDescription="Create a new document." ma:contentTypeScope="" ma:versionID="fbe26c7517db3b65204303fea7c22f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7E313-2537-4A62-8E3F-10A9BD4A6DEA}">
  <ds:schemaRefs>
    <ds:schemaRef ds:uri="http://schemas.microsoft.com/sharepoint/v3/contenttype/forms"/>
  </ds:schemaRefs>
</ds:datastoreItem>
</file>

<file path=customXml/itemProps2.xml><?xml version="1.0" encoding="utf-8"?>
<ds:datastoreItem xmlns:ds="http://schemas.openxmlformats.org/officeDocument/2006/customXml" ds:itemID="{7E36668B-41C4-4E62-A272-9E37A120991C}">
  <ds:schemaRefs>
    <ds:schemaRef ds:uri="http://schemas.microsoft.com/office/2006/metadata/properties"/>
    <ds:schemaRef ds:uri="f7660851-4ffa-4136-bafb-a5c8c40811cf"/>
  </ds:schemaRefs>
</ds:datastoreItem>
</file>

<file path=customXml/itemProps3.xml><?xml version="1.0" encoding="utf-8"?>
<ds:datastoreItem xmlns:ds="http://schemas.openxmlformats.org/officeDocument/2006/customXml" ds:itemID="{57FCC55B-FD0B-42EC-9980-4BC91EFE4237}"/>
</file>

<file path=customXml/itemProps4.xml><?xml version="1.0" encoding="utf-8"?>
<ds:datastoreItem xmlns:ds="http://schemas.openxmlformats.org/officeDocument/2006/customXml" ds:itemID="{139B418A-E4DF-45F6-B8C5-C9035CB4A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2656</Characters>
  <Application>Microsoft Office Word</Application>
  <DocSecurity>0</DocSecurity>
  <Lines>379</Lines>
  <Paragraphs>330</Paragraphs>
  <ScaleCrop>false</ScaleCrop>
  <HeadingPairs>
    <vt:vector size="2" baseType="variant">
      <vt:variant>
        <vt:lpstr>שם</vt:lpstr>
      </vt:variant>
      <vt:variant>
        <vt:i4>1</vt:i4>
      </vt:variant>
    </vt:vector>
  </HeadingPairs>
  <TitlesOfParts>
    <vt:vector size="1" baseType="lpstr">
      <vt:lpstr>החלטה מס' 52/20 בעניין עיסוק נוסף כעורך דין שלא בשכר</vt:lpstr>
    </vt:vector>
  </TitlesOfParts>
  <Company>Knesset</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החלטה מס' 52/20 בעניין עיסוק נוסף כעורך דין שלא בשכר</dc:title>
  <dc:subject/>
  <dc:creator>איל ינון</dc:creator>
  <cp:keywords/>
  <dc:description/>
  <cp:lastModifiedBy>דנה הרש</cp:lastModifiedBy>
  <cp:revision>2</cp:revision>
  <cp:lastPrinted>2018-03-13T14:22:00Z</cp:lastPrinted>
  <dcterms:created xsi:type="dcterms:W3CDTF">2018-03-13T14:23:00Z</dcterms:created>
  <dcterms:modified xsi:type="dcterms:W3CDTF">2018-03-13T14:23:00Z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0x0101006E3EF33D1B52BB45A57E9BBA3875562F</vt:lpwstr>
  </property>
  <property fmtid="{D5CDD505-2E9C-101B-9397-08002B2CF9AE}" pid="3" name="ContentType">
    <vt:lpwstr>בסיס</vt:lpwstr>
  </property>
  <property fmtid="{D5CDD505-2E9C-101B-9397-08002B2CF9AE}" pid="4" name="SDCategoryID">
    <vt:lpwstr>49176b140dca;#</vt:lpwstr>
  </property>
  <property fmtid="{D5CDD505-2E9C-101B-9397-08002B2CF9AE}" pid="5" name="z">
    <vt:lpwstr>#RowsetSchema</vt:lpwstr>
  </property>
  <property fmtid="{D5CDD505-2E9C-101B-9397-08002B2CF9AE}" pid="6" name="FileLeafRef">
    <vt:lpwstr>8649;#01250618.docx</vt:lpwstr>
  </property>
  <property fmtid="{D5CDD505-2E9C-101B-9397-08002B2CF9AE}" pid="7" name="Modified_x0020_By">
    <vt:lpwstr>LAN_KNESSET\etish</vt:lpwstr>
  </property>
  <property fmtid="{D5CDD505-2E9C-101B-9397-08002B2CF9AE}" pid="8" name="Created_x0020_By">
    <vt:lpwstr>LAN_KNESSET\shr_tami</vt:lpwstr>
  </property>
  <property fmtid="{D5CDD505-2E9C-101B-9397-08002B2CF9AE}" pid="9" name="File_x0020_Type">
    <vt:lpwstr>docx</vt:lpwstr>
  </property>
  <property fmtid="{D5CDD505-2E9C-101B-9397-08002B2CF9AE}" pid="10" name="AutoNumber">
    <vt:lpwstr>01250618</vt:lpwstr>
  </property>
  <property fmtid="{D5CDD505-2E9C-101B-9397-08002B2CF9AE}" pid="11" name="SDCategories">
    <vt:lpwstr>:ועדות:ועדת האתיקה:כנסת 20:החלטות ועדה שהונחו על שלחן הכנסת;#</vt:lpwstr>
  </property>
  <property fmtid="{D5CDD505-2E9C-101B-9397-08002B2CF9AE}" pid="12" name="SDAuthor">
    <vt:lpwstr>תמי בר</vt:lpwstr>
  </property>
  <property fmtid="{D5CDD505-2E9C-101B-9397-08002B2CF9AE}" pid="13" name="SDDocDate">
    <vt:lpwstr>13/03/2018</vt:lpwstr>
  </property>
  <property fmtid="{D5CDD505-2E9C-101B-9397-08002B2CF9AE}" pid="14" name="SDHebDate">
    <vt:lpwstr>כ"ו באדר, התשע"ח</vt:lpwstr>
  </property>
  <property fmtid="{D5CDD505-2E9C-101B-9397-08002B2CF9AE}" pid="15" name="SDImportance">
    <vt:lpwstr>0</vt:lpwstr>
  </property>
  <property fmtid="{D5CDD505-2E9C-101B-9397-08002B2CF9AE}" pid="16" name="SDDocumentSource">
    <vt:lpwstr>OfficeAddIn</vt:lpwstr>
  </property>
  <property fmtid="{D5CDD505-2E9C-101B-9397-08002B2CF9AE}" pid="17" name="ID">
    <vt:lpwstr>8649</vt:lpwstr>
  </property>
  <property fmtid="{D5CDD505-2E9C-101B-9397-08002B2CF9AE}" pid="18" name="Created">
    <vt:lpwstr>13/03/2018</vt:lpwstr>
  </property>
  <property fmtid="{D5CDD505-2E9C-101B-9397-08002B2CF9AE}" pid="19" name="Author">
    <vt:lpwstr>69;#תמי בר</vt:lpwstr>
  </property>
  <property fmtid="{D5CDD505-2E9C-101B-9397-08002B2CF9AE}" pid="20" name="Modified">
    <vt:lpwstr>13/03/2018</vt:lpwstr>
  </property>
  <property fmtid="{D5CDD505-2E9C-101B-9397-08002B2CF9AE}" pid="21" name="Editor">
    <vt:lpwstr>1802;#אתי שוהם</vt:lpwstr>
  </property>
  <property fmtid="{D5CDD505-2E9C-101B-9397-08002B2CF9AE}" pid="22" name="_ModerationStatus">
    <vt:lpwstr>0</vt:lpwstr>
  </property>
  <property fmtid="{D5CDD505-2E9C-101B-9397-08002B2CF9AE}" pid="23" name="FileRef">
    <vt:lpwstr>8649;#sites/VEADOT/Etika/DocLib/DocLib automatically created by sharedocs 3/01250618.docx</vt:lpwstr>
  </property>
  <property fmtid="{D5CDD505-2E9C-101B-9397-08002B2CF9AE}" pid="24" name="FileDirRef">
    <vt:lpwstr>8649;#sites/VEADOT/Etika/DocLib/DocLib automatically created by sharedocs 3</vt:lpwstr>
  </property>
  <property fmtid="{D5CDD505-2E9C-101B-9397-08002B2CF9AE}" pid="25" name="Last_x0020_Modified">
    <vt:lpwstr>8649;#2018-03-13 15:16:17</vt:lpwstr>
  </property>
  <property fmtid="{D5CDD505-2E9C-101B-9397-08002B2CF9AE}" pid="26" name="Created_x0020_Date">
    <vt:lpwstr>8649;#2018-03-13 13:42:21</vt:lpwstr>
  </property>
  <property fmtid="{D5CDD505-2E9C-101B-9397-08002B2CF9AE}" pid="27" name="File_x0020_Size">
    <vt:lpwstr>8649;#32795</vt:lpwstr>
  </property>
  <property fmtid="{D5CDD505-2E9C-101B-9397-08002B2CF9AE}" pid="28" name="FSObjType">
    <vt:lpwstr>8649;#0</vt:lpwstr>
  </property>
  <property fmtid="{D5CDD505-2E9C-101B-9397-08002B2CF9AE}" pid="29" name="PermMask">
    <vt:lpwstr>0x1b03c4312ef</vt:lpwstr>
  </property>
  <property fmtid="{D5CDD505-2E9C-101B-9397-08002B2CF9AE}" pid="30" name="CheckedOutUserId">
    <vt:lpwstr>8649;#</vt:lpwstr>
  </property>
  <property fmtid="{D5CDD505-2E9C-101B-9397-08002B2CF9AE}" pid="31" name="IsCheckedoutToLocal">
    <vt:lpwstr>8649;#0</vt:lpwstr>
  </property>
  <property fmtid="{D5CDD505-2E9C-101B-9397-08002B2CF9AE}" pid="32" name="UniqueId">
    <vt:lpwstr>8649;#{2B574B8B-0035-4CAD-9316-2FA204AD9F29}</vt:lpwstr>
  </property>
  <property fmtid="{D5CDD505-2E9C-101B-9397-08002B2CF9AE}" pid="33" name="ProgId">
    <vt:lpwstr>8649;#</vt:lpwstr>
  </property>
  <property fmtid="{D5CDD505-2E9C-101B-9397-08002B2CF9AE}" pid="34" name="ScopeId">
    <vt:lpwstr>8649;#{E4B5CAD7-E71C-4322-BD6D-DCFA55344062}</vt:lpwstr>
  </property>
  <property fmtid="{D5CDD505-2E9C-101B-9397-08002B2CF9AE}" pid="35" name="VirusStatus">
    <vt:lpwstr>8649;#32795</vt:lpwstr>
  </property>
  <property fmtid="{D5CDD505-2E9C-101B-9397-08002B2CF9AE}" pid="36" name="CheckedOutTitle">
    <vt:lpwstr>8649;#</vt:lpwstr>
  </property>
  <property fmtid="{D5CDD505-2E9C-101B-9397-08002B2CF9AE}" pid="37" name="_CheckinComment">
    <vt:lpwstr>8649;#</vt:lpwstr>
  </property>
  <property fmtid="{D5CDD505-2E9C-101B-9397-08002B2CF9AE}" pid="38" name="_EditMenuTableStart">
    <vt:lpwstr>01250618.docx</vt:lpwstr>
  </property>
  <property fmtid="{D5CDD505-2E9C-101B-9397-08002B2CF9AE}" pid="39" name="_EditMenuTableEnd">
    <vt:lpwstr>8649</vt:lpwstr>
  </property>
  <property fmtid="{D5CDD505-2E9C-101B-9397-08002B2CF9AE}" pid="40" name="LinkFilenameNoMenu">
    <vt:lpwstr>01250618.docx</vt:lpwstr>
  </property>
  <property fmtid="{D5CDD505-2E9C-101B-9397-08002B2CF9AE}" pid="41" name="LinkFilename">
    <vt:lpwstr>01250618.docx</vt:lpwstr>
  </property>
  <property fmtid="{D5CDD505-2E9C-101B-9397-08002B2CF9AE}" pid="42" name="DocIcon">
    <vt:lpwstr>docx</vt:lpwstr>
  </property>
  <property fmtid="{D5CDD505-2E9C-101B-9397-08002B2CF9AE}" pid="43" name="ServerUrl">
    <vt:lpwstr>/sites/VEADOT/Etika/DocLib/DocLib automatically created by sharedocs 3/01250618.docx</vt:lpwstr>
  </property>
  <property fmtid="{D5CDD505-2E9C-101B-9397-08002B2CF9AE}" pid="44" name="EncodedAbsUrl">
    <vt:lpwstr>http://sd3portal/sites/VEADOT/Etika/DocLib/DocLib%20automatically%20created%20by%20sharedocs%203/01250618.docx</vt:lpwstr>
  </property>
  <property fmtid="{D5CDD505-2E9C-101B-9397-08002B2CF9AE}" pid="45" name="BaseName">
    <vt:lpwstr>01250618</vt:lpwstr>
  </property>
  <property fmtid="{D5CDD505-2E9C-101B-9397-08002B2CF9AE}" pid="46" name="FileSizeDisplay">
    <vt:lpwstr>32795</vt:lpwstr>
  </property>
  <property fmtid="{D5CDD505-2E9C-101B-9397-08002B2CF9AE}" pid="47" name="MetaInfo">
    <vt:lpwstr>8649;#_Level:SW|1
z:SW|#RowsetSchema
Order:SW|864900.000000000
SDLastSigningDate:EW|
Last Modified:SW|8649;#2018-03-13 14:05:43
vti_author:SR|LAN_KNESSET\\shr_tami
SelectTitle:SW|8649
SelectFilename:SW|8649
ParentVersionString:SW|8649;#
MetaInfo:LW|8649;#</vt:lpwstr>
  </property>
  <property fmtid="{D5CDD505-2E9C-101B-9397-08002B2CF9AE}" pid="48" name="_Level">
    <vt:lpwstr>1</vt:lpwstr>
  </property>
  <property fmtid="{D5CDD505-2E9C-101B-9397-08002B2CF9AE}" pid="49" name="_IsCurrentVersion">
    <vt:lpwstr>1</vt:lpwstr>
  </property>
  <property fmtid="{D5CDD505-2E9C-101B-9397-08002B2CF9AE}" pid="50" name="SelectTitle">
    <vt:lpwstr>8649</vt:lpwstr>
  </property>
  <property fmtid="{D5CDD505-2E9C-101B-9397-08002B2CF9AE}" pid="51" name="SelectFilename">
    <vt:lpwstr>8649</vt:lpwstr>
  </property>
  <property fmtid="{D5CDD505-2E9C-101B-9397-08002B2CF9AE}" pid="52" name="Edit">
    <vt:lpwstr>0</vt:lpwstr>
  </property>
  <property fmtid="{D5CDD505-2E9C-101B-9397-08002B2CF9AE}" pid="53" name="owshiddenversion">
    <vt:lpwstr>3</vt:lpwstr>
  </property>
  <property fmtid="{D5CDD505-2E9C-101B-9397-08002B2CF9AE}" pid="54" name="_UIVersion">
    <vt:lpwstr>512</vt:lpwstr>
  </property>
  <property fmtid="{D5CDD505-2E9C-101B-9397-08002B2CF9AE}" pid="55" name="Order">
    <vt:lpwstr>864900.000000000</vt:lpwstr>
  </property>
  <property fmtid="{D5CDD505-2E9C-101B-9397-08002B2CF9AE}" pid="56" name="GUID">
    <vt:lpwstr>{5FFFFD04-3541-43A5-8F4A-A2D6DD3803BD}</vt:lpwstr>
  </property>
  <property fmtid="{D5CDD505-2E9C-101B-9397-08002B2CF9AE}" pid="57" name="WorkflowVersion">
    <vt:lpwstr>1</vt:lpwstr>
  </property>
  <property fmtid="{D5CDD505-2E9C-101B-9397-08002B2CF9AE}" pid="58" name="ParentVersionString">
    <vt:lpwstr>8649;#</vt:lpwstr>
  </property>
  <property fmtid="{D5CDD505-2E9C-101B-9397-08002B2CF9AE}" pid="59" name="ParentLeafName">
    <vt:lpwstr>8649;#</vt:lpwstr>
  </property>
  <property fmtid="{D5CDD505-2E9C-101B-9397-08002B2CF9AE}" pid="60" name="Combine">
    <vt:lpwstr>0</vt:lpwstr>
  </property>
  <property fmtid="{D5CDD505-2E9C-101B-9397-08002B2CF9AE}" pid="61" name="RepairDocument">
    <vt:lpwstr>0</vt:lpwstr>
  </property>
  <property fmtid="{D5CDD505-2E9C-101B-9397-08002B2CF9AE}" pid="62" name="ServerRedirected">
    <vt:lpwstr>0</vt:lpwstr>
  </property>
  <property fmtid="{D5CDD505-2E9C-101B-9397-08002B2CF9AE}" pid="63" name="Last Modified">
    <vt:lpwstr>8649;#2018-03-13 15:16:17</vt:lpwstr>
  </property>
  <property fmtid="{D5CDD505-2E9C-101B-9397-08002B2CF9AE}" pid="64" name="Created Date">
    <vt:lpwstr>8649;#2018-03-13 13:42:21</vt:lpwstr>
  </property>
  <property fmtid="{D5CDD505-2E9C-101B-9397-08002B2CF9AE}" pid="65" name="Created By">
    <vt:lpwstr>LAN_KNESSET\shr_tami</vt:lpwstr>
  </property>
  <property fmtid="{D5CDD505-2E9C-101B-9397-08002B2CF9AE}" pid="66" name="File Type">
    <vt:lpwstr>docx</vt:lpwstr>
  </property>
  <property fmtid="{D5CDD505-2E9C-101B-9397-08002B2CF9AE}" pid="67" name="File Size">
    <vt:lpwstr>8649;#32795</vt:lpwstr>
  </property>
  <property fmtid="{D5CDD505-2E9C-101B-9397-08002B2CF9AE}" pid="68" name="Modified By">
    <vt:lpwstr>LAN_KNESSET\etish</vt:lpwstr>
  </property>
  <property fmtid="{D5CDD505-2E9C-101B-9397-08002B2CF9AE}" pid="69" name="SanhedrinItemID">
    <vt:r8>2066728</vt:r8>
  </property>
  <property fmtid="{D5CDD505-2E9C-101B-9397-08002B2CF9AE}" pid="70" name="SanhedrinDocumentType">
    <vt:r8>81</vt:r8>
  </property>
</Properties>
</file>