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8094F" w14:textId="77777777" w:rsidR="00C1473B" w:rsidRPr="00E635A2" w:rsidRDefault="00C1473B" w:rsidP="00C1473B">
      <w:pPr>
        <w:jc w:val="right"/>
        <w:rPr>
          <w:b/>
          <w:bCs/>
          <w:sz w:val="20"/>
          <w:szCs w:val="20"/>
        </w:rPr>
      </w:pPr>
      <w:bookmarkStart w:id="0" w:name="_GoBack"/>
      <w:bookmarkEnd w:id="0"/>
      <w:r w:rsidRPr="00E635A2">
        <w:rPr>
          <w:rFonts w:hint="cs"/>
          <w:sz w:val="20"/>
          <w:szCs w:val="20"/>
          <w:rtl/>
        </w:rPr>
        <w:t xml:space="preserve">מספר פנימי: </w:t>
      </w:r>
      <w:bookmarkStart w:id="1" w:name="LGS_Internal_ID"/>
      <w:r>
        <w:rPr>
          <w:rFonts w:hint="cs"/>
          <w:sz w:val="20"/>
          <w:szCs w:val="20"/>
          <w:rtl/>
        </w:rPr>
        <w:t>2068446</w:t>
      </w:r>
      <w:bookmarkEnd w:id="1"/>
    </w:p>
    <w:p w14:paraId="54D9E7FA" w14:textId="77777777" w:rsidR="00C1473B" w:rsidRPr="00DB7060" w:rsidRDefault="00C1473B" w:rsidP="00C1473B">
      <w:pPr>
        <w:pStyle w:val="HeadHatzaotHok"/>
        <w:rPr>
          <w:sz w:val="28"/>
          <w:szCs w:val="28"/>
          <w:rtl/>
        </w:rPr>
      </w:pPr>
      <w:r w:rsidRPr="00DB7060">
        <w:rPr>
          <w:rFonts w:hint="cs"/>
          <w:sz w:val="28"/>
          <w:szCs w:val="28"/>
          <w:rtl/>
        </w:rPr>
        <w:t xml:space="preserve">הכנסת </w:t>
      </w:r>
      <w:bookmarkStart w:id="2" w:name="LGS_Knesset_Num"/>
      <w:r>
        <w:rPr>
          <w:rFonts w:hint="cs"/>
          <w:sz w:val="28"/>
          <w:szCs w:val="28"/>
          <w:rtl/>
        </w:rPr>
        <w:t>העשרים</w:t>
      </w:r>
      <w:bookmarkEnd w:id="2"/>
    </w:p>
    <w:p w14:paraId="46A53836" w14:textId="77777777" w:rsidR="00C1473B" w:rsidRPr="00F67051" w:rsidRDefault="00C1473B" w:rsidP="00C1473B">
      <w:pPr>
        <w:rPr>
          <w:b/>
          <w:bCs/>
          <w:sz w:val="26"/>
          <w:szCs w:val="26"/>
          <w:rtl/>
        </w:rPr>
      </w:pPr>
    </w:p>
    <w:p w14:paraId="4B6A5A04" w14:textId="77777777" w:rsidR="00C1473B" w:rsidRDefault="00C1473B" w:rsidP="00C1473B">
      <w:pPr>
        <w:pStyle w:val="David"/>
        <w:ind w:left="3544"/>
        <w:rPr>
          <w:b/>
          <w:bCs/>
          <w:rtl/>
        </w:rPr>
      </w:pPr>
      <w:bookmarkStart w:id="3" w:name="LGS_Initiators_List"/>
      <w:r>
        <w:rPr>
          <w:b/>
          <w:bCs/>
          <w:rtl/>
        </w:rPr>
        <w:t>יוזמים:      חברי הכנסת</w:t>
      </w:r>
      <w:bookmarkEnd w:id="3"/>
      <w:r w:rsidRPr="00F67051">
        <w:rPr>
          <w:b/>
          <w:bCs/>
        </w:rPr>
        <w:tab/>
      </w:r>
      <w:bookmarkStart w:id="4" w:name="LGS_PM_Names"/>
      <w:r>
        <w:rPr>
          <w:rFonts w:hint="cs"/>
          <w:b/>
          <w:bCs/>
          <w:rtl/>
        </w:rPr>
        <w:t>בצלאל סמוטריץ'</w:t>
      </w:r>
      <w:r>
        <w:br/>
      </w:r>
      <w:r>
        <w:rPr>
          <w:rFonts w:hint="cs"/>
          <w:b/>
          <w:bCs/>
          <w:rtl/>
        </w:rPr>
        <w:t xml:space="preserve"> </w:t>
      </w:r>
      <w:r>
        <w:tab/>
      </w:r>
      <w:r>
        <w:tab/>
      </w:r>
      <w:r>
        <w:tab/>
      </w:r>
      <w:r>
        <w:tab/>
      </w:r>
      <w:r>
        <w:rPr>
          <w:rFonts w:hint="cs"/>
          <w:b/>
          <w:bCs/>
          <w:rtl/>
        </w:rPr>
        <w:t>יואב קיש</w:t>
      </w:r>
      <w:bookmarkEnd w:id="4"/>
    </w:p>
    <w:p w14:paraId="4A0C2298" w14:textId="77777777" w:rsidR="00C1473B" w:rsidRPr="00CF1AA2" w:rsidRDefault="00C1473B" w:rsidP="00C1473B">
      <w:pPr>
        <w:pStyle w:val="David"/>
        <w:ind w:left="3544"/>
        <w:rPr>
          <w:b/>
          <w:bCs/>
          <w:sz w:val="16"/>
          <w:szCs w:val="16"/>
          <w:rtl/>
        </w:rPr>
      </w:pPr>
      <w:bookmarkStart w:id="5" w:name="LGS_Join_List"/>
      <w:r>
        <w:rPr>
          <w:rtl/>
        </w:rPr>
        <w:t xml:space="preserve"> </w:t>
      </w:r>
      <w:bookmarkEnd w:id="5"/>
      <w:r w:rsidRPr="00CF1AA2">
        <w:rPr>
          <w:rFonts w:hint="cs"/>
          <w:rtl/>
        </w:rPr>
        <w:tab/>
      </w:r>
      <w:bookmarkStart w:id="6" w:name="LGS_PM_NamesJoin"/>
      <w:r>
        <w:rPr>
          <w:rFonts w:hint="cs"/>
          <w:rtl/>
        </w:rPr>
        <w:t xml:space="preserve"> </w:t>
      </w:r>
      <w:bookmarkEnd w:id="6"/>
    </w:p>
    <w:p w14:paraId="4E980493" w14:textId="49B608D0" w:rsidR="00C1473B" w:rsidRPr="00904591" w:rsidRDefault="00C1473B" w:rsidP="008D1E37">
      <w:pPr>
        <w:pStyle w:val="David"/>
        <w:ind w:left="3544"/>
        <w:rPr>
          <w:sz w:val="4"/>
          <w:szCs w:val="4"/>
          <w:rtl/>
        </w:rPr>
      </w:pPr>
      <w:r>
        <w:t>______________________________________________</w:t>
      </w:r>
      <w:r w:rsidRPr="00E06736">
        <w:tab/>
      </w:r>
      <w:r w:rsidRPr="00E06736">
        <w:rPr>
          <w:rFonts w:hint="cs"/>
          <w:rtl/>
        </w:rPr>
        <w:tab/>
      </w:r>
      <w:r w:rsidRPr="00E06736">
        <w:rPr>
          <w:rFonts w:hint="cs"/>
          <w:rtl/>
        </w:rPr>
        <w:tab/>
      </w:r>
      <w:r w:rsidRPr="00E06736">
        <w:rPr>
          <w:rFonts w:hint="cs"/>
          <w:rtl/>
        </w:rPr>
        <w:tab/>
      </w:r>
      <w:r w:rsidR="008D1E37">
        <w:rPr>
          <w:rFonts w:asciiTheme="minorHAnsi" w:hAnsiTheme="minorHAnsi"/>
        </w:rPr>
        <w:tab/>
      </w:r>
      <w:r>
        <w:t xml:space="preserve"> </w:t>
      </w:r>
      <w:r w:rsidR="008D1E37">
        <w:rPr>
          <w:rFonts w:hint="cs"/>
          <w:rtl/>
        </w:rPr>
        <w:t>פ/5361/20</w:t>
      </w:r>
      <w:r>
        <w:t xml:space="preserve">      </w:t>
      </w:r>
    </w:p>
    <w:p w14:paraId="38F44FB3" w14:textId="77777777" w:rsidR="00C1473B" w:rsidRDefault="00C1473B" w:rsidP="00C1473B">
      <w:pPr>
        <w:pStyle w:val="HeadHatzaotHok"/>
        <w:rPr>
          <w:rtl/>
        </w:rPr>
      </w:pPr>
      <w:bookmarkStart w:id="7" w:name="LGS_Subject"/>
      <w:r>
        <w:rPr>
          <w:rFonts w:hint="cs"/>
          <w:rtl/>
        </w:rPr>
        <w:t xml:space="preserve">הצעת חוק מעמדן של ההסתדרות הציונית העולמית ושל הסוכנות היהודית לארץ-ישראל (תיקון – ניהול והקצאת מקרקעין באזור יהודה והשומרון על ידי החטיבה להתיישבות), </w:t>
      </w:r>
      <w:proofErr w:type="spellStart"/>
      <w:r>
        <w:rPr>
          <w:rFonts w:hint="cs"/>
          <w:rtl/>
        </w:rPr>
        <w:t>התשע"ח</w:t>
      </w:r>
      <w:proofErr w:type="spellEnd"/>
      <w:r>
        <w:rPr>
          <w:rFonts w:hint="cs"/>
          <w:rtl/>
        </w:rPr>
        <w:t>–2018</w:t>
      </w:r>
      <w:bookmarkEnd w:id="7"/>
    </w:p>
    <w:p w14:paraId="0FA246C5" w14:textId="77777777" w:rsidR="00C1473B" w:rsidRPr="00F67051" w:rsidRDefault="00C1473B" w:rsidP="00C1473B">
      <w:pPr>
        <w:pStyle w:val="HeadHatzaotHok"/>
        <w:rPr>
          <w:rtl/>
        </w:rPr>
      </w:pPr>
    </w:p>
    <w:tbl>
      <w:tblPr>
        <w:bidiVisual/>
        <w:tblW w:w="9639" w:type="dxa"/>
        <w:tblLayout w:type="fixed"/>
        <w:tblCellMar>
          <w:top w:w="57" w:type="dxa"/>
          <w:left w:w="0" w:type="dxa"/>
          <w:bottom w:w="57" w:type="dxa"/>
          <w:right w:w="0" w:type="dxa"/>
        </w:tblCellMar>
        <w:tblLook w:val="01E0" w:firstRow="1" w:lastRow="1" w:firstColumn="1" w:lastColumn="1" w:noHBand="0" w:noVBand="0"/>
      </w:tblPr>
      <w:tblGrid>
        <w:gridCol w:w="1872"/>
        <w:gridCol w:w="624"/>
        <w:gridCol w:w="624"/>
        <w:gridCol w:w="624"/>
        <w:gridCol w:w="624"/>
        <w:gridCol w:w="624"/>
        <w:gridCol w:w="624"/>
        <w:gridCol w:w="4023"/>
      </w:tblGrid>
      <w:tr w:rsidR="00C1473B" w:rsidRPr="00A852C4" w14:paraId="46BD1054" w14:textId="77777777" w:rsidTr="00FB6661">
        <w:trPr>
          <w:cantSplit/>
        </w:trPr>
        <w:tc>
          <w:tcPr>
            <w:tcW w:w="1872" w:type="dxa"/>
            <w:shd w:val="clear" w:color="auto" w:fill="auto"/>
          </w:tcPr>
          <w:p w14:paraId="5F81A4A5" w14:textId="77777777" w:rsidR="00C1473B" w:rsidRPr="00CD7159" w:rsidRDefault="00C1473B" w:rsidP="00FB6661">
            <w:pPr>
              <w:pStyle w:val="TableSideHeading"/>
              <w:keepLines w:val="0"/>
              <w:ind w:right="-28"/>
              <w:rPr>
                <w:rtl/>
              </w:rPr>
            </w:pPr>
            <w:r>
              <w:rPr>
                <w:rFonts w:hint="cs"/>
                <w:rtl/>
              </w:rPr>
              <w:t>הוספת</w:t>
            </w:r>
            <w:r w:rsidRPr="00A500B1">
              <w:rPr>
                <w:rFonts w:hint="cs"/>
                <w:rtl/>
              </w:rPr>
              <w:t xml:space="preserve"> סעי</w:t>
            </w:r>
            <w:r>
              <w:rPr>
                <w:rFonts w:hint="cs"/>
                <w:rtl/>
              </w:rPr>
              <w:t>ף</w:t>
            </w:r>
            <w:r w:rsidRPr="00A500B1">
              <w:rPr>
                <w:rFonts w:hint="cs"/>
                <w:rtl/>
              </w:rPr>
              <w:t xml:space="preserve"> 6</w:t>
            </w:r>
            <w:r>
              <w:rPr>
                <w:rFonts w:hint="cs"/>
                <w:rtl/>
              </w:rPr>
              <w:t>ג</w:t>
            </w:r>
          </w:p>
        </w:tc>
        <w:tc>
          <w:tcPr>
            <w:tcW w:w="624" w:type="dxa"/>
            <w:shd w:val="clear" w:color="auto" w:fill="auto"/>
          </w:tcPr>
          <w:p w14:paraId="0B9626CF" w14:textId="77777777" w:rsidR="00C1473B" w:rsidRPr="00CD7159" w:rsidRDefault="00C1473B" w:rsidP="00FB6661">
            <w:pPr>
              <w:pStyle w:val="TableText"/>
              <w:keepLines w:val="0"/>
              <w:ind w:right="-28"/>
              <w:rPr>
                <w:rtl/>
              </w:rPr>
            </w:pPr>
            <w:r>
              <w:rPr>
                <w:rFonts w:hint="cs"/>
                <w:rtl/>
              </w:rPr>
              <w:t xml:space="preserve">1. </w:t>
            </w:r>
          </w:p>
        </w:tc>
        <w:tc>
          <w:tcPr>
            <w:tcW w:w="7143" w:type="dxa"/>
            <w:gridSpan w:val="6"/>
            <w:shd w:val="clear" w:color="auto" w:fill="auto"/>
          </w:tcPr>
          <w:p w14:paraId="1A5B9703" w14:textId="77777777" w:rsidR="00C1473B" w:rsidRPr="006463B5" w:rsidRDefault="00C1473B" w:rsidP="00FB6661">
            <w:pPr>
              <w:pStyle w:val="TableBlock"/>
              <w:rPr>
                <w:rtl/>
              </w:rPr>
            </w:pPr>
            <w:r w:rsidRPr="006463B5">
              <w:rPr>
                <w:rFonts w:hint="cs"/>
                <w:rtl/>
              </w:rPr>
              <w:t>בחוק</w:t>
            </w:r>
            <w:r w:rsidRPr="006463B5">
              <w:rPr>
                <w:rtl/>
              </w:rPr>
              <w:t xml:space="preserve"> מעמדן של ההסתדרות הציונית העולמית ושל הסוכנות היהודית</w:t>
            </w:r>
            <w:r w:rsidRPr="006463B5">
              <w:rPr>
                <w:rFonts w:hint="cs"/>
                <w:rtl/>
              </w:rPr>
              <w:t xml:space="preserve"> </w:t>
            </w:r>
            <w:r w:rsidRPr="006463B5">
              <w:rPr>
                <w:rtl/>
              </w:rPr>
              <w:t xml:space="preserve">לארץ-ישראל, </w:t>
            </w:r>
            <w:proofErr w:type="spellStart"/>
            <w:r w:rsidRPr="006463B5">
              <w:rPr>
                <w:rFonts w:hint="cs"/>
                <w:rtl/>
              </w:rPr>
              <w:t>ה</w:t>
            </w:r>
            <w:r w:rsidRPr="006463B5">
              <w:rPr>
                <w:rtl/>
              </w:rPr>
              <w:t>תשי"ג</w:t>
            </w:r>
            <w:proofErr w:type="spellEnd"/>
            <w:r w:rsidRPr="006463B5">
              <w:rPr>
                <w:rtl/>
              </w:rPr>
              <w:t>–1952</w:t>
            </w:r>
            <w:r w:rsidRPr="006463B5">
              <w:rPr>
                <w:rFonts w:hint="cs"/>
                <w:rtl/>
              </w:rPr>
              <w:t>‏</w:t>
            </w:r>
            <w:r>
              <w:rPr>
                <w:rStyle w:val="a6"/>
                <w:rtl/>
              </w:rPr>
              <w:footnoteReference w:id="2"/>
            </w:r>
            <w:r w:rsidRPr="006463B5">
              <w:rPr>
                <w:rFonts w:hint="cs"/>
                <w:rtl/>
              </w:rPr>
              <w:t>, אחרי סעיף 6ב יבוא:</w:t>
            </w:r>
          </w:p>
        </w:tc>
      </w:tr>
      <w:tr w:rsidR="00C1473B" w14:paraId="38DAE956" w14:textId="77777777" w:rsidTr="00FB6661">
        <w:trPr>
          <w:cantSplit/>
        </w:trPr>
        <w:tc>
          <w:tcPr>
            <w:tcW w:w="1872" w:type="dxa"/>
          </w:tcPr>
          <w:p w14:paraId="5E282FDE" w14:textId="77777777" w:rsidR="00C1473B" w:rsidRDefault="00C1473B" w:rsidP="00FB6661">
            <w:pPr>
              <w:pStyle w:val="TableSideHeading"/>
              <w:keepLines w:val="0"/>
            </w:pPr>
          </w:p>
        </w:tc>
        <w:tc>
          <w:tcPr>
            <w:tcW w:w="624" w:type="dxa"/>
          </w:tcPr>
          <w:p w14:paraId="46C1512F" w14:textId="77777777" w:rsidR="00C1473B" w:rsidRDefault="00C1473B" w:rsidP="00FB6661">
            <w:pPr>
              <w:pStyle w:val="TableText"/>
              <w:keepLines w:val="0"/>
            </w:pPr>
          </w:p>
        </w:tc>
        <w:tc>
          <w:tcPr>
            <w:tcW w:w="1872" w:type="dxa"/>
            <w:gridSpan w:val="3"/>
          </w:tcPr>
          <w:p w14:paraId="01544362" w14:textId="77777777" w:rsidR="00C1473B" w:rsidRDefault="00C1473B" w:rsidP="00FB6661">
            <w:pPr>
              <w:pStyle w:val="TableInnerSideHeading"/>
            </w:pPr>
            <w:r>
              <w:rPr>
                <w:rFonts w:hint="cs"/>
                <w:rtl/>
              </w:rPr>
              <w:t>"הקצאת מקרקעין באזור לחטיבה להתיישבות</w:t>
            </w:r>
          </w:p>
        </w:tc>
        <w:tc>
          <w:tcPr>
            <w:tcW w:w="624" w:type="dxa"/>
          </w:tcPr>
          <w:p w14:paraId="18A9A8C6" w14:textId="77777777" w:rsidR="00C1473B" w:rsidRDefault="00C1473B" w:rsidP="00FB6661">
            <w:pPr>
              <w:pStyle w:val="TableText"/>
            </w:pPr>
            <w:r>
              <w:rPr>
                <w:rFonts w:hint="cs"/>
                <w:rtl/>
              </w:rPr>
              <w:t>6ג.</w:t>
            </w:r>
          </w:p>
        </w:tc>
        <w:tc>
          <w:tcPr>
            <w:tcW w:w="4647" w:type="dxa"/>
            <w:gridSpan w:val="2"/>
          </w:tcPr>
          <w:p w14:paraId="3FBC60D0" w14:textId="77777777" w:rsidR="00C1473B" w:rsidRPr="00CA0CC8" w:rsidRDefault="00C1473B" w:rsidP="00FB6661">
            <w:pPr>
              <w:pStyle w:val="TableBlock"/>
            </w:pPr>
            <w:r>
              <w:rPr>
                <w:rFonts w:hint="cs"/>
                <w:rtl/>
              </w:rPr>
              <w:t>(א)</w:t>
            </w:r>
            <w:r>
              <w:rPr>
                <w:rtl/>
              </w:rPr>
              <w:tab/>
            </w:r>
            <w:r>
              <w:rPr>
                <w:rFonts w:hint="cs"/>
                <w:rtl/>
              </w:rPr>
              <w:t xml:space="preserve">בסעיף זה </w:t>
            </w:r>
            <w:r>
              <w:rPr>
                <w:rFonts w:hint="eastAsia"/>
              </w:rPr>
              <w:t>–</w:t>
            </w:r>
          </w:p>
        </w:tc>
      </w:tr>
      <w:tr w:rsidR="00C1473B" w14:paraId="34983C47" w14:textId="77777777" w:rsidTr="00FB6661">
        <w:trPr>
          <w:cantSplit/>
        </w:trPr>
        <w:tc>
          <w:tcPr>
            <w:tcW w:w="1872" w:type="dxa"/>
          </w:tcPr>
          <w:p w14:paraId="41365B43" w14:textId="77777777" w:rsidR="00C1473B" w:rsidRDefault="00C1473B" w:rsidP="00FB6661">
            <w:pPr>
              <w:pStyle w:val="TableSideHeading"/>
            </w:pPr>
          </w:p>
        </w:tc>
        <w:tc>
          <w:tcPr>
            <w:tcW w:w="624" w:type="dxa"/>
          </w:tcPr>
          <w:p w14:paraId="5D57FD11" w14:textId="77777777" w:rsidR="00C1473B" w:rsidRDefault="00C1473B" w:rsidP="00FB6661">
            <w:pPr>
              <w:pStyle w:val="TableText"/>
            </w:pPr>
          </w:p>
        </w:tc>
        <w:tc>
          <w:tcPr>
            <w:tcW w:w="624" w:type="dxa"/>
          </w:tcPr>
          <w:p w14:paraId="13946C51" w14:textId="77777777" w:rsidR="00C1473B" w:rsidRDefault="00C1473B" w:rsidP="00FB6661">
            <w:pPr>
              <w:pStyle w:val="TableText"/>
            </w:pPr>
          </w:p>
        </w:tc>
        <w:tc>
          <w:tcPr>
            <w:tcW w:w="624" w:type="dxa"/>
          </w:tcPr>
          <w:p w14:paraId="400C0B8F" w14:textId="77777777" w:rsidR="00C1473B" w:rsidRDefault="00C1473B" w:rsidP="00FB6661">
            <w:pPr>
              <w:pStyle w:val="TableText"/>
            </w:pPr>
          </w:p>
        </w:tc>
        <w:tc>
          <w:tcPr>
            <w:tcW w:w="624" w:type="dxa"/>
          </w:tcPr>
          <w:p w14:paraId="29244644" w14:textId="77777777" w:rsidR="00C1473B" w:rsidRDefault="00C1473B" w:rsidP="00FB6661">
            <w:pPr>
              <w:pStyle w:val="TableText"/>
            </w:pPr>
          </w:p>
        </w:tc>
        <w:tc>
          <w:tcPr>
            <w:tcW w:w="624" w:type="dxa"/>
          </w:tcPr>
          <w:p w14:paraId="6FA865F5" w14:textId="77777777" w:rsidR="00C1473B" w:rsidRDefault="00C1473B" w:rsidP="00FB6661">
            <w:pPr>
              <w:pStyle w:val="TableText"/>
            </w:pPr>
          </w:p>
        </w:tc>
        <w:tc>
          <w:tcPr>
            <w:tcW w:w="4647" w:type="dxa"/>
            <w:gridSpan w:val="2"/>
          </w:tcPr>
          <w:p w14:paraId="2A5C5E3E" w14:textId="77777777" w:rsidR="00C1473B" w:rsidRPr="006D0C8B" w:rsidRDefault="00C1473B" w:rsidP="00FB6661">
            <w:pPr>
              <w:pStyle w:val="TableBlockOutdent"/>
              <w:rPr>
                <w:rtl/>
              </w:rPr>
            </w:pPr>
            <w:r w:rsidRPr="006D0C8B">
              <w:rPr>
                <w:rFonts w:hint="cs"/>
                <w:rtl/>
              </w:rPr>
              <w:t xml:space="preserve">"אזור" </w:t>
            </w:r>
            <w:r w:rsidRPr="006D0C8B">
              <w:rPr>
                <w:rtl/>
              </w:rPr>
              <w:t>–</w:t>
            </w:r>
            <w:r w:rsidRPr="006D0C8B">
              <w:rPr>
                <w:rFonts w:hint="cs"/>
                <w:rtl/>
              </w:rPr>
              <w:t xml:space="preserve"> כהגדרתו </w:t>
            </w:r>
            <w:r w:rsidRPr="006D0C8B">
              <w:rPr>
                <w:rtl/>
              </w:rPr>
              <w:t xml:space="preserve">בחוק לתיקון ולהארכת תקפן של תקנות שעת-חירום (יהודה והשומרון – שיפוט בעבירות ועזרה משפטית), </w:t>
            </w:r>
            <w:proofErr w:type="spellStart"/>
            <w:r w:rsidRPr="006D0C8B">
              <w:rPr>
                <w:rtl/>
              </w:rPr>
              <w:t>התש</w:t>
            </w:r>
            <w:r w:rsidRPr="006D0C8B">
              <w:rPr>
                <w:rFonts w:hint="cs"/>
                <w:rtl/>
              </w:rPr>
              <w:t>כ</w:t>
            </w:r>
            <w:r w:rsidRPr="006D0C8B">
              <w:rPr>
                <w:rtl/>
              </w:rPr>
              <w:t>"ז</w:t>
            </w:r>
            <w:proofErr w:type="spellEnd"/>
            <w:r w:rsidRPr="006D0C8B">
              <w:rPr>
                <w:rtl/>
              </w:rPr>
              <w:t>–</w:t>
            </w:r>
            <w:r w:rsidRPr="006D0C8B">
              <w:rPr>
                <w:rFonts w:hint="cs"/>
                <w:rtl/>
              </w:rPr>
              <w:t>1967</w:t>
            </w:r>
            <w:r>
              <w:rPr>
                <w:rStyle w:val="a6"/>
                <w:rtl/>
              </w:rPr>
              <w:footnoteReference w:id="3"/>
            </w:r>
            <w:r w:rsidRPr="006D0C8B">
              <w:rPr>
                <w:rFonts w:hint="cs"/>
                <w:rtl/>
              </w:rPr>
              <w:t>;</w:t>
            </w:r>
          </w:p>
        </w:tc>
      </w:tr>
      <w:tr w:rsidR="00C1473B" w14:paraId="39AC3EEC" w14:textId="77777777" w:rsidTr="00FB6661">
        <w:trPr>
          <w:cantSplit/>
        </w:trPr>
        <w:tc>
          <w:tcPr>
            <w:tcW w:w="1872" w:type="dxa"/>
          </w:tcPr>
          <w:p w14:paraId="4F4D3BC5" w14:textId="77777777" w:rsidR="00C1473B" w:rsidRPr="003233BF" w:rsidRDefault="00C1473B" w:rsidP="00FB6661">
            <w:pPr>
              <w:pStyle w:val="TableSideHeading"/>
              <w:outlineLvl w:val="9"/>
              <w:rPr>
                <w:rtl/>
              </w:rPr>
            </w:pPr>
          </w:p>
        </w:tc>
        <w:tc>
          <w:tcPr>
            <w:tcW w:w="624" w:type="dxa"/>
          </w:tcPr>
          <w:p w14:paraId="60FAD572" w14:textId="77777777" w:rsidR="00C1473B" w:rsidRDefault="00C1473B" w:rsidP="00FB6661">
            <w:pPr>
              <w:pStyle w:val="TableText"/>
            </w:pPr>
          </w:p>
        </w:tc>
        <w:tc>
          <w:tcPr>
            <w:tcW w:w="624" w:type="dxa"/>
          </w:tcPr>
          <w:p w14:paraId="11DB714D" w14:textId="77777777" w:rsidR="00C1473B" w:rsidRDefault="00C1473B" w:rsidP="00FB6661">
            <w:pPr>
              <w:pStyle w:val="TableText"/>
            </w:pPr>
          </w:p>
        </w:tc>
        <w:tc>
          <w:tcPr>
            <w:tcW w:w="624" w:type="dxa"/>
          </w:tcPr>
          <w:p w14:paraId="2A964641" w14:textId="77777777" w:rsidR="00C1473B" w:rsidRDefault="00C1473B" w:rsidP="00FB6661">
            <w:pPr>
              <w:pStyle w:val="TableText"/>
            </w:pPr>
          </w:p>
        </w:tc>
        <w:tc>
          <w:tcPr>
            <w:tcW w:w="624" w:type="dxa"/>
          </w:tcPr>
          <w:p w14:paraId="6211F6B1" w14:textId="77777777" w:rsidR="00C1473B" w:rsidRDefault="00C1473B" w:rsidP="00FB6661">
            <w:pPr>
              <w:pStyle w:val="TableText"/>
            </w:pPr>
          </w:p>
        </w:tc>
        <w:tc>
          <w:tcPr>
            <w:tcW w:w="624" w:type="dxa"/>
          </w:tcPr>
          <w:p w14:paraId="6631BE4A" w14:textId="77777777" w:rsidR="00C1473B" w:rsidRDefault="00C1473B" w:rsidP="00FB6661">
            <w:pPr>
              <w:pStyle w:val="TableText"/>
            </w:pPr>
          </w:p>
        </w:tc>
        <w:tc>
          <w:tcPr>
            <w:tcW w:w="4647" w:type="dxa"/>
            <w:gridSpan w:val="2"/>
          </w:tcPr>
          <w:p w14:paraId="1D5DFC7E" w14:textId="77777777" w:rsidR="00C1473B" w:rsidRPr="006D0C8B" w:rsidRDefault="00C1473B" w:rsidP="00FB6661">
            <w:pPr>
              <w:pStyle w:val="TableBlockOutdent"/>
              <w:rPr>
                <w:rtl/>
              </w:rPr>
            </w:pPr>
            <w:r w:rsidRPr="006D0C8B">
              <w:rPr>
                <w:rFonts w:hint="cs"/>
                <w:rtl/>
              </w:rPr>
              <w:t xml:space="preserve">"הממונה" </w:t>
            </w:r>
            <w:r w:rsidRPr="006D0C8B">
              <w:rPr>
                <w:rtl/>
              </w:rPr>
              <w:t>–</w:t>
            </w:r>
            <w:r w:rsidRPr="006D0C8B">
              <w:rPr>
                <w:rFonts w:hint="cs"/>
                <w:rtl/>
              </w:rPr>
              <w:t xml:space="preserve"> הממונה על הרכוש הממשלתי והנטוש באזור יהודה ושומרון לפי הצו בדבר רכוש ממשלתי (יהודה והשומרון) (מס' 59), </w:t>
            </w:r>
            <w:proofErr w:type="spellStart"/>
            <w:r w:rsidRPr="006D0C8B">
              <w:rPr>
                <w:rFonts w:hint="cs"/>
                <w:rtl/>
              </w:rPr>
              <w:t>התשכ"ז</w:t>
            </w:r>
            <w:proofErr w:type="spellEnd"/>
            <w:r w:rsidRPr="006D0C8B">
              <w:rPr>
                <w:rtl/>
              </w:rPr>
              <w:t>–</w:t>
            </w:r>
            <w:r w:rsidRPr="006D0C8B">
              <w:rPr>
                <w:rFonts w:hint="cs"/>
                <w:rtl/>
              </w:rPr>
              <w:t>1967</w:t>
            </w:r>
            <w:r>
              <w:rPr>
                <w:rStyle w:val="a6"/>
                <w:rtl/>
              </w:rPr>
              <w:footnoteReference w:id="4"/>
            </w:r>
            <w:r w:rsidRPr="004A42D6">
              <w:rPr>
                <w:rFonts w:hint="cs"/>
                <w:vertAlign w:val="superscript"/>
                <w:rtl/>
              </w:rPr>
              <w:t xml:space="preserve"> </w:t>
            </w:r>
            <w:r w:rsidRPr="006D0C8B">
              <w:rPr>
                <w:rFonts w:hint="cs"/>
                <w:rtl/>
              </w:rPr>
              <w:t xml:space="preserve">(להלן </w:t>
            </w:r>
            <w:r w:rsidRPr="006D0C8B">
              <w:rPr>
                <w:rtl/>
              </w:rPr>
              <w:t>–</w:t>
            </w:r>
            <w:r w:rsidRPr="006D0C8B">
              <w:rPr>
                <w:rFonts w:hint="cs"/>
                <w:rtl/>
              </w:rPr>
              <w:t xml:space="preserve"> הצו בדבר רכוש ממשלתי), </w:t>
            </w:r>
            <w:r>
              <w:rPr>
                <w:rFonts w:hint="cs"/>
                <w:rtl/>
              </w:rPr>
              <w:t>וה</w:t>
            </w:r>
            <w:r w:rsidRPr="006D0C8B">
              <w:rPr>
                <w:rtl/>
              </w:rPr>
              <w:t>צו בדבר נכסים נטושים (רכוש הפרט) (אזור הגדה המערבית) (מס' 58),</w:t>
            </w:r>
            <w:r w:rsidRPr="006D0C8B">
              <w:rPr>
                <w:rFonts w:hint="cs"/>
                <w:rtl/>
              </w:rPr>
              <w:t xml:space="preserve"> </w:t>
            </w:r>
            <w:proofErr w:type="spellStart"/>
            <w:r w:rsidRPr="006D0C8B">
              <w:rPr>
                <w:rFonts w:hint="cs"/>
                <w:rtl/>
              </w:rPr>
              <w:t>ה</w:t>
            </w:r>
            <w:r w:rsidRPr="006D0C8B">
              <w:rPr>
                <w:rtl/>
              </w:rPr>
              <w:t>תשכ"ז</w:t>
            </w:r>
            <w:proofErr w:type="spellEnd"/>
            <w:r w:rsidRPr="006D0C8B">
              <w:rPr>
                <w:rFonts w:hint="cs"/>
                <w:rtl/>
              </w:rPr>
              <w:t>–</w:t>
            </w:r>
            <w:r w:rsidRPr="006D0C8B">
              <w:rPr>
                <w:rtl/>
              </w:rPr>
              <w:t>1967</w:t>
            </w:r>
            <w:r>
              <w:rPr>
                <w:rStyle w:val="a6"/>
                <w:rtl/>
              </w:rPr>
              <w:footnoteReference w:id="5"/>
            </w:r>
            <w:r w:rsidRPr="006D0C8B">
              <w:rPr>
                <w:rFonts w:hint="cs"/>
                <w:rtl/>
              </w:rPr>
              <w:t xml:space="preserve"> (להלן –</w:t>
            </w:r>
            <w:r w:rsidRPr="006D0C8B">
              <w:rPr>
                <w:rtl/>
              </w:rPr>
              <w:t xml:space="preserve"> </w:t>
            </w:r>
            <w:r w:rsidRPr="006D0C8B">
              <w:rPr>
                <w:rFonts w:hint="cs"/>
                <w:rtl/>
              </w:rPr>
              <w:t>ה</w:t>
            </w:r>
            <w:r w:rsidRPr="006D0C8B">
              <w:rPr>
                <w:rtl/>
              </w:rPr>
              <w:t>צו בדבר נכסים נטושים</w:t>
            </w:r>
            <w:r w:rsidRPr="006D0C8B">
              <w:rPr>
                <w:rFonts w:hint="cs"/>
                <w:rtl/>
              </w:rPr>
              <w:t>);</w:t>
            </w:r>
          </w:p>
        </w:tc>
      </w:tr>
      <w:tr w:rsidR="00C1473B" w14:paraId="73A5563A" w14:textId="77777777" w:rsidTr="00FB6661">
        <w:trPr>
          <w:cantSplit/>
        </w:trPr>
        <w:tc>
          <w:tcPr>
            <w:tcW w:w="1872" w:type="dxa"/>
          </w:tcPr>
          <w:p w14:paraId="1FF6B2B6" w14:textId="77777777" w:rsidR="00C1473B" w:rsidRDefault="00C1473B" w:rsidP="00FB6661">
            <w:pPr>
              <w:pStyle w:val="TableSideHeading"/>
            </w:pPr>
          </w:p>
        </w:tc>
        <w:tc>
          <w:tcPr>
            <w:tcW w:w="624" w:type="dxa"/>
          </w:tcPr>
          <w:p w14:paraId="5632B4D3" w14:textId="77777777" w:rsidR="00C1473B" w:rsidRDefault="00C1473B" w:rsidP="00FB6661">
            <w:pPr>
              <w:pStyle w:val="TableText"/>
            </w:pPr>
          </w:p>
        </w:tc>
        <w:tc>
          <w:tcPr>
            <w:tcW w:w="624" w:type="dxa"/>
          </w:tcPr>
          <w:p w14:paraId="724FF225" w14:textId="77777777" w:rsidR="00C1473B" w:rsidRDefault="00C1473B" w:rsidP="00FB6661">
            <w:pPr>
              <w:pStyle w:val="TableText"/>
            </w:pPr>
          </w:p>
        </w:tc>
        <w:tc>
          <w:tcPr>
            <w:tcW w:w="624" w:type="dxa"/>
          </w:tcPr>
          <w:p w14:paraId="00095A13" w14:textId="77777777" w:rsidR="00C1473B" w:rsidRDefault="00C1473B" w:rsidP="00FB6661">
            <w:pPr>
              <w:pStyle w:val="TableText"/>
            </w:pPr>
          </w:p>
        </w:tc>
        <w:tc>
          <w:tcPr>
            <w:tcW w:w="624" w:type="dxa"/>
          </w:tcPr>
          <w:p w14:paraId="01D13C49" w14:textId="77777777" w:rsidR="00C1473B" w:rsidRDefault="00C1473B" w:rsidP="00FB6661">
            <w:pPr>
              <w:pStyle w:val="TableText"/>
            </w:pPr>
          </w:p>
        </w:tc>
        <w:tc>
          <w:tcPr>
            <w:tcW w:w="624" w:type="dxa"/>
          </w:tcPr>
          <w:p w14:paraId="53026488" w14:textId="77777777" w:rsidR="00C1473B" w:rsidRDefault="00C1473B" w:rsidP="00FB6661">
            <w:pPr>
              <w:pStyle w:val="TableText"/>
            </w:pPr>
          </w:p>
        </w:tc>
        <w:tc>
          <w:tcPr>
            <w:tcW w:w="4647" w:type="dxa"/>
            <w:gridSpan w:val="2"/>
          </w:tcPr>
          <w:p w14:paraId="1DD79CC1" w14:textId="77777777" w:rsidR="00C1473B" w:rsidRPr="00AF72F6" w:rsidRDefault="00C1473B" w:rsidP="00FB6661">
            <w:pPr>
              <w:pStyle w:val="TableBlockOutdent"/>
              <w:rPr>
                <w:rtl/>
              </w:rPr>
            </w:pPr>
            <w:r>
              <w:rPr>
                <w:rFonts w:hint="cs"/>
                <w:rtl/>
              </w:rPr>
              <w:t xml:space="preserve">"ההסתדרות" </w:t>
            </w:r>
            <w:r>
              <w:rPr>
                <w:rtl/>
              </w:rPr>
              <w:t>–</w:t>
            </w:r>
            <w:r>
              <w:rPr>
                <w:rFonts w:hint="cs"/>
                <w:rtl/>
              </w:rPr>
              <w:t xml:space="preserve"> ההסתדרות הציונית העולמית באמצעות החטיבה להתיישבות;</w:t>
            </w:r>
          </w:p>
        </w:tc>
      </w:tr>
      <w:tr w:rsidR="00C1473B" w14:paraId="38197DE2" w14:textId="77777777" w:rsidTr="00FB6661">
        <w:trPr>
          <w:cantSplit/>
        </w:trPr>
        <w:tc>
          <w:tcPr>
            <w:tcW w:w="1872" w:type="dxa"/>
          </w:tcPr>
          <w:p w14:paraId="28E9DF2A" w14:textId="77777777" w:rsidR="00C1473B" w:rsidRDefault="00C1473B" w:rsidP="00FB6661">
            <w:pPr>
              <w:pStyle w:val="TableSideHeading"/>
            </w:pPr>
          </w:p>
        </w:tc>
        <w:tc>
          <w:tcPr>
            <w:tcW w:w="624" w:type="dxa"/>
          </w:tcPr>
          <w:p w14:paraId="2F231DE8" w14:textId="77777777" w:rsidR="00C1473B" w:rsidRDefault="00C1473B" w:rsidP="00FB6661">
            <w:pPr>
              <w:pStyle w:val="TableText"/>
            </w:pPr>
          </w:p>
        </w:tc>
        <w:tc>
          <w:tcPr>
            <w:tcW w:w="624" w:type="dxa"/>
          </w:tcPr>
          <w:p w14:paraId="713F2A57" w14:textId="77777777" w:rsidR="00C1473B" w:rsidRDefault="00C1473B" w:rsidP="00FB6661">
            <w:pPr>
              <w:pStyle w:val="TableText"/>
            </w:pPr>
          </w:p>
        </w:tc>
        <w:tc>
          <w:tcPr>
            <w:tcW w:w="624" w:type="dxa"/>
          </w:tcPr>
          <w:p w14:paraId="1F483C60" w14:textId="77777777" w:rsidR="00C1473B" w:rsidRDefault="00C1473B" w:rsidP="00FB6661">
            <w:pPr>
              <w:pStyle w:val="TableText"/>
            </w:pPr>
          </w:p>
        </w:tc>
        <w:tc>
          <w:tcPr>
            <w:tcW w:w="624" w:type="dxa"/>
          </w:tcPr>
          <w:p w14:paraId="3140F097" w14:textId="77777777" w:rsidR="00C1473B" w:rsidRDefault="00C1473B" w:rsidP="00FB6661">
            <w:pPr>
              <w:pStyle w:val="TableText"/>
            </w:pPr>
          </w:p>
        </w:tc>
        <w:tc>
          <w:tcPr>
            <w:tcW w:w="624" w:type="dxa"/>
          </w:tcPr>
          <w:p w14:paraId="235A8FCC" w14:textId="77777777" w:rsidR="00C1473B" w:rsidRDefault="00C1473B" w:rsidP="00FB6661">
            <w:pPr>
              <w:pStyle w:val="TableText"/>
            </w:pPr>
          </w:p>
        </w:tc>
        <w:tc>
          <w:tcPr>
            <w:tcW w:w="4647" w:type="dxa"/>
            <w:gridSpan w:val="2"/>
          </w:tcPr>
          <w:p w14:paraId="644B4EC3" w14:textId="77777777" w:rsidR="00C1473B" w:rsidRDefault="00C1473B" w:rsidP="00FB6661">
            <w:pPr>
              <w:pStyle w:val="TableBlockOutdent"/>
              <w:rPr>
                <w:rtl/>
              </w:rPr>
            </w:pPr>
            <w:r>
              <w:rPr>
                <w:rFonts w:hint="cs"/>
                <w:rtl/>
              </w:rPr>
              <w:t xml:space="preserve">"הקצאה" </w:t>
            </w:r>
            <w:r>
              <w:rPr>
                <w:rtl/>
              </w:rPr>
              <w:t>–</w:t>
            </w:r>
            <w:r>
              <w:rPr>
                <w:rFonts w:hint="cs"/>
                <w:rtl/>
              </w:rPr>
              <w:t xml:space="preserve"> לרבות בדרך של החכרה או מתן זכויות בר רשות;</w:t>
            </w:r>
          </w:p>
        </w:tc>
      </w:tr>
      <w:tr w:rsidR="00C1473B" w14:paraId="0B8872A5" w14:textId="77777777" w:rsidTr="00FB6661">
        <w:trPr>
          <w:cantSplit/>
        </w:trPr>
        <w:tc>
          <w:tcPr>
            <w:tcW w:w="1872" w:type="dxa"/>
          </w:tcPr>
          <w:p w14:paraId="44FF2849" w14:textId="77777777" w:rsidR="00C1473B" w:rsidRDefault="00C1473B" w:rsidP="00FB6661">
            <w:pPr>
              <w:pStyle w:val="TableSideHeading"/>
            </w:pPr>
          </w:p>
        </w:tc>
        <w:tc>
          <w:tcPr>
            <w:tcW w:w="624" w:type="dxa"/>
          </w:tcPr>
          <w:p w14:paraId="0BB9428D" w14:textId="77777777" w:rsidR="00C1473B" w:rsidRDefault="00C1473B" w:rsidP="00FB6661">
            <w:pPr>
              <w:pStyle w:val="TableText"/>
            </w:pPr>
          </w:p>
        </w:tc>
        <w:tc>
          <w:tcPr>
            <w:tcW w:w="624" w:type="dxa"/>
          </w:tcPr>
          <w:p w14:paraId="5D3AE061" w14:textId="77777777" w:rsidR="00C1473B" w:rsidRDefault="00C1473B" w:rsidP="00FB6661">
            <w:pPr>
              <w:pStyle w:val="TableText"/>
            </w:pPr>
          </w:p>
        </w:tc>
        <w:tc>
          <w:tcPr>
            <w:tcW w:w="624" w:type="dxa"/>
          </w:tcPr>
          <w:p w14:paraId="36BEDC2E" w14:textId="77777777" w:rsidR="00C1473B" w:rsidRDefault="00C1473B" w:rsidP="00FB6661">
            <w:pPr>
              <w:pStyle w:val="TableText"/>
            </w:pPr>
          </w:p>
        </w:tc>
        <w:tc>
          <w:tcPr>
            <w:tcW w:w="624" w:type="dxa"/>
          </w:tcPr>
          <w:p w14:paraId="53119C9D" w14:textId="77777777" w:rsidR="00C1473B" w:rsidRDefault="00C1473B" w:rsidP="00FB6661">
            <w:pPr>
              <w:pStyle w:val="TableText"/>
            </w:pPr>
          </w:p>
        </w:tc>
        <w:tc>
          <w:tcPr>
            <w:tcW w:w="624" w:type="dxa"/>
          </w:tcPr>
          <w:p w14:paraId="65B20CF2" w14:textId="77777777" w:rsidR="00C1473B" w:rsidRDefault="00C1473B" w:rsidP="00FB6661">
            <w:pPr>
              <w:pStyle w:val="TableText"/>
            </w:pPr>
          </w:p>
        </w:tc>
        <w:tc>
          <w:tcPr>
            <w:tcW w:w="4647" w:type="dxa"/>
            <w:gridSpan w:val="2"/>
          </w:tcPr>
          <w:p w14:paraId="7AA79EEA" w14:textId="77777777" w:rsidR="00C1473B" w:rsidRDefault="00C1473B" w:rsidP="00FB6661">
            <w:pPr>
              <w:pStyle w:val="TableBlockOutdent"/>
            </w:pPr>
            <w:r w:rsidRPr="006D0C8B">
              <w:rPr>
                <w:rFonts w:hint="cs"/>
                <w:rtl/>
              </w:rPr>
              <w:t xml:space="preserve">"התיישבות כפרית" </w:t>
            </w:r>
            <w:r w:rsidRPr="006D0C8B">
              <w:rPr>
                <w:rtl/>
              </w:rPr>
              <w:t>–</w:t>
            </w:r>
            <w:r w:rsidRPr="006D0C8B">
              <w:rPr>
                <w:rFonts w:hint="cs"/>
                <w:rtl/>
              </w:rPr>
              <w:t xml:space="preserve"> </w:t>
            </w:r>
            <w:r>
              <w:rPr>
                <w:rFonts w:hint="cs"/>
                <w:rtl/>
              </w:rPr>
              <w:t>התיישבות שמוגדרת כי</w:t>
            </w:r>
            <w:r w:rsidRPr="006D0C8B">
              <w:rPr>
                <w:rtl/>
              </w:rPr>
              <w:t>ישוב כפרי לפי פרסומי הלשכה המרכזית לסטטיסטיקה או י</w:t>
            </w:r>
            <w:r>
              <w:rPr>
                <w:rFonts w:hint="cs"/>
                <w:rtl/>
              </w:rPr>
              <w:t>י</w:t>
            </w:r>
            <w:r w:rsidRPr="006D0C8B">
              <w:rPr>
                <w:rtl/>
              </w:rPr>
              <w:t>שוב שהוא חלק ממועצה אזורית;</w:t>
            </w:r>
          </w:p>
        </w:tc>
      </w:tr>
      <w:tr w:rsidR="00C1473B" w14:paraId="057C4F75" w14:textId="77777777" w:rsidTr="00FB6661">
        <w:trPr>
          <w:cantSplit/>
        </w:trPr>
        <w:tc>
          <w:tcPr>
            <w:tcW w:w="1872" w:type="dxa"/>
          </w:tcPr>
          <w:p w14:paraId="0CA2CC55" w14:textId="77777777" w:rsidR="00C1473B" w:rsidRDefault="00C1473B" w:rsidP="00FB6661">
            <w:pPr>
              <w:pStyle w:val="TableSideHeading"/>
            </w:pPr>
          </w:p>
        </w:tc>
        <w:tc>
          <w:tcPr>
            <w:tcW w:w="624" w:type="dxa"/>
          </w:tcPr>
          <w:p w14:paraId="5C8588AF" w14:textId="77777777" w:rsidR="00C1473B" w:rsidRDefault="00C1473B" w:rsidP="00FB6661">
            <w:pPr>
              <w:pStyle w:val="TableText"/>
            </w:pPr>
          </w:p>
        </w:tc>
        <w:tc>
          <w:tcPr>
            <w:tcW w:w="624" w:type="dxa"/>
          </w:tcPr>
          <w:p w14:paraId="09D97712" w14:textId="77777777" w:rsidR="00C1473B" w:rsidRDefault="00C1473B" w:rsidP="00FB6661">
            <w:pPr>
              <w:pStyle w:val="TableText"/>
            </w:pPr>
          </w:p>
        </w:tc>
        <w:tc>
          <w:tcPr>
            <w:tcW w:w="624" w:type="dxa"/>
          </w:tcPr>
          <w:p w14:paraId="76B9AAAD" w14:textId="77777777" w:rsidR="00C1473B" w:rsidRDefault="00C1473B" w:rsidP="00FB6661">
            <w:pPr>
              <w:pStyle w:val="TableText"/>
            </w:pPr>
          </w:p>
        </w:tc>
        <w:tc>
          <w:tcPr>
            <w:tcW w:w="624" w:type="dxa"/>
          </w:tcPr>
          <w:p w14:paraId="4BD5B771" w14:textId="77777777" w:rsidR="00C1473B" w:rsidRDefault="00C1473B" w:rsidP="00FB6661">
            <w:pPr>
              <w:pStyle w:val="TableText"/>
            </w:pPr>
          </w:p>
        </w:tc>
        <w:tc>
          <w:tcPr>
            <w:tcW w:w="624" w:type="dxa"/>
          </w:tcPr>
          <w:p w14:paraId="60EB48FC" w14:textId="77777777" w:rsidR="00C1473B" w:rsidRDefault="00C1473B" w:rsidP="00FB6661">
            <w:pPr>
              <w:pStyle w:val="TableText"/>
            </w:pPr>
          </w:p>
        </w:tc>
        <w:tc>
          <w:tcPr>
            <w:tcW w:w="4647" w:type="dxa"/>
            <w:gridSpan w:val="2"/>
          </w:tcPr>
          <w:p w14:paraId="3D5BCAB5" w14:textId="2F19AB6E" w:rsidR="00C1473B" w:rsidRPr="005C2E24" w:rsidRDefault="00C1473B" w:rsidP="00FB6661">
            <w:pPr>
              <w:pStyle w:val="TableBlockOutdent"/>
            </w:pPr>
            <w:r w:rsidRPr="005C2E24">
              <w:rPr>
                <w:rFonts w:hint="cs"/>
                <w:rtl/>
              </w:rPr>
              <w:t xml:space="preserve">"מקרקעין" </w:t>
            </w:r>
            <w:r w:rsidRPr="005C2E24">
              <w:rPr>
                <w:rtl/>
              </w:rPr>
              <w:t>–</w:t>
            </w:r>
            <w:r w:rsidRPr="005C2E24">
              <w:rPr>
                <w:rFonts w:hint="cs"/>
                <w:rtl/>
              </w:rPr>
              <w:t xml:space="preserve"> מקרקעין </w:t>
            </w:r>
            <w:r>
              <w:rPr>
                <w:rFonts w:hint="cs"/>
                <w:rtl/>
              </w:rPr>
              <w:t>באזור, המצויים בתחומי הי</w:t>
            </w:r>
            <w:r w:rsidR="008D1E37">
              <w:rPr>
                <w:rFonts w:hint="cs"/>
                <w:rtl/>
              </w:rPr>
              <w:t>י</w:t>
            </w:r>
            <w:r>
              <w:rPr>
                <w:rFonts w:hint="cs"/>
                <w:rtl/>
              </w:rPr>
              <w:t xml:space="preserve">שובים או מחוצה להם, </w:t>
            </w:r>
            <w:r w:rsidRPr="005C2E24">
              <w:rPr>
                <w:rFonts w:hint="cs"/>
                <w:rtl/>
              </w:rPr>
              <w:t>המיועדים להתיישבות כפרית</w:t>
            </w:r>
            <w:r>
              <w:rPr>
                <w:rFonts w:hint="cs"/>
                <w:rtl/>
              </w:rPr>
              <w:t>, לרבות מקרקעין המיועדים לאמצעי ייצור,</w:t>
            </w:r>
            <w:r w:rsidRPr="005C2E24">
              <w:rPr>
                <w:rFonts w:hint="cs"/>
                <w:rtl/>
              </w:rPr>
              <w:t xml:space="preserve"> שה</w:t>
            </w:r>
            <w:r>
              <w:rPr>
                <w:rFonts w:hint="cs"/>
                <w:rtl/>
              </w:rPr>
              <w:t>ם</w:t>
            </w:r>
            <w:r w:rsidRPr="005C2E24">
              <w:rPr>
                <w:rFonts w:hint="cs"/>
                <w:rtl/>
              </w:rPr>
              <w:t xml:space="preserve"> </w:t>
            </w:r>
            <w:r>
              <w:rPr>
                <w:rFonts w:hint="cs"/>
                <w:rtl/>
              </w:rPr>
              <w:t xml:space="preserve">אחד מאלה: </w:t>
            </w:r>
          </w:p>
        </w:tc>
      </w:tr>
      <w:tr w:rsidR="00C1473B" w14:paraId="1214CED7" w14:textId="77777777" w:rsidTr="00FB6661">
        <w:trPr>
          <w:cantSplit/>
        </w:trPr>
        <w:tc>
          <w:tcPr>
            <w:tcW w:w="1872" w:type="dxa"/>
          </w:tcPr>
          <w:p w14:paraId="0D00FCD8" w14:textId="77777777" w:rsidR="00C1473B" w:rsidRDefault="00C1473B" w:rsidP="00FB6661">
            <w:pPr>
              <w:pStyle w:val="TableSideHeading"/>
            </w:pPr>
          </w:p>
        </w:tc>
        <w:tc>
          <w:tcPr>
            <w:tcW w:w="624" w:type="dxa"/>
          </w:tcPr>
          <w:p w14:paraId="79F0ACED" w14:textId="77777777" w:rsidR="00C1473B" w:rsidRDefault="00C1473B" w:rsidP="00FB6661">
            <w:pPr>
              <w:pStyle w:val="TableText"/>
            </w:pPr>
          </w:p>
        </w:tc>
        <w:tc>
          <w:tcPr>
            <w:tcW w:w="624" w:type="dxa"/>
          </w:tcPr>
          <w:p w14:paraId="212704B9" w14:textId="77777777" w:rsidR="00C1473B" w:rsidRDefault="00C1473B" w:rsidP="00FB6661">
            <w:pPr>
              <w:pStyle w:val="TableText"/>
            </w:pPr>
          </w:p>
        </w:tc>
        <w:tc>
          <w:tcPr>
            <w:tcW w:w="624" w:type="dxa"/>
          </w:tcPr>
          <w:p w14:paraId="70ECF429" w14:textId="77777777" w:rsidR="00C1473B" w:rsidRDefault="00C1473B" w:rsidP="00FB6661">
            <w:pPr>
              <w:pStyle w:val="TableText"/>
            </w:pPr>
          </w:p>
        </w:tc>
        <w:tc>
          <w:tcPr>
            <w:tcW w:w="624" w:type="dxa"/>
          </w:tcPr>
          <w:p w14:paraId="4D5FC99F" w14:textId="77777777" w:rsidR="00C1473B" w:rsidRDefault="00C1473B" w:rsidP="00FB6661">
            <w:pPr>
              <w:pStyle w:val="TableText"/>
            </w:pPr>
          </w:p>
        </w:tc>
        <w:tc>
          <w:tcPr>
            <w:tcW w:w="624" w:type="dxa"/>
          </w:tcPr>
          <w:p w14:paraId="6EC6B4FF" w14:textId="77777777" w:rsidR="00C1473B" w:rsidRDefault="00C1473B" w:rsidP="00FB6661">
            <w:pPr>
              <w:pStyle w:val="TableText"/>
            </w:pPr>
          </w:p>
        </w:tc>
        <w:tc>
          <w:tcPr>
            <w:tcW w:w="624" w:type="dxa"/>
          </w:tcPr>
          <w:p w14:paraId="581A8B7A" w14:textId="77777777" w:rsidR="00C1473B" w:rsidRPr="006C48CA" w:rsidRDefault="00C1473B" w:rsidP="00FB6661">
            <w:pPr>
              <w:pStyle w:val="TableText"/>
            </w:pPr>
          </w:p>
        </w:tc>
        <w:tc>
          <w:tcPr>
            <w:tcW w:w="4023" w:type="dxa"/>
          </w:tcPr>
          <w:p w14:paraId="0D65B671" w14:textId="77777777" w:rsidR="00C1473B" w:rsidRPr="006C48CA" w:rsidRDefault="00C1473B" w:rsidP="00FB6661">
            <w:pPr>
              <w:pStyle w:val="TableBlock"/>
            </w:pPr>
            <w:r w:rsidRPr="006C48CA">
              <w:rPr>
                <w:rFonts w:hint="cs"/>
                <w:rtl/>
              </w:rPr>
              <w:t>(1)</w:t>
            </w:r>
            <w:r w:rsidRPr="006C48CA">
              <w:rPr>
                <w:rtl/>
              </w:rPr>
              <w:tab/>
            </w:r>
            <w:r w:rsidRPr="006C48CA">
              <w:rPr>
                <w:rFonts w:hint="cs"/>
                <w:rtl/>
              </w:rPr>
              <w:t>אדמות מדינה הרשומות ב</w:t>
            </w:r>
            <w:r>
              <w:rPr>
                <w:rFonts w:hint="cs"/>
                <w:rtl/>
              </w:rPr>
              <w:t>טאבו</w:t>
            </w:r>
            <w:r w:rsidRPr="006C48CA">
              <w:rPr>
                <w:rFonts w:hint="cs"/>
                <w:rtl/>
              </w:rPr>
              <w:t>;</w:t>
            </w:r>
          </w:p>
        </w:tc>
      </w:tr>
      <w:tr w:rsidR="00C1473B" w14:paraId="4F9B0D66" w14:textId="77777777" w:rsidTr="00FB6661">
        <w:trPr>
          <w:cantSplit/>
        </w:trPr>
        <w:tc>
          <w:tcPr>
            <w:tcW w:w="1872" w:type="dxa"/>
          </w:tcPr>
          <w:p w14:paraId="434FD404" w14:textId="77777777" w:rsidR="00C1473B" w:rsidRDefault="00C1473B" w:rsidP="00FB6661">
            <w:pPr>
              <w:pStyle w:val="TableSideHeading"/>
            </w:pPr>
          </w:p>
        </w:tc>
        <w:tc>
          <w:tcPr>
            <w:tcW w:w="624" w:type="dxa"/>
          </w:tcPr>
          <w:p w14:paraId="688562FC" w14:textId="77777777" w:rsidR="00C1473B" w:rsidRDefault="00C1473B" w:rsidP="00FB6661">
            <w:pPr>
              <w:pStyle w:val="TableText"/>
            </w:pPr>
          </w:p>
        </w:tc>
        <w:tc>
          <w:tcPr>
            <w:tcW w:w="624" w:type="dxa"/>
          </w:tcPr>
          <w:p w14:paraId="60334CF7" w14:textId="77777777" w:rsidR="00C1473B" w:rsidRDefault="00C1473B" w:rsidP="00FB6661">
            <w:pPr>
              <w:pStyle w:val="TableText"/>
            </w:pPr>
          </w:p>
        </w:tc>
        <w:tc>
          <w:tcPr>
            <w:tcW w:w="624" w:type="dxa"/>
          </w:tcPr>
          <w:p w14:paraId="2B1C7D64" w14:textId="77777777" w:rsidR="00C1473B" w:rsidRDefault="00C1473B" w:rsidP="00FB6661">
            <w:pPr>
              <w:pStyle w:val="TableText"/>
            </w:pPr>
          </w:p>
        </w:tc>
        <w:tc>
          <w:tcPr>
            <w:tcW w:w="624" w:type="dxa"/>
          </w:tcPr>
          <w:p w14:paraId="7F03411D" w14:textId="77777777" w:rsidR="00C1473B" w:rsidRDefault="00C1473B" w:rsidP="00FB6661">
            <w:pPr>
              <w:pStyle w:val="TableText"/>
            </w:pPr>
          </w:p>
        </w:tc>
        <w:tc>
          <w:tcPr>
            <w:tcW w:w="624" w:type="dxa"/>
          </w:tcPr>
          <w:p w14:paraId="3AE5E2EE" w14:textId="77777777" w:rsidR="00C1473B" w:rsidRDefault="00C1473B" w:rsidP="00FB6661">
            <w:pPr>
              <w:pStyle w:val="TableText"/>
            </w:pPr>
          </w:p>
        </w:tc>
        <w:tc>
          <w:tcPr>
            <w:tcW w:w="624" w:type="dxa"/>
          </w:tcPr>
          <w:p w14:paraId="203FA5CC" w14:textId="77777777" w:rsidR="00C1473B" w:rsidRDefault="00C1473B" w:rsidP="00FB6661">
            <w:pPr>
              <w:pStyle w:val="TableText"/>
            </w:pPr>
          </w:p>
        </w:tc>
        <w:tc>
          <w:tcPr>
            <w:tcW w:w="4023" w:type="dxa"/>
          </w:tcPr>
          <w:p w14:paraId="44C834B6" w14:textId="77777777" w:rsidR="00C1473B" w:rsidRDefault="00C1473B" w:rsidP="00FB6661">
            <w:pPr>
              <w:pStyle w:val="TableBlock"/>
            </w:pPr>
            <w:r>
              <w:rPr>
                <w:rFonts w:hint="cs"/>
                <w:rtl/>
              </w:rPr>
              <w:t>(2)</w:t>
            </w:r>
            <w:r>
              <w:rPr>
                <w:rtl/>
              </w:rPr>
              <w:tab/>
            </w:r>
            <w:r>
              <w:rPr>
                <w:rFonts w:hint="cs"/>
                <w:rtl/>
              </w:rPr>
              <w:t>מקרקעין שהממונה מנהל אותם כרכוש ממשלתי ל</w:t>
            </w:r>
            <w:r w:rsidRPr="005C2E24">
              <w:rPr>
                <w:rFonts w:hint="cs"/>
                <w:rtl/>
              </w:rPr>
              <w:t xml:space="preserve">פי </w:t>
            </w:r>
            <w:r>
              <w:rPr>
                <w:rFonts w:hint="cs"/>
                <w:rtl/>
              </w:rPr>
              <w:t>סעיף 2ג ל</w:t>
            </w:r>
            <w:r w:rsidRPr="005C2E24">
              <w:rPr>
                <w:rFonts w:hint="cs"/>
                <w:rtl/>
              </w:rPr>
              <w:t>צו בדבר רכוש ממשלתי</w:t>
            </w:r>
            <w:r>
              <w:rPr>
                <w:rFonts w:hint="cs"/>
                <w:rtl/>
              </w:rPr>
              <w:t>;</w:t>
            </w:r>
            <w:r w:rsidRPr="005C2E24">
              <w:rPr>
                <w:rFonts w:hint="cs"/>
                <w:rtl/>
              </w:rPr>
              <w:t xml:space="preserve"> </w:t>
            </w:r>
          </w:p>
        </w:tc>
      </w:tr>
      <w:tr w:rsidR="00C1473B" w14:paraId="5BE4C919" w14:textId="77777777" w:rsidTr="00FB6661">
        <w:trPr>
          <w:cantSplit/>
        </w:trPr>
        <w:tc>
          <w:tcPr>
            <w:tcW w:w="1872" w:type="dxa"/>
          </w:tcPr>
          <w:p w14:paraId="0A5DCF62" w14:textId="77777777" w:rsidR="00C1473B" w:rsidRDefault="00C1473B" w:rsidP="00FB6661">
            <w:pPr>
              <w:pStyle w:val="TableSideHeading"/>
            </w:pPr>
          </w:p>
        </w:tc>
        <w:tc>
          <w:tcPr>
            <w:tcW w:w="624" w:type="dxa"/>
          </w:tcPr>
          <w:p w14:paraId="4BE9A776" w14:textId="77777777" w:rsidR="00C1473B" w:rsidRDefault="00C1473B" w:rsidP="00FB6661">
            <w:pPr>
              <w:pStyle w:val="TableText"/>
            </w:pPr>
          </w:p>
        </w:tc>
        <w:tc>
          <w:tcPr>
            <w:tcW w:w="624" w:type="dxa"/>
          </w:tcPr>
          <w:p w14:paraId="5DCA30EF" w14:textId="77777777" w:rsidR="00C1473B" w:rsidRDefault="00C1473B" w:rsidP="00FB6661">
            <w:pPr>
              <w:pStyle w:val="TableText"/>
            </w:pPr>
          </w:p>
        </w:tc>
        <w:tc>
          <w:tcPr>
            <w:tcW w:w="624" w:type="dxa"/>
          </w:tcPr>
          <w:p w14:paraId="30C41D36" w14:textId="77777777" w:rsidR="00C1473B" w:rsidRDefault="00C1473B" w:rsidP="00FB6661">
            <w:pPr>
              <w:pStyle w:val="TableText"/>
            </w:pPr>
          </w:p>
        </w:tc>
        <w:tc>
          <w:tcPr>
            <w:tcW w:w="624" w:type="dxa"/>
          </w:tcPr>
          <w:p w14:paraId="6EA17908" w14:textId="77777777" w:rsidR="00C1473B" w:rsidRDefault="00C1473B" w:rsidP="00FB6661">
            <w:pPr>
              <w:pStyle w:val="TableText"/>
            </w:pPr>
          </w:p>
        </w:tc>
        <w:tc>
          <w:tcPr>
            <w:tcW w:w="624" w:type="dxa"/>
          </w:tcPr>
          <w:p w14:paraId="43AD0EA2" w14:textId="77777777" w:rsidR="00C1473B" w:rsidRDefault="00C1473B" w:rsidP="00FB6661">
            <w:pPr>
              <w:pStyle w:val="TableText"/>
            </w:pPr>
          </w:p>
        </w:tc>
        <w:tc>
          <w:tcPr>
            <w:tcW w:w="624" w:type="dxa"/>
          </w:tcPr>
          <w:p w14:paraId="611737E3" w14:textId="77777777" w:rsidR="00C1473B" w:rsidRDefault="00C1473B" w:rsidP="00FB6661">
            <w:pPr>
              <w:pStyle w:val="TableText"/>
            </w:pPr>
          </w:p>
        </w:tc>
        <w:tc>
          <w:tcPr>
            <w:tcW w:w="4023" w:type="dxa"/>
          </w:tcPr>
          <w:p w14:paraId="52C7F3E7" w14:textId="77777777" w:rsidR="00C1473B" w:rsidRDefault="00C1473B" w:rsidP="00FB6661">
            <w:pPr>
              <w:pStyle w:val="TableBlock"/>
            </w:pPr>
            <w:r>
              <w:rPr>
                <w:rFonts w:hint="cs"/>
                <w:rtl/>
              </w:rPr>
              <w:t>(3)</w:t>
            </w:r>
            <w:r>
              <w:rPr>
                <w:rtl/>
              </w:rPr>
              <w:tab/>
            </w:r>
            <w:r>
              <w:rPr>
                <w:rFonts w:hint="cs"/>
                <w:rtl/>
              </w:rPr>
              <w:t xml:space="preserve">מקרקעין שהם </w:t>
            </w:r>
            <w:r w:rsidRPr="005C2E24">
              <w:rPr>
                <w:rFonts w:hint="cs"/>
                <w:rtl/>
              </w:rPr>
              <w:t>רכוש ממשלתי כהגדרתו בצו בדבר רכוש ממשלתי</w:t>
            </w:r>
            <w:r>
              <w:rPr>
                <w:rFonts w:hint="cs"/>
                <w:rtl/>
              </w:rPr>
              <w:t>;</w:t>
            </w:r>
            <w:r w:rsidRPr="005C2E24">
              <w:rPr>
                <w:rFonts w:hint="cs"/>
                <w:rtl/>
              </w:rPr>
              <w:t xml:space="preserve"> </w:t>
            </w:r>
          </w:p>
        </w:tc>
      </w:tr>
      <w:tr w:rsidR="00C1473B" w14:paraId="72839D4F" w14:textId="77777777" w:rsidTr="00FB6661">
        <w:trPr>
          <w:cantSplit/>
        </w:trPr>
        <w:tc>
          <w:tcPr>
            <w:tcW w:w="1872" w:type="dxa"/>
          </w:tcPr>
          <w:p w14:paraId="7303984C" w14:textId="77777777" w:rsidR="00C1473B" w:rsidRDefault="00C1473B" w:rsidP="00FB6661">
            <w:pPr>
              <w:pStyle w:val="TableSideHeading"/>
            </w:pPr>
          </w:p>
        </w:tc>
        <w:tc>
          <w:tcPr>
            <w:tcW w:w="624" w:type="dxa"/>
          </w:tcPr>
          <w:p w14:paraId="6BF6A21A" w14:textId="77777777" w:rsidR="00C1473B" w:rsidRDefault="00C1473B" w:rsidP="00FB6661">
            <w:pPr>
              <w:pStyle w:val="TableText"/>
            </w:pPr>
          </w:p>
        </w:tc>
        <w:tc>
          <w:tcPr>
            <w:tcW w:w="624" w:type="dxa"/>
          </w:tcPr>
          <w:p w14:paraId="6FB5C171" w14:textId="77777777" w:rsidR="00C1473B" w:rsidRDefault="00C1473B" w:rsidP="00FB6661">
            <w:pPr>
              <w:pStyle w:val="TableText"/>
            </w:pPr>
          </w:p>
        </w:tc>
        <w:tc>
          <w:tcPr>
            <w:tcW w:w="624" w:type="dxa"/>
          </w:tcPr>
          <w:p w14:paraId="2ACB11F3" w14:textId="77777777" w:rsidR="00C1473B" w:rsidRDefault="00C1473B" w:rsidP="00FB6661">
            <w:pPr>
              <w:pStyle w:val="TableText"/>
            </w:pPr>
          </w:p>
        </w:tc>
        <w:tc>
          <w:tcPr>
            <w:tcW w:w="624" w:type="dxa"/>
          </w:tcPr>
          <w:p w14:paraId="4B7C6188" w14:textId="77777777" w:rsidR="00C1473B" w:rsidRDefault="00C1473B" w:rsidP="00FB6661">
            <w:pPr>
              <w:pStyle w:val="TableText"/>
            </w:pPr>
          </w:p>
        </w:tc>
        <w:tc>
          <w:tcPr>
            <w:tcW w:w="624" w:type="dxa"/>
          </w:tcPr>
          <w:p w14:paraId="7DB67877" w14:textId="77777777" w:rsidR="00C1473B" w:rsidRDefault="00C1473B" w:rsidP="00FB6661">
            <w:pPr>
              <w:pStyle w:val="TableText"/>
            </w:pPr>
          </w:p>
        </w:tc>
        <w:tc>
          <w:tcPr>
            <w:tcW w:w="624" w:type="dxa"/>
          </w:tcPr>
          <w:p w14:paraId="5C387A2B" w14:textId="77777777" w:rsidR="00C1473B" w:rsidRDefault="00C1473B" w:rsidP="00FB6661">
            <w:pPr>
              <w:pStyle w:val="TableText"/>
            </w:pPr>
          </w:p>
        </w:tc>
        <w:tc>
          <w:tcPr>
            <w:tcW w:w="4023" w:type="dxa"/>
          </w:tcPr>
          <w:p w14:paraId="7DB3B715" w14:textId="77777777" w:rsidR="00C1473B" w:rsidRPr="005C2E24" w:rsidRDefault="00C1473B" w:rsidP="00FB6661">
            <w:pPr>
              <w:pStyle w:val="TableBlock"/>
              <w:rPr>
                <w:rtl/>
              </w:rPr>
            </w:pPr>
            <w:r>
              <w:rPr>
                <w:rFonts w:hint="cs"/>
                <w:rtl/>
              </w:rPr>
              <w:t>(4)</w:t>
            </w:r>
            <w:r>
              <w:rPr>
                <w:rtl/>
              </w:rPr>
              <w:tab/>
            </w:r>
            <w:r w:rsidRPr="0032789B">
              <w:rPr>
                <w:rFonts w:hint="cs"/>
                <w:rtl/>
              </w:rPr>
              <w:t>מקרקעין שנתפסו בתפיסה צבאית לצורכי התיישבות;</w:t>
            </w:r>
            <w:r w:rsidRPr="005C2E24">
              <w:rPr>
                <w:rFonts w:hint="cs"/>
                <w:rtl/>
              </w:rPr>
              <w:t xml:space="preserve"> </w:t>
            </w:r>
          </w:p>
        </w:tc>
      </w:tr>
      <w:tr w:rsidR="00C1473B" w14:paraId="6B7E7742" w14:textId="77777777" w:rsidTr="00FB6661">
        <w:trPr>
          <w:cantSplit/>
        </w:trPr>
        <w:tc>
          <w:tcPr>
            <w:tcW w:w="1872" w:type="dxa"/>
          </w:tcPr>
          <w:p w14:paraId="3E36C321" w14:textId="77777777" w:rsidR="00C1473B" w:rsidRDefault="00C1473B" w:rsidP="00FB6661">
            <w:pPr>
              <w:pStyle w:val="TableSideHeading"/>
            </w:pPr>
          </w:p>
        </w:tc>
        <w:tc>
          <w:tcPr>
            <w:tcW w:w="624" w:type="dxa"/>
          </w:tcPr>
          <w:p w14:paraId="55E8A453" w14:textId="77777777" w:rsidR="00C1473B" w:rsidRDefault="00C1473B" w:rsidP="00FB6661">
            <w:pPr>
              <w:pStyle w:val="TableText"/>
            </w:pPr>
          </w:p>
        </w:tc>
        <w:tc>
          <w:tcPr>
            <w:tcW w:w="624" w:type="dxa"/>
          </w:tcPr>
          <w:p w14:paraId="58F4EE1A" w14:textId="77777777" w:rsidR="00C1473B" w:rsidRDefault="00C1473B" w:rsidP="00FB6661">
            <w:pPr>
              <w:pStyle w:val="TableText"/>
            </w:pPr>
          </w:p>
        </w:tc>
        <w:tc>
          <w:tcPr>
            <w:tcW w:w="624" w:type="dxa"/>
          </w:tcPr>
          <w:p w14:paraId="475F2F24" w14:textId="77777777" w:rsidR="00C1473B" w:rsidRDefault="00C1473B" w:rsidP="00FB6661">
            <w:pPr>
              <w:pStyle w:val="TableText"/>
            </w:pPr>
          </w:p>
        </w:tc>
        <w:tc>
          <w:tcPr>
            <w:tcW w:w="624" w:type="dxa"/>
          </w:tcPr>
          <w:p w14:paraId="29A04DCC" w14:textId="77777777" w:rsidR="00C1473B" w:rsidRDefault="00C1473B" w:rsidP="00FB6661">
            <w:pPr>
              <w:pStyle w:val="TableText"/>
            </w:pPr>
          </w:p>
        </w:tc>
        <w:tc>
          <w:tcPr>
            <w:tcW w:w="624" w:type="dxa"/>
          </w:tcPr>
          <w:p w14:paraId="05D55D29" w14:textId="77777777" w:rsidR="00C1473B" w:rsidRDefault="00C1473B" w:rsidP="00FB6661">
            <w:pPr>
              <w:pStyle w:val="TableText"/>
            </w:pPr>
          </w:p>
        </w:tc>
        <w:tc>
          <w:tcPr>
            <w:tcW w:w="624" w:type="dxa"/>
          </w:tcPr>
          <w:p w14:paraId="65639D66" w14:textId="77777777" w:rsidR="00C1473B" w:rsidRDefault="00C1473B" w:rsidP="00FB6661">
            <w:pPr>
              <w:pStyle w:val="TableText"/>
            </w:pPr>
          </w:p>
        </w:tc>
        <w:tc>
          <w:tcPr>
            <w:tcW w:w="4023" w:type="dxa"/>
          </w:tcPr>
          <w:p w14:paraId="399A320A" w14:textId="77777777" w:rsidR="00C1473B" w:rsidRPr="005C2E24" w:rsidRDefault="00C1473B" w:rsidP="00FB6661">
            <w:pPr>
              <w:pStyle w:val="TableBlock"/>
              <w:rPr>
                <w:rtl/>
              </w:rPr>
            </w:pPr>
            <w:r>
              <w:rPr>
                <w:rFonts w:hint="cs"/>
                <w:rtl/>
              </w:rPr>
              <w:t>(5)</w:t>
            </w:r>
            <w:r>
              <w:rPr>
                <w:rtl/>
              </w:rPr>
              <w:tab/>
            </w:r>
            <w:r w:rsidRPr="005C2E24">
              <w:rPr>
                <w:rFonts w:hint="cs"/>
                <w:rtl/>
              </w:rPr>
              <w:t xml:space="preserve">מקרקעין שרשויות האזור נטלו בהן חזקה בהתאם לחוק להסדרת ההתיישבות ביהודה והשומרון, </w:t>
            </w:r>
            <w:proofErr w:type="spellStart"/>
            <w:r w:rsidRPr="005C2E24">
              <w:rPr>
                <w:rFonts w:hint="cs"/>
                <w:rtl/>
              </w:rPr>
              <w:t>התשע"ז</w:t>
            </w:r>
            <w:proofErr w:type="spellEnd"/>
            <w:r w:rsidRPr="005C2E24">
              <w:rPr>
                <w:rFonts w:hint="cs"/>
                <w:rtl/>
              </w:rPr>
              <w:t>–2017</w:t>
            </w:r>
            <w:r>
              <w:rPr>
                <w:rStyle w:val="a6"/>
                <w:rtl/>
              </w:rPr>
              <w:footnoteReference w:id="6"/>
            </w:r>
            <w:r>
              <w:rPr>
                <w:rFonts w:hint="cs"/>
                <w:rtl/>
              </w:rPr>
              <w:t>;</w:t>
            </w:r>
            <w:r w:rsidRPr="005C2E24">
              <w:rPr>
                <w:rFonts w:hint="cs"/>
                <w:rtl/>
              </w:rPr>
              <w:t xml:space="preserve"> </w:t>
            </w:r>
          </w:p>
        </w:tc>
      </w:tr>
      <w:tr w:rsidR="00C1473B" w14:paraId="2A8996C7" w14:textId="77777777" w:rsidTr="00FB6661">
        <w:trPr>
          <w:cantSplit/>
        </w:trPr>
        <w:tc>
          <w:tcPr>
            <w:tcW w:w="1872" w:type="dxa"/>
          </w:tcPr>
          <w:p w14:paraId="6DB1FFB5" w14:textId="77777777" w:rsidR="00C1473B" w:rsidRDefault="00C1473B" w:rsidP="00FB6661">
            <w:pPr>
              <w:pStyle w:val="TableSideHeading"/>
            </w:pPr>
          </w:p>
        </w:tc>
        <w:tc>
          <w:tcPr>
            <w:tcW w:w="624" w:type="dxa"/>
          </w:tcPr>
          <w:p w14:paraId="60ABAFC6" w14:textId="77777777" w:rsidR="00C1473B" w:rsidRDefault="00C1473B" w:rsidP="00FB6661">
            <w:pPr>
              <w:pStyle w:val="TableText"/>
            </w:pPr>
          </w:p>
        </w:tc>
        <w:tc>
          <w:tcPr>
            <w:tcW w:w="624" w:type="dxa"/>
          </w:tcPr>
          <w:p w14:paraId="358323DC" w14:textId="77777777" w:rsidR="00C1473B" w:rsidRDefault="00C1473B" w:rsidP="00FB6661">
            <w:pPr>
              <w:pStyle w:val="TableText"/>
            </w:pPr>
          </w:p>
        </w:tc>
        <w:tc>
          <w:tcPr>
            <w:tcW w:w="624" w:type="dxa"/>
          </w:tcPr>
          <w:p w14:paraId="03037C1A" w14:textId="77777777" w:rsidR="00C1473B" w:rsidRDefault="00C1473B" w:rsidP="00FB6661">
            <w:pPr>
              <w:pStyle w:val="TableText"/>
            </w:pPr>
          </w:p>
        </w:tc>
        <w:tc>
          <w:tcPr>
            <w:tcW w:w="624" w:type="dxa"/>
          </w:tcPr>
          <w:p w14:paraId="37BCA85E" w14:textId="77777777" w:rsidR="00C1473B" w:rsidRDefault="00C1473B" w:rsidP="00FB6661">
            <w:pPr>
              <w:pStyle w:val="TableText"/>
            </w:pPr>
          </w:p>
        </w:tc>
        <w:tc>
          <w:tcPr>
            <w:tcW w:w="624" w:type="dxa"/>
          </w:tcPr>
          <w:p w14:paraId="5B93FD75" w14:textId="77777777" w:rsidR="00C1473B" w:rsidRDefault="00C1473B" w:rsidP="00FB6661">
            <w:pPr>
              <w:pStyle w:val="TableText"/>
            </w:pPr>
          </w:p>
        </w:tc>
        <w:tc>
          <w:tcPr>
            <w:tcW w:w="624" w:type="dxa"/>
          </w:tcPr>
          <w:p w14:paraId="576F6425" w14:textId="77777777" w:rsidR="00C1473B" w:rsidRDefault="00C1473B" w:rsidP="00FB6661">
            <w:pPr>
              <w:pStyle w:val="TableText"/>
            </w:pPr>
          </w:p>
        </w:tc>
        <w:tc>
          <w:tcPr>
            <w:tcW w:w="4023" w:type="dxa"/>
          </w:tcPr>
          <w:p w14:paraId="6761B5D5" w14:textId="77777777" w:rsidR="00C1473B" w:rsidRPr="005C2E24" w:rsidRDefault="00C1473B" w:rsidP="00FB6661">
            <w:pPr>
              <w:pStyle w:val="TableBlock"/>
              <w:rPr>
                <w:rtl/>
              </w:rPr>
            </w:pPr>
            <w:r>
              <w:rPr>
                <w:rFonts w:hint="cs"/>
                <w:rtl/>
              </w:rPr>
              <w:t>(6)</w:t>
            </w:r>
            <w:r>
              <w:rPr>
                <w:rtl/>
              </w:rPr>
              <w:tab/>
            </w:r>
            <w:r>
              <w:rPr>
                <w:rFonts w:hint="cs"/>
                <w:rtl/>
              </w:rPr>
              <w:t xml:space="preserve">מקרקעין שהם </w:t>
            </w:r>
            <w:r w:rsidRPr="005C2E24">
              <w:rPr>
                <w:rFonts w:hint="cs"/>
                <w:rtl/>
              </w:rPr>
              <w:t>רכוש נטוש כהגדרתו בצו בדבר נכסים נטושים</w:t>
            </w:r>
            <w:r>
              <w:rPr>
                <w:rFonts w:hint="cs"/>
                <w:rtl/>
              </w:rPr>
              <w:t>,</w:t>
            </w:r>
            <w:r w:rsidRPr="005C2E24">
              <w:rPr>
                <w:rFonts w:hint="cs"/>
                <w:rtl/>
              </w:rPr>
              <w:t xml:space="preserve"> שהועבר</w:t>
            </w:r>
            <w:r>
              <w:rPr>
                <w:rFonts w:hint="cs"/>
                <w:rtl/>
              </w:rPr>
              <w:t>ו</w:t>
            </w:r>
            <w:r w:rsidRPr="005C2E24">
              <w:rPr>
                <w:rFonts w:hint="cs"/>
                <w:rtl/>
              </w:rPr>
              <w:t xml:space="preserve"> לניהול</w:t>
            </w:r>
            <w:r>
              <w:rPr>
                <w:rFonts w:hint="cs"/>
                <w:rtl/>
              </w:rPr>
              <w:t>ה</w:t>
            </w:r>
            <w:r w:rsidRPr="005C2E24">
              <w:rPr>
                <w:rFonts w:hint="cs"/>
                <w:rtl/>
              </w:rPr>
              <w:t xml:space="preserve"> </w:t>
            </w:r>
            <w:r>
              <w:rPr>
                <w:rFonts w:hint="cs"/>
                <w:rtl/>
              </w:rPr>
              <w:t xml:space="preserve">של </w:t>
            </w:r>
            <w:r w:rsidRPr="005C2E24">
              <w:rPr>
                <w:rFonts w:hint="cs"/>
                <w:rtl/>
              </w:rPr>
              <w:t>ההסתדרות</w:t>
            </w:r>
            <w:r>
              <w:rPr>
                <w:rFonts w:hint="cs"/>
                <w:rtl/>
              </w:rPr>
              <w:t xml:space="preserve"> או שיועדו לצורכי התיישבות</w:t>
            </w:r>
            <w:r w:rsidRPr="005C2E24">
              <w:rPr>
                <w:rFonts w:hint="cs"/>
                <w:rtl/>
              </w:rPr>
              <w:t>;</w:t>
            </w:r>
          </w:p>
        </w:tc>
      </w:tr>
      <w:tr w:rsidR="00C1473B" w14:paraId="423E54C7" w14:textId="77777777" w:rsidTr="00FB6661">
        <w:trPr>
          <w:cantSplit/>
        </w:trPr>
        <w:tc>
          <w:tcPr>
            <w:tcW w:w="1872" w:type="dxa"/>
          </w:tcPr>
          <w:p w14:paraId="7B6A276E" w14:textId="77777777" w:rsidR="00C1473B" w:rsidRDefault="00C1473B" w:rsidP="00FB6661">
            <w:pPr>
              <w:pStyle w:val="TableSideHeading"/>
            </w:pPr>
          </w:p>
        </w:tc>
        <w:tc>
          <w:tcPr>
            <w:tcW w:w="624" w:type="dxa"/>
          </w:tcPr>
          <w:p w14:paraId="3277B0AE" w14:textId="77777777" w:rsidR="00C1473B" w:rsidRDefault="00C1473B" w:rsidP="00FB6661">
            <w:pPr>
              <w:pStyle w:val="TableText"/>
            </w:pPr>
          </w:p>
        </w:tc>
        <w:tc>
          <w:tcPr>
            <w:tcW w:w="624" w:type="dxa"/>
          </w:tcPr>
          <w:p w14:paraId="34C1D7A8" w14:textId="77777777" w:rsidR="00C1473B" w:rsidRDefault="00C1473B" w:rsidP="00FB6661">
            <w:pPr>
              <w:pStyle w:val="TableText"/>
            </w:pPr>
          </w:p>
        </w:tc>
        <w:tc>
          <w:tcPr>
            <w:tcW w:w="624" w:type="dxa"/>
          </w:tcPr>
          <w:p w14:paraId="0B7B16B6" w14:textId="77777777" w:rsidR="00C1473B" w:rsidRDefault="00C1473B" w:rsidP="00FB6661">
            <w:pPr>
              <w:pStyle w:val="TableText"/>
            </w:pPr>
          </w:p>
        </w:tc>
        <w:tc>
          <w:tcPr>
            <w:tcW w:w="624" w:type="dxa"/>
          </w:tcPr>
          <w:p w14:paraId="0C22ECF5" w14:textId="77777777" w:rsidR="00C1473B" w:rsidRDefault="00C1473B" w:rsidP="00FB6661">
            <w:pPr>
              <w:pStyle w:val="TableText"/>
            </w:pPr>
          </w:p>
        </w:tc>
        <w:tc>
          <w:tcPr>
            <w:tcW w:w="624" w:type="dxa"/>
          </w:tcPr>
          <w:p w14:paraId="32E92642" w14:textId="77777777" w:rsidR="00C1473B" w:rsidRDefault="00C1473B" w:rsidP="00FB6661">
            <w:pPr>
              <w:pStyle w:val="TableText"/>
            </w:pPr>
          </w:p>
        </w:tc>
        <w:tc>
          <w:tcPr>
            <w:tcW w:w="4647" w:type="dxa"/>
            <w:gridSpan w:val="2"/>
          </w:tcPr>
          <w:p w14:paraId="356D6EBF" w14:textId="0D0F9011" w:rsidR="00C1473B" w:rsidRPr="00C10D0A" w:rsidRDefault="00C1473B" w:rsidP="008D1E37">
            <w:pPr>
              <w:pStyle w:val="TableBlockOutdent"/>
            </w:pPr>
            <w:r w:rsidRPr="00C10D0A">
              <w:rPr>
                <w:rFonts w:hint="cs"/>
                <w:rtl/>
              </w:rPr>
              <w:t xml:space="preserve">"מקרקעין המיועדים לאמצעי ייצור" </w:t>
            </w:r>
            <w:r w:rsidRPr="00C10D0A">
              <w:rPr>
                <w:rtl/>
              </w:rPr>
              <w:t>–</w:t>
            </w:r>
            <w:r w:rsidRPr="00C10D0A">
              <w:rPr>
                <w:rFonts w:hint="cs"/>
                <w:rtl/>
              </w:rPr>
              <w:t xml:space="preserve"> מקרקעין המיועדים</w:t>
            </w:r>
            <w:r>
              <w:rPr>
                <w:rFonts w:hint="cs"/>
                <w:rtl/>
              </w:rPr>
              <w:t xml:space="preserve"> לשמש כאמצעי ייצור, ובכלל זה</w:t>
            </w:r>
            <w:r w:rsidRPr="00C10D0A">
              <w:rPr>
                <w:rFonts w:hint="cs"/>
                <w:rtl/>
              </w:rPr>
              <w:t xml:space="preserve"> </w:t>
            </w:r>
            <w:r>
              <w:rPr>
                <w:rFonts w:hint="cs"/>
                <w:rtl/>
              </w:rPr>
              <w:t xml:space="preserve">מקרקעין המיועדים </w:t>
            </w:r>
            <w:r w:rsidRPr="00C10D0A">
              <w:rPr>
                <w:rFonts w:hint="cs"/>
                <w:rtl/>
              </w:rPr>
              <w:t xml:space="preserve">לחקלאות, </w:t>
            </w:r>
            <w:r>
              <w:rPr>
                <w:rFonts w:hint="cs"/>
                <w:rtl/>
              </w:rPr>
              <w:t>למרעה, ל</w:t>
            </w:r>
            <w:r w:rsidRPr="00C10D0A">
              <w:rPr>
                <w:rFonts w:hint="cs"/>
                <w:rtl/>
              </w:rPr>
              <w:t>תעשייה</w:t>
            </w:r>
            <w:r>
              <w:rPr>
                <w:rFonts w:hint="cs"/>
                <w:rtl/>
              </w:rPr>
              <w:t xml:space="preserve"> ולמלאכה</w:t>
            </w:r>
            <w:r w:rsidRPr="00C10D0A">
              <w:rPr>
                <w:rFonts w:hint="cs"/>
                <w:rtl/>
              </w:rPr>
              <w:t xml:space="preserve">, </w:t>
            </w:r>
            <w:r>
              <w:rPr>
                <w:rFonts w:hint="cs"/>
                <w:rtl/>
              </w:rPr>
              <w:t>ל</w:t>
            </w:r>
            <w:r w:rsidRPr="00C10D0A">
              <w:rPr>
                <w:rFonts w:hint="cs"/>
                <w:rtl/>
              </w:rPr>
              <w:t xml:space="preserve">תיירות, </w:t>
            </w:r>
            <w:r>
              <w:rPr>
                <w:rFonts w:hint="cs"/>
                <w:rtl/>
              </w:rPr>
              <w:t>ל</w:t>
            </w:r>
            <w:r w:rsidRPr="00C10D0A">
              <w:rPr>
                <w:rFonts w:hint="cs"/>
                <w:rtl/>
              </w:rPr>
              <w:t>מסחר ו</w:t>
            </w:r>
            <w:r>
              <w:rPr>
                <w:rFonts w:hint="cs"/>
                <w:rtl/>
              </w:rPr>
              <w:t>ל</w:t>
            </w:r>
            <w:r w:rsidRPr="00C10D0A">
              <w:rPr>
                <w:rFonts w:hint="cs"/>
                <w:rtl/>
              </w:rPr>
              <w:t>שירותים</w:t>
            </w:r>
            <w:r w:rsidR="008D1E37">
              <w:rPr>
                <w:rFonts w:hint="cs"/>
                <w:rtl/>
              </w:rPr>
              <w:t>.</w:t>
            </w:r>
          </w:p>
        </w:tc>
      </w:tr>
      <w:tr w:rsidR="00C1473B" w14:paraId="5774F033" w14:textId="77777777" w:rsidTr="00FB6661">
        <w:trPr>
          <w:cantSplit/>
        </w:trPr>
        <w:tc>
          <w:tcPr>
            <w:tcW w:w="1872" w:type="dxa"/>
          </w:tcPr>
          <w:p w14:paraId="6C472364" w14:textId="77777777" w:rsidR="00C1473B" w:rsidRDefault="00C1473B" w:rsidP="00FB6661">
            <w:pPr>
              <w:pStyle w:val="TableSideHeading"/>
            </w:pPr>
          </w:p>
        </w:tc>
        <w:tc>
          <w:tcPr>
            <w:tcW w:w="624" w:type="dxa"/>
          </w:tcPr>
          <w:p w14:paraId="0025B003" w14:textId="77777777" w:rsidR="00C1473B" w:rsidRDefault="00C1473B" w:rsidP="00FB6661">
            <w:pPr>
              <w:pStyle w:val="TableText"/>
            </w:pPr>
          </w:p>
        </w:tc>
        <w:tc>
          <w:tcPr>
            <w:tcW w:w="624" w:type="dxa"/>
          </w:tcPr>
          <w:p w14:paraId="40DE2028" w14:textId="77777777" w:rsidR="00C1473B" w:rsidRDefault="00C1473B" w:rsidP="00FB6661">
            <w:pPr>
              <w:pStyle w:val="TableText"/>
            </w:pPr>
          </w:p>
        </w:tc>
        <w:tc>
          <w:tcPr>
            <w:tcW w:w="624" w:type="dxa"/>
          </w:tcPr>
          <w:p w14:paraId="248479CC" w14:textId="77777777" w:rsidR="00C1473B" w:rsidRDefault="00C1473B" w:rsidP="00FB6661">
            <w:pPr>
              <w:pStyle w:val="TableText"/>
            </w:pPr>
          </w:p>
        </w:tc>
        <w:tc>
          <w:tcPr>
            <w:tcW w:w="624" w:type="dxa"/>
          </w:tcPr>
          <w:p w14:paraId="0941521E" w14:textId="77777777" w:rsidR="00C1473B" w:rsidRDefault="00C1473B" w:rsidP="00FB6661">
            <w:pPr>
              <w:pStyle w:val="TableText"/>
            </w:pPr>
          </w:p>
        </w:tc>
        <w:tc>
          <w:tcPr>
            <w:tcW w:w="624" w:type="dxa"/>
          </w:tcPr>
          <w:p w14:paraId="29F7F58F" w14:textId="77777777" w:rsidR="00C1473B" w:rsidRDefault="00C1473B" w:rsidP="00FB6661">
            <w:pPr>
              <w:pStyle w:val="TableText"/>
            </w:pPr>
          </w:p>
        </w:tc>
        <w:tc>
          <w:tcPr>
            <w:tcW w:w="4647" w:type="dxa"/>
            <w:gridSpan w:val="2"/>
          </w:tcPr>
          <w:p w14:paraId="28942C51" w14:textId="77777777" w:rsidR="00C1473B" w:rsidRPr="00C10D0A" w:rsidRDefault="00C1473B" w:rsidP="00FB6661">
            <w:pPr>
              <w:pStyle w:val="TableBlock"/>
              <w:rPr>
                <w:rtl/>
              </w:rPr>
            </w:pPr>
            <w:r>
              <w:rPr>
                <w:rFonts w:hint="cs"/>
                <w:rtl/>
              </w:rPr>
              <w:t>(ב)</w:t>
            </w:r>
            <w:r>
              <w:rPr>
                <w:rtl/>
              </w:rPr>
              <w:tab/>
              <w:t xml:space="preserve">הממונה </w:t>
            </w:r>
            <w:r>
              <w:rPr>
                <w:rFonts w:hint="cs"/>
                <w:rtl/>
              </w:rPr>
              <w:t xml:space="preserve">יחכיר להסתדרות מקרקעין. </w:t>
            </w:r>
          </w:p>
        </w:tc>
      </w:tr>
      <w:tr w:rsidR="00C1473B" w14:paraId="40194716" w14:textId="77777777" w:rsidTr="00FB6661">
        <w:trPr>
          <w:cantSplit/>
        </w:trPr>
        <w:tc>
          <w:tcPr>
            <w:tcW w:w="1872" w:type="dxa"/>
          </w:tcPr>
          <w:p w14:paraId="3C2FA706" w14:textId="77777777" w:rsidR="00C1473B" w:rsidRDefault="00C1473B" w:rsidP="00FB6661">
            <w:pPr>
              <w:pStyle w:val="TableSideHeading"/>
            </w:pPr>
          </w:p>
        </w:tc>
        <w:tc>
          <w:tcPr>
            <w:tcW w:w="624" w:type="dxa"/>
          </w:tcPr>
          <w:p w14:paraId="0B276A7F" w14:textId="77777777" w:rsidR="00C1473B" w:rsidRDefault="00C1473B" w:rsidP="00FB6661">
            <w:pPr>
              <w:pStyle w:val="TableText"/>
            </w:pPr>
          </w:p>
        </w:tc>
        <w:tc>
          <w:tcPr>
            <w:tcW w:w="624" w:type="dxa"/>
          </w:tcPr>
          <w:p w14:paraId="022D5166" w14:textId="77777777" w:rsidR="00C1473B" w:rsidRDefault="00C1473B" w:rsidP="00FB6661">
            <w:pPr>
              <w:pStyle w:val="TableText"/>
            </w:pPr>
          </w:p>
        </w:tc>
        <w:tc>
          <w:tcPr>
            <w:tcW w:w="624" w:type="dxa"/>
          </w:tcPr>
          <w:p w14:paraId="1F985F91" w14:textId="77777777" w:rsidR="00C1473B" w:rsidRDefault="00C1473B" w:rsidP="00FB6661">
            <w:pPr>
              <w:pStyle w:val="TableText"/>
            </w:pPr>
          </w:p>
        </w:tc>
        <w:tc>
          <w:tcPr>
            <w:tcW w:w="624" w:type="dxa"/>
          </w:tcPr>
          <w:p w14:paraId="33970948" w14:textId="77777777" w:rsidR="00C1473B" w:rsidRDefault="00C1473B" w:rsidP="00FB6661">
            <w:pPr>
              <w:pStyle w:val="TableText"/>
            </w:pPr>
          </w:p>
        </w:tc>
        <w:tc>
          <w:tcPr>
            <w:tcW w:w="624" w:type="dxa"/>
          </w:tcPr>
          <w:p w14:paraId="444BE433" w14:textId="77777777" w:rsidR="00C1473B" w:rsidRDefault="00C1473B" w:rsidP="00FB6661">
            <w:pPr>
              <w:pStyle w:val="TableText"/>
            </w:pPr>
          </w:p>
        </w:tc>
        <w:tc>
          <w:tcPr>
            <w:tcW w:w="4647" w:type="dxa"/>
            <w:gridSpan w:val="2"/>
          </w:tcPr>
          <w:p w14:paraId="2E7E5896" w14:textId="77777777" w:rsidR="00C1473B" w:rsidRDefault="00C1473B" w:rsidP="00FB6661">
            <w:pPr>
              <w:pStyle w:val="TableBlock"/>
              <w:rPr>
                <w:rtl/>
              </w:rPr>
            </w:pPr>
            <w:r>
              <w:rPr>
                <w:rFonts w:hint="cs"/>
                <w:rtl/>
              </w:rPr>
              <w:t>(ג)</w:t>
            </w:r>
            <w:r>
              <w:rPr>
                <w:rtl/>
              </w:rPr>
              <w:tab/>
            </w:r>
            <w:r>
              <w:rPr>
                <w:rFonts w:hint="cs"/>
                <w:rtl/>
              </w:rPr>
              <w:t>החל מיום תחילתו של חוק זה מקרקעין המיועדים להתיישבות הכפרית יוקצו באמצעות ההסתדרות בלבד.</w:t>
            </w:r>
          </w:p>
        </w:tc>
      </w:tr>
      <w:tr w:rsidR="00C1473B" w14:paraId="418487E7" w14:textId="77777777" w:rsidTr="00FB6661">
        <w:trPr>
          <w:cantSplit/>
        </w:trPr>
        <w:tc>
          <w:tcPr>
            <w:tcW w:w="1872" w:type="dxa"/>
          </w:tcPr>
          <w:p w14:paraId="24C8F39B" w14:textId="77777777" w:rsidR="00C1473B" w:rsidRPr="00E42A6D" w:rsidRDefault="00C1473B" w:rsidP="00FB6661">
            <w:pPr>
              <w:pStyle w:val="TableSideHeading"/>
            </w:pPr>
          </w:p>
        </w:tc>
        <w:tc>
          <w:tcPr>
            <w:tcW w:w="624" w:type="dxa"/>
          </w:tcPr>
          <w:p w14:paraId="4C364844" w14:textId="77777777" w:rsidR="00C1473B" w:rsidRDefault="00C1473B" w:rsidP="00FB6661">
            <w:pPr>
              <w:pStyle w:val="TableText"/>
            </w:pPr>
          </w:p>
        </w:tc>
        <w:tc>
          <w:tcPr>
            <w:tcW w:w="624" w:type="dxa"/>
          </w:tcPr>
          <w:p w14:paraId="597F3311" w14:textId="77777777" w:rsidR="00C1473B" w:rsidRDefault="00C1473B" w:rsidP="00FB6661">
            <w:pPr>
              <w:pStyle w:val="TableText"/>
            </w:pPr>
          </w:p>
        </w:tc>
        <w:tc>
          <w:tcPr>
            <w:tcW w:w="624" w:type="dxa"/>
          </w:tcPr>
          <w:p w14:paraId="7FD6EF42" w14:textId="77777777" w:rsidR="00C1473B" w:rsidRDefault="00C1473B" w:rsidP="00FB6661">
            <w:pPr>
              <w:pStyle w:val="TableText"/>
            </w:pPr>
          </w:p>
        </w:tc>
        <w:tc>
          <w:tcPr>
            <w:tcW w:w="624" w:type="dxa"/>
          </w:tcPr>
          <w:p w14:paraId="73A5C03E" w14:textId="77777777" w:rsidR="00C1473B" w:rsidRDefault="00C1473B" w:rsidP="00FB6661">
            <w:pPr>
              <w:pStyle w:val="TableText"/>
            </w:pPr>
          </w:p>
        </w:tc>
        <w:tc>
          <w:tcPr>
            <w:tcW w:w="624" w:type="dxa"/>
          </w:tcPr>
          <w:p w14:paraId="38CD01BC" w14:textId="77777777" w:rsidR="00C1473B" w:rsidRDefault="00C1473B" w:rsidP="00FB6661">
            <w:pPr>
              <w:pStyle w:val="TableText"/>
            </w:pPr>
          </w:p>
        </w:tc>
        <w:tc>
          <w:tcPr>
            <w:tcW w:w="4647" w:type="dxa"/>
            <w:gridSpan w:val="2"/>
          </w:tcPr>
          <w:p w14:paraId="2BC862D6" w14:textId="77777777" w:rsidR="00C1473B" w:rsidRDefault="00C1473B" w:rsidP="00FB6661">
            <w:pPr>
              <w:pStyle w:val="TableBlock"/>
            </w:pPr>
            <w:r>
              <w:rPr>
                <w:rFonts w:hint="cs"/>
                <w:rtl/>
              </w:rPr>
              <w:t>(ד)</w:t>
            </w:r>
            <w:r>
              <w:rPr>
                <w:rtl/>
              </w:rPr>
              <w:tab/>
            </w:r>
            <w:r>
              <w:rPr>
                <w:rFonts w:hint="cs"/>
                <w:rtl/>
              </w:rPr>
              <w:t>ההסתדרות תנהל את המקרקעין שהוחכרו לה לפי סעיף קטן (ב), ובכלל זה תקצה את המקרקעין ותנהל את רישום הזכויות בהם  וזאת, ככל הניתן, בהתאם למדיניות ניהול המקרקעין המקובלת ברשות מקרקעי ישראל ובשינויים המחויבים.</w:t>
            </w:r>
          </w:p>
        </w:tc>
      </w:tr>
      <w:tr w:rsidR="00C1473B" w14:paraId="622552DD" w14:textId="77777777" w:rsidTr="00FB6661">
        <w:trPr>
          <w:cantSplit/>
        </w:trPr>
        <w:tc>
          <w:tcPr>
            <w:tcW w:w="1872" w:type="dxa"/>
          </w:tcPr>
          <w:p w14:paraId="145E92CB" w14:textId="77777777" w:rsidR="00C1473B" w:rsidRDefault="00C1473B" w:rsidP="00FB6661">
            <w:pPr>
              <w:pStyle w:val="TableSideHeading"/>
            </w:pPr>
          </w:p>
        </w:tc>
        <w:tc>
          <w:tcPr>
            <w:tcW w:w="624" w:type="dxa"/>
          </w:tcPr>
          <w:p w14:paraId="0B32427A" w14:textId="77777777" w:rsidR="00C1473B" w:rsidRDefault="00C1473B" w:rsidP="00FB6661">
            <w:pPr>
              <w:pStyle w:val="TableText"/>
            </w:pPr>
          </w:p>
        </w:tc>
        <w:tc>
          <w:tcPr>
            <w:tcW w:w="624" w:type="dxa"/>
          </w:tcPr>
          <w:p w14:paraId="222CF5CC" w14:textId="77777777" w:rsidR="00C1473B" w:rsidRDefault="00C1473B" w:rsidP="00FB6661">
            <w:pPr>
              <w:pStyle w:val="TableText"/>
            </w:pPr>
          </w:p>
        </w:tc>
        <w:tc>
          <w:tcPr>
            <w:tcW w:w="624" w:type="dxa"/>
          </w:tcPr>
          <w:p w14:paraId="31DE64C8" w14:textId="77777777" w:rsidR="00C1473B" w:rsidRDefault="00C1473B" w:rsidP="00FB6661">
            <w:pPr>
              <w:pStyle w:val="TableText"/>
            </w:pPr>
          </w:p>
        </w:tc>
        <w:tc>
          <w:tcPr>
            <w:tcW w:w="624" w:type="dxa"/>
          </w:tcPr>
          <w:p w14:paraId="3BCD260C" w14:textId="77777777" w:rsidR="00C1473B" w:rsidRDefault="00C1473B" w:rsidP="00FB6661">
            <w:pPr>
              <w:pStyle w:val="TableText"/>
            </w:pPr>
          </w:p>
        </w:tc>
        <w:tc>
          <w:tcPr>
            <w:tcW w:w="624" w:type="dxa"/>
          </w:tcPr>
          <w:p w14:paraId="48396896" w14:textId="77777777" w:rsidR="00C1473B" w:rsidRDefault="00C1473B" w:rsidP="00FB6661">
            <w:pPr>
              <w:pStyle w:val="TableText"/>
            </w:pPr>
          </w:p>
        </w:tc>
        <w:tc>
          <w:tcPr>
            <w:tcW w:w="4647" w:type="dxa"/>
            <w:gridSpan w:val="2"/>
          </w:tcPr>
          <w:p w14:paraId="5D6E0E3E" w14:textId="77777777" w:rsidR="00C1473B" w:rsidRDefault="00C1473B" w:rsidP="00FB6661">
            <w:pPr>
              <w:pStyle w:val="TableBlock"/>
              <w:rPr>
                <w:rtl/>
              </w:rPr>
            </w:pPr>
            <w:r>
              <w:rPr>
                <w:rFonts w:hint="cs"/>
                <w:rtl/>
              </w:rPr>
              <w:t>(ה)</w:t>
            </w:r>
            <w:r>
              <w:rPr>
                <w:rtl/>
              </w:rPr>
              <w:tab/>
            </w:r>
            <w:r>
              <w:rPr>
                <w:rFonts w:hint="cs"/>
                <w:rtl/>
              </w:rPr>
              <w:t>ניהול המקרקעין על ידי ההסתדרות כאמור בסעיף קטן (ד), ייעשה בהתאם למדיניות הממשלה והוראותיה, כפי שייקבעו מעת לעת.</w:t>
            </w:r>
          </w:p>
        </w:tc>
      </w:tr>
      <w:tr w:rsidR="00C1473B" w14:paraId="3CB178CE" w14:textId="77777777" w:rsidTr="00FB6661">
        <w:trPr>
          <w:cantSplit/>
        </w:trPr>
        <w:tc>
          <w:tcPr>
            <w:tcW w:w="1872" w:type="dxa"/>
          </w:tcPr>
          <w:p w14:paraId="4CE8C92B" w14:textId="77777777" w:rsidR="00C1473B" w:rsidRDefault="00C1473B" w:rsidP="00FB6661">
            <w:pPr>
              <w:pStyle w:val="TableSideHeading"/>
            </w:pPr>
          </w:p>
        </w:tc>
        <w:tc>
          <w:tcPr>
            <w:tcW w:w="624" w:type="dxa"/>
          </w:tcPr>
          <w:p w14:paraId="197A4B25" w14:textId="77777777" w:rsidR="00C1473B" w:rsidRDefault="00C1473B" w:rsidP="00FB6661">
            <w:pPr>
              <w:pStyle w:val="TableText"/>
            </w:pPr>
          </w:p>
        </w:tc>
        <w:tc>
          <w:tcPr>
            <w:tcW w:w="624" w:type="dxa"/>
          </w:tcPr>
          <w:p w14:paraId="03A179BA" w14:textId="77777777" w:rsidR="00C1473B" w:rsidRDefault="00C1473B" w:rsidP="00FB6661">
            <w:pPr>
              <w:pStyle w:val="TableText"/>
            </w:pPr>
          </w:p>
        </w:tc>
        <w:tc>
          <w:tcPr>
            <w:tcW w:w="624" w:type="dxa"/>
          </w:tcPr>
          <w:p w14:paraId="64C77949" w14:textId="77777777" w:rsidR="00C1473B" w:rsidRDefault="00C1473B" w:rsidP="00FB6661">
            <w:pPr>
              <w:pStyle w:val="TableText"/>
            </w:pPr>
          </w:p>
        </w:tc>
        <w:tc>
          <w:tcPr>
            <w:tcW w:w="624" w:type="dxa"/>
          </w:tcPr>
          <w:p w14:paraId="5384BF82" w14:textId="77777777" w:rsidR="00C1473B" w:rsidRDefault="00C1473B" w:rsidP="00FB6661">
            <w:pPr>
              <w:pStyle w:val="TableText"/>
            </w:pPr>
          </w:p>
        </w:tc>
        <w:tc>
          <w:tcPr>
            <w:tcW w:w="624" w:type="dxa"/>
          </w:tcPr>
          <w:p w14:paraId="26B3BDD6" w14:textId="77777777" w:rsidR="00C1473B" w:rsidRDefault="00C1473B" w:rsidP="00FB6661">
            <w:pPr>
              <w:pStyle w:val="TableText"/>
            </w:pPr>
          </w:p>
        </w:tc>
        <w:tc>
          <w:tcPr>
            <w:tcW w:w="4647" w:type="dxa"/>
            <w:gridSpan w:val="2"/>
          </w:tcPr>
          <w:p w14:paraId="58868BE3" w14:textId="77777777" w:rsidR="00C1473B" w:rsidRDefault="00C1473B" w:rsidP="00FB6661">
            <w:pPr>
              <w:pStyle w:val="TableBlock"/>
              <w:rPr>
                <w:rtl/>
              </w:rPr>
            </w:pPr>
            <w:r>
              <w:rPr>
                <w:rFonts w:hint="cs"/>
                <w:rtl/>
              </w:rPr>
              <w:t>(ו)</w:t>
            </w:r>
            <w:r>
              <w:rPr>
                <w:rtl/>
              </w:rPr>
              <w:tab/>
            </w:r>
            <w:r>
              <w:rPr>
                <w:rFonts w:hint="cs"/>
                <w:rtl/>
              </w:rPr>
              <w:t>הכנסות ההסתדרות הנובעות מניהול המקרקעין על פי סעיף זה, יועברו לאוצר המדינה; גובה התשלום שיועבר להסתדרות לשם ניהול המקרקעין כאמור בסעיף זה ייקבע בתקציב המדינה.</w:t>
            </w:r>
          </w:p>
        </w:tc>
      </w:tr>
      <w:tr w:rsidR="00C1473B" w14:paraId="0F9BB249" w14:textId="77777777" w:rsidTr="00FB6661">
        <w:trPr>
          <w:cantSplit/>
        </w:trPr>
        <w:tc>
          <w:tcPr>
            <w:tcW w:w="1872" w:type="dxa"/>
          </w:tcPr>
          <w:p w14:paraId="7F743B8B" w14:textId="77777777" w:rsidR="00C1473B" w:rsidRDefault="00C1473B" w:rsidP="00FB6661">
            <w:pPr>
              <w:pStyle w:val="TableSideHeading"/>
            </w:pPr>
          </w:p>
        </w:tc>
        <w:tc>
          <w:tcPr>
            <w:tcW w:w="624" w:type="dxa"/>
          </w:tcPr>
          <w:p w14:paraId="291D32FE" w14:textId="77777777" w:rsidR="00C1473B" w:rsidRDefault="00C1473B" w:rsidP="00FB6661">
            <w:pPr>
              <w:pStyle w:val="TableText"/>
            </w:pPr>
          </w:p>
        </w:tc>
        <w:tc>
          <w:tcPr>
            <w:tcW w:w="624" w:type="dxa"/>
          </w:tcPr>
          <w:p w14:paraId="6039F88A" w14:textId="77777777" w:rsidR="00C1473B" w:rsidRDefault="00C1473B" w:rsidP="00FB6661">
            <w:pPr>
              <w:pStyle w:val="TableText"/>
            </w:pPr>
          </w:p>
        </w:tc>
        <w:tc>
          <w:tcPr>
            <w:tcW w:w="624" w:type="dxa"/>
          </w:tcPr>
          <w:p w14:paraId="2B009DCD" w14:textId="77777777" w:rsidR="00C1473B" w:rsidRDefault="00C1473B" w:rsidP="00FB6661">
            <w:pPr>
              <w:pStyle w:val="TableText"/>
            </w:pPr>
          </w:p>
        </w:tc>
        <w:tc>
          <w:tcPr>
            <w:tcW w:w="624" w:type="dxa"/>
          </w:tcPr>
          <w:p w14:paraId="51B288E1" w14:textId="77777777" w:rsidR="00C1473B" w:rsidRDefault="00C1473B" w:rsidP="00FB6661">
            <w:pPr>
              <w:pStyle w:val="TableText"/>
            </w:pPr>
          </w:p>
        </w:tc>
        <w:tc>
          <w:tcPr>
            <w:tcW w:w="624" w:type="dxa"/>
          </w:tcPr>
          <w:p w14:paraId="4939FD8C" w14:textId="77777777" w:rsidR="00C1473B" w:rsidRDefault="00C1473B" w:rsidP="00FB6661">
            <w:pPr>
              <w:pStyle w:val="TableText"/>
            </w:pPr>
          </w:p>
        </w:tc>
        <w:tc>
          <w:tcPr>
            <w:tcW w:w="4647" w:type="dxa"/>
            <w:gridSpan w:val="2"/>
          </w:tcPr>
          <w:p w14:paraId="50C0CD95" w14:textId="77777777" w:rsidR="00C1473B" w:rsidRDefault="00C1473B" w:rsidP="00FB6661">
            <w:pPr>
              <w:pStyle w:val="TableBlock"/>
              <w:rPr>
                <w:rtl/>
              </w:rPr>
            </w:pPr>
            <w:r w:rsidRPr="00822D5C">
              <w:rPr>
                <w:rFonts w:hint="cs"/>
                <w:rtl/>
              </w:rPr>
              <w:t>(</w:t>
            </w:r>
            <w:r>
              <w:rPr>
                <w:rFonts w:hint="cs"/>
                <w:rtl/>
              </w:rPr>
              <w:t>ז</w:t>
            </w:r>
            <w:r w:rsidRPr="00822D5C">
              <w:rPr>
                <w:rFonts w:hint="cs"/>
                <w:rtl/>
              </w:rPr>
              <w:t>)</w:t>
            </w:r>
            <w:r w:rsidRPr="00822D5C">
              <w:rPr>
                <w:rtl/>
              </w:rPr>
              <w:tab/>
            </w:r>
            <w:r w:rsidRPr="00822D5C">
              <w:rPr>
                <w:rFonts w:hint="cs"/>
                <w:rtl/>
              </w:rPr>
              <w:t xml:space="preserve">על אף האמור </w:t>
            </w:r>
            <w:r>
              <w:rPr>
                <w:rFonts w:hint="cs"/>
                <w:rtl/>
              </w:rPr>
              <w:t>בחוק זה</w:t>
            </w:r>
            <w:r w:rsidRPr="00822D5C">
              <w:rPr>
                <w:rFonts w:hint="cs"/>
                <w:rtl/>
              </w:rPr>
              <w:t xml:space="preserve"> ובכל דין, הקצאת מקרקעין על ידי ההסתדרות לפי סעיף זה תהיה פטורה ממכרז</w:t>
            </w:r>
            <w:r>
              <w:rPr>
                <w:rFonts w:hint="cs"/>
                <w:rtl/>
              </w:rPr>
              <w:t>.</w:t>
            </w:r>
          </w:p>
        </w:tc>
      </w:tr>
      <w:tr w:rsidR="00C1473B" w14:paraId="143331BD" w14:textId="77777777" w:rsidTr="00FB6661">
        <w:trPr>
          <w:cantSplit/>
        </w:trPr>
        <w:tc>
          <w:tcPr>
            <w:tcW w:w="1872" w:type="dxa"/>
          </w:tcPr>
          <w:p w14:paraId="6313563C" w14:textId="77777777" w:rsidR="00C1473B" w:rsidRDefault="00C1473B" w:rsidP="00FB6661">
            <w:pPr>
              <w:pStyle w:val="TableSideHeading"/>
            </w:pPr>
          </w:p>
        </w:tc>
        <w:tc>
          <w:tcPr>
            <w:tcW w:w="624" w:type="dxa"/>
          </w:tcPr>
          <w:p w14:paraId="77E03314" w14:textId="77777777" w:rsidR="00C1473B" w:rsidRDefault="00C1473B" w:rsidP="00FB6661">
            <w:pPr>
              <w:pStyle w:val="TableText"/>
            </w:pPr>
          </w:p>
        </w:tc>
        <w:tc>
          <w:tcPr>
            <w:tcW w:w="624" w:type="dxa"/>
          </w:tcPr>
          <w:p w14:paraId="6F148D0F" w14:textId="77777777" w:rsidR="00C1473B" w:rsidRDefault="00C1473B" w:rsidP="00FB6661">
            <w:pPr>
              <w:pStyle w:val="TableText"/>
            </w:pPr>
          </w:p>
        </w:tc>
        <w:tc>
          <w:tcPr>
            <w:tcW w:w="624" w:type="dxa"/>
          </w:tcPr>
          <w:p w14:paraId="02746FF7" w14:textId="77777777" w:rsidR="00C1473B" w:rsidRDefault="00C1473B" w:rsidP="00FB6661">
            <w:pPr>
              <w:pStyle w:val="TableText"/>
            </w:pPr>
          </w:p>
        </w:tc>
        <w:tc>
          <w:tcPr>
            <w:tcW w:w="624" w:type="dxa"/>
          </w:tcPr>
          <w:p w14:paraId="47F7FF6B" w14:textId="77777777" w:rsidR="00C1473B" w:rsidRDefault="00C1473B" w:rsidP="00FB6661">
            <w:pPr>
              <w:pStyle w:val="TableText"/>
            </w:pPr>
          </w:p>
        </w:tc>
        <w:tc>
          <w:tcPr>
            <w:tcW w:w="624" w:type="dxa"/>
          </w:tcPr>
          <w:p w14:paraId="100E778E" w14:textId="77777777" w:rsidR="00C1473B" w:rsidRDefault="00C1473B" w:rsidP="00FB6661">
            <w:pPr>
              <w:pStyle w:val="TableText"/>
            </w:pPr>
          </w:p>
        </w:tc>
        <w:tc>
          <w:tcPr>
            <w:tcW w:w="4647" w:type="dxa"/>
            <w:gridSpan w:val="2"/>
          </w:tcPr>
          <w:p w14:paraId="160D383D" w14:textId="4D90F031" w:rsidR="00C1473B" w:rsidRPr="00822D5C" w:rsidRDefault="00C1473B" w:rsidP="00FB6661">
            <w:pPr>
              <w:pStyle w:val="TableBlock"/>
              <w:rPr>
                <w:rtl/>
              </w:rPr>
            </w:pPr>
            <w:r>
              <w:rPr>
                <w:rFonts w:hint="cs"/>
                <w:rtl/>
              </w:rPr>
              <w:t>(ח)</w:t>
            </w:r>
            <w:r>
              <w:rPr>
                <w:rtl/>
              </w:rPr>
              <w:tab/>
            </w:r>
            <w:r w:rsidR="008838B4">
              <w:rPr>
                <w:rFonts w:hint="cs"/>
                <w:rtl/>
              </w:rPr>
              <w:t>הקצאה של זכויות במקרקעין, בהתאם לאמור בסעיפים קטנים (ג) ו-(ד), תהיה כרוכה בתשלום בגין השימוש במקרקעין, למעט אם ההקצאה מחליפה או מאריכה הקצאה קיימת; גובה התשלום יקבע על ידי השמאי הממשלתי באמצעות טבלת מחירים של הישובים השונים וזאת, ככל הניתן, בהתאם למדיניות המקובלת ברשות מקרקעי ישראל ובשינויים המחויבים</w:t>
            </w:r>
            <w:r>
              <w:rPr>
                <w:rFonts w:hint="cs"/>
                <w:rtl/>
              </w:rPr>
              <w:t>.</w:t>
            </w:r>
          </w:p>
        </w:tc>
      </w:tr>
      <w:tr w:rsidR="00C1473B" w14:paraId="3AD41E5F" w14:textId="77777777" w:rsidTr="00FB6661">
        <w:trPr>
          <w:cantSplit/>
        </w:trPr>
        <w:tc>
          <w:tcPr>
            <w:tcW w:w="1872" w:type="dxa"/>
          </w:tcPr>
          <w:p w14:paraId="0B07CE45" w14:textId="77777777" w:rsidR="00C1473B" w:rsidRDefault="00C1473B" w:rsidP="00FB6661">
            <w:pPr>
              <w:pStyle w:val="TableSideHeading"/>
            </w:pPr>
          </w:p>
        </w:tc>
        <w:tc>
          <w:tcPr>
            <w:tcW w:w="624" w:type="dxa"/>
          </w:tcPr>
          <w:p w14:paraId="4580DFCB" w14:textId="77777777" w:rsidR="00C1473B" w:rsidRDefault="00C1473B" w:rsidP="00FB6661">
            <w:pPr>
              <w:pStyle w:val="TableText"/>
            </w:pPr>
          </w:p>
        </w:tc>
        <w:tc>
          <w:tcPr>
            <w:tcW w:w="624" w:type="dxa"/>
          </w:tcPr>
          <w:p w14:paraId="7C164775" w14:textId="77777777" w:rsidR="00C1473B" w:rsidRDefault="00C1473B" w:rsidP="00FB6661">
            <w:pPr>
              <w:pStyle w:val="TableText"/>
            </w:pPr>
          </w:p>
        </w:tc>
        <w:tc>
          <w:tcPr>
            <w:tcW w:w="624" w:type="dxa"/>
          </w:tcPr>
          <w:p w14:paraId="7DC0561A" w14:textId="77777777" w:rsidR="00C1473B" w:rsidRDefault="00C1473B" w:rsidP="00FB6661">
            <w:pPr>
              <w:pStyle w:val="TableText"/>
            </w:pPr>
          </w:p>
        </w:tc>
        <w:tc>
          <w:tcPr>
            <w:tcW w:w="624" w:type="dxa"/>
          </w:tcPr>
          <w:p w14:paraId="56B4145C" w14:textId="77777777" w:rsidR="00C1473B" w:rsidRDefault="00C1473B" w:rsidP="00FB6661">
            <w:pPr>
              <w:pStyle w:val="TableText"/>
            </w:pPr>
          </w:p>
        </w:tc>
        <w:tc>
          <w:tcPr>
            <w:tcW w:w="624" w:type="dxa"/>
          </w:tcPr>
          <w:p w14:paraId="557E036F" w14:textId="77777777" w:rsidR="00C1473B" w:rsidRDefault="00C1473B" w:rsidP="00FB6661">
            <w:pPr>
              <w:pStyle w:val="TableText"/>
            </w:pPr>
          </w:p>
        </w:tc>
        <w:tc>
          <w:tcPr>
            <w:tcW w:w="4647" w:type="dxa"/>
            <w:gridSpan w:val="2"/>
          </w:tcPr>
          <w:p w14:paraId="5E569662" w14:textId="2D2E26FA" w:rsidR="00C1473B" w:rsidRDefault="00C1473B" w:rsidP="00FB6661">
            <w:pPr>
              <w:pStyle w:val="TableBlock"/>
              <w:rPr>
                <w:rtl/>
              </w:rPr>
            </w:pPr>
            <w:r>
              <w:rPr>
                <w:rFonts w:hint="cs"/>
                <w:rtl/>
              </w:rPr>
              <w:t>(ט)</w:t>
            </w:r>
            <w:r>
              <w:rPr>
                <w:rtl/>
              </w:rPr>
              <w:tab/>
            </w:r>
            <w:r>
              <w:rPr>
                <w:rFonts w:hint="cs"/>
                <w:rtl/>
              </w:rPr>
              <w:t>הפיקוח על ההסתדרות יבוצע על ידי אגף פיקוח ובקרה על החטיבה להתיישבות שבמשרד החקלאות.</w:t>
            </w:r>
            <w:r w:rsidR="008838B4">
              <w:rPr>
                <w:rFonts w:hint="cs"/>
                <w:rtl/>
              </w:rPr>
              <w:t>".</w:t>
            </w:r>
          </w:p>
        </w:tc>
      </w:tr>
      <w:tr w:rsidR="00C1473B" w:rsidRPr="00866A28" w14:paraId="71E4E39C" w14:textId="77777777" w:rsidTr="00FB6661">
        <w:trPr>
          <w:cantSplit/>
        </w:trPr>
        <w:tc>
          <w:tcPr>
            <w:tcW w:w="1872" w:type="dxa"/>
          </w:tcPr>
          <w:p w14:paraId="369A1AA9" w14:textId="77777777" w:rsidR="00C1473B" w:rsidRDefault="00C1473B" w:rsidP="00FB6661">
            <w:pPr>
              <w:pStyle w:val="TableSideHeading"/>
            </w:pPr>
            <w:r>
              <w:rPr>
                <w:rFonts w:hint="cs"/>
                <w:rtl/>
              </w:rPr>
              <w:t>הוראות מעבר</w:t>
            </w:r>
          </w:p>
        </w:tc>
        <w:tc>
          <w:tcPr>
            <w:tcW w:w="624" w:type="dxa"/>
          </w:tcPr>
          <w:p w14:paraId="50FDA706" w14:textId="77777777" w:rsidR="00C1473B" w:rsidRDefault="00C1473B" w:rsidP="00FB6661">
            <w:pPr>
              <w:pStyle w:val="TableText"/>
            </w:pPr>
            <w:r>
              <w:rPr>
                <w:rFonts w:hint="cs"/>
                <w:rtl/>
              </w:rPr>
              <w:t>2.</w:t>
            </w:r>
          </w:p>
        </w:tc>
        <w:tc>
          <w:tcPr>
            <w:tcW w:w="7143" w:type="dxa"/>
            <w:gridSpan w:val="6"/>
          </w:tcPr>
          <w:p w14:paraId="2DFD8505" w14:textId="77777777" w:rsidR="00C1473B" w:rsidRPr="00866A28" w:rsidRDefault="00C1473B" w:rsidP="00FB6661">
            <w:pPr>
              <w:pStyle w:val="TableBlock"/>
            </w:pPr>
            <w:r w:rsidRPr="00866A28">
              <w:rPr>
                <w:rFonts w:hint="cs"/>
                <w:rtl/>
              </w:rPr>
              <w:t>(א)</w:t>
            </w:r>
            <w:r w:rsidRPr="00866A28">
              <w:rPr>
                <w:rtl/>
              </w:rPr>
              <w:tab/>
            </w:r>
            <w:r>
              <w:rPr>
                <w:rFonts w:hint="cs"/>
                <w:rtl/>
              </w:rPr>
              <w:t xml:space="preserve"> מקרקעין</w:t>
            </w:r>
            <w:r w:rsidRPr="00866A28">
              <w:rPr>
                <w:rFonts w:hint="cs"/>
                <w:rtl/>
              </w:rPr>
              <w:t xml:space="preserve"> שהממונה הקצה </w:t>
            </w:r>
            <w:r>
              <w:rPr>
                <w:rFonts w:hint="cs"/>
                <w:rtl/>
              </w:rPr>
              <w:t>ל</w:t>
            </w:r>
            <w:r w:rsidRPr="00866A28">
              <w:rPr>
                <w:rFonts w:hint="cs"/>
                <w:rtl/>
              </w:rPr>
              <w:t xml:space="preserve">הסתדרות באמצעות הסכמי הרשאה </w:t>
            </w:r>
            <w:r>
              <w:rPr>
                <w:rFonts w:hint="cs"/>
                <w:rtl/>
              </w:rPr>
              <w:t>א</w:t>
            </w:r>
            <w:r w:rsidRPr="00866A28">
              <w:rPr>
                <w:rFonts w:hint="cs"/>
                <w:rtl/>
              </w:rPr>
              <w:t>ו</w:t>
            </w:r>
            <w:r>
              <w:rPr>
                <w:rFonts w:hint="cs"/>
                <w:rtl/>
              </w:rPr>
              <w:t xml:space="preserve"> </w:t>
            </w:r>
            <w:r w:rsidRPr="00866A28">
              <w:rPr>
                <w:rFonts w:hint="cs"/>
                <w:rtl/>
              </w:rPr>
              <w:t>הסכמי הרשאה לתכנון</w:t>
            </w:r>
            <w:r>
              <w:rPr>
                <w:rFonts w:hint="cs"/>
                <w:rtl/>
              </w:rPr>
              <w:t>,</w:t>
            </w:r>
            <w:r w:rsidRPr="00866A28">
              <w:rPr>
                <w:rFonts w:hint="cs"/>
                <w:rtl/>
              </w:rPr>
              <w:t xml:space="preserve"> שנכרתו בין הממונה לבין ההסתדרות לפני יום תחילתו של חוק זה</w:t>
            </w:r>
            <w:r>
              <w:rPr>
                <w:rFonts w:hint="cs"/>
                <w:rtl/>
              </w:rPr>
              <w:t>, אף אם לא חודשו,</w:t>
            </w:r>
            <w:r w:rsidRPr="00866A28">
              <w:rPr>
                <w:rFonts w:hint="cs"/>
                <w:rtl/>
              </w:rPr>
              <w:t xml:space="preserve"> יראו אותם כמ</w:t>
            </w:r>
            <w:r>
              <w:rPr>
                <w:rFonts w:hint="cs"/>
                <w:rtl/>
              </w:rPr>
              <w:t>קרקע</w:t>
            </w:r>
            <w:r w:rsidRPr="00866A28">
              <w:rPr>
                <w:rFonts w:hint="cs"/>
                <w:rtl/>
              </w:rPr>
              <w:t>י</w:t>
            </w:r>
            <w:r>
              <w:rPr>
                <w:rFonts w:hint="cs"/>
                <w:rtl/>
              </w:rPr>
              <w:t>ן</w:t>
            </w:r>
            <w:r w:rsidRPr="00866A28">
              <w:rPr>
                <w:rFonts w:hint="cs"/>
                <w:rtl/>
              </w:rPr>
              <w:t xml:space="preserve"> שהו</w:t>
            </w:r>
            <w:r>
              <w:rPr>
                <w:rFonts w:hint="cs"/>
                <w:rtl/>
              </w:rPr>
              <w:t>קצו</w:t>
            </w:r>
            <w:r w:rsidRPr="00866A28">
              <w:rPr>
                <w:rFonts w:hint="cs"/>
                <w:rtl/>
              </w:rPr>
              <w:t xml:space="preserve"> </w:t>
            </w:r>
            <w:r>
              <w:rPr>
                <w:rFonts w:hint="cs"/>
                <w:rtl/>
              </w:rPr>
              <w:t>ל</w:t>
            </w:r>
            <w:r w:rsidRPr="00866A28">
              <w:rPr>
                <w:rFonts w:hint="cs"/>
                <w:rtl/>
              </w:rPr>
              <w:t>הסתדרות לפי חוק זה</w:t>
            </w:r>
            <w:r>
              <w:rPr>
                <w:rFonts w:hint="cs"/>
                <w:rtl/>
              </w:rPr>
              <w:t>, והממונה יפעל ביחס אליהם כאמור בסעיף 6ג(ב).</w:t>
            </w:r>
            <w:r w:rsidRPr="00866A28">
              <w:rPr>
                <w:rFonts w:hint="cs"/>
                <w:rtl/>
              </w:rPr>
              <w:t xml:space="preserve"> </w:t>
            </w:r>
          </w:p>
        </w:tc>
      </w:tr>
      <w:tr w:rsidR="00C1473B" w14:paraId="3095450A" w14:textId="77777777" w:rsidTr="00FB6661">
        <w:trPr>
          <w:cantSplit/>
        </w:trPr>
        <w:tc>
          <w:tcPr>
            <w:tcW w:w="1872" w:type="dxa"/>
          </w:tcPr>
          <w:p w14:paraId="74FCCCDB" w14:textId="77777777" w:rsidR="00C1473B" w:rsidRDefault="00C1473B" w:rsidP="00FB6661">
            <w:pPr>
              <w:pStyle w:val="TableSideHeading"/>
              <w:rPr>
                <w:rtl/>
              </w:rPr>
            </w:pPr>
          </w:p>
        </w:tc>
        <w:tc>
          <w:tcPr>
            <w:tcW w:w="624" w:type="dxa"/>
          </w:tcPr>
          <w:p w14:paraId="214BF10F" w14:textId="77777777" w:rsidR="00C1473B" w:rsidRDefault="00C1473B" w:rsidP="00FB6661">
            <w:pPr>
              <w:pStyle w:val="TableText"/>
              <w:rPr>
                <w:rtl/>
              </w:rPr>
            </w:pPr>
          </w:p>
        </w:tc>
        <w:tc>
          <w:tcPr>
            <w:tcW w:w="7143" w:type="dxa"/>
            <w:gridSpan w:val="6"/>
          </w:tcPr>
          <w:p w14:paraId="796B9DE5" w14:textId="77777777" w:rsidR="00C1473B" w:rsidDel="00B002B9" w:rsidRDefault="00C1473B" w:rsidP="00FB6661">
            <w:pPr>
              <w:pStyle w:val="TableBlock"/>
              <w:rPr>
                <w:rtl/>
              </w:rPr>
            </w:pPr>
            <w:r>
              <w:rPr>
                <w:rFonts w:hint="cs"/>
                <w:rtl/>
              </w:rPr>
              <w:t>(ב)</w:t>
            </w:r>
            <w:r>
              <w:rPr>
                <w:rtl/>
              </w:rPr>
              <w:tab/>
            </w:r>
            <w:r>
              <w:rPr>
                <w:rFonts w:hint="cs"/>
                <w:rtl/>
              </w:rPr>
              <w:t>מקרקעין שהממונה הקצה להסתדרות לפני יום תחילתו של חוק זה, יראו אותם כהתיישבות כפרית לעניין חוק זה אף אם אינם תואמים את ההגדרה של המונח האמור בסעיף 6ג(א).</w:t>
            </w:r>
          </w:p>
        </w:tc>
      </w:tr>
      <w:tr w:rsidR="00C1473B" w14:paraId="7E4A9A65" w14:textId="77777777" w:rsidTr="00FB6661">
        <w:trPr>
          <w:cantSplit/>
        </w:trPr>
        <w:tc>
          <w:tcPr>
            <w:tcW w:w="1872" w:type="dxa"/>
          </w:tcPr>
          <w:p w14:paraId="69866B5E" w14:textId="77777777" w:rsidR="00C1473B" w:rsidRDefault="00C1473B" w:rsidP="00FB6661">
            <w:pPr>
              <w:pStyle w:val="TableSideHeading"/>
              <w:rPr>
                <w:rtl/>
              </w:rPr>
            </w:pPr>
          </w:p>
        </w:tc>
        <w:tc>
          <w:tcPr>
            <w:tcW w:w="624" w:type="dxa"/>
          </w:tcPr>
          <w:p w14:paraId="64D1F413" w14:textId="77777777" w:rsidR="00C1473B" w:rsidRDefault="00C1473B" w:rsidP="00FB6661">
            <w:pPr>
              <w:pStyle w:val="TableText"/>
              <w:rPr>
                <w:rtl/>
              </w:rPr>
            </w:pPr>
          </w:p>
        </w:tc>
        <w:tc>
          <w:tcPr>
            <w:tcW w:w="7143" w:type="dxa"/>
            <w:gridSpan w:val="6"/>
          </w:tcPr>
          <w:p w14:paraId="658D7190" w14:textId="77777777" w:rsidR="00C1473B" w:rsidRDefault="00C1473B" w:rsidP="00FB6661">
            <w:pPr>
              <w:pStyle w:val="TableBlock"/>
              <w:rPr>
                <w:rtl/>
              </w:rPr>
            </w:pPr>
            <w:r>
              <w:rPr>
                <w:rFonts w:hint="cs"/>
                <w:rtl/>
              </w:rPr>
              <w:t>(ג)</w:t>
            </w:r>
            <w:r>
              <w:rPr>
                <w:rtl/>
              </w:rPr>
              <w:tab/>
            </w:r>
            <w:r>
              <w:rPr>
                <w:rFonts w:hint="cs"/>
                <w:rtl/>
              </w:rPr>
              <w:t xml:space="preserve">המקרקעין המנוהלים על ידי הממונה שלא באמצעות ההסתדרות, לפני יום תחילתו של חוק זה, יועברו לניהול ההסתדרות בהתאם להוראות חוק זה, בתוך שנתיים מיום התחילה; עד להעברת המקרקעין כאמור, ימשיך הממונה לנהל את רישום הזכויות בהם ואת הקצאתם. </w:t>
            </w:r>
          </w:p>
        </w:tc>
      </w:tr>
    </w:tbl>
    <w:p w14:paraId="0F1202EA" w14:textId="77777777" w:rsidR="00C1473B" w:rsidRDefault="00C1473B" w:rsidP="00C1473B">
      <w:pPr>
        <w:pStyle w:val="HeadDivreiHesber"/>
        <w:rPr>
          <w:rtl/>
        </w:rPr>
      </w:pPr>
      <w:r w:rsidRPr="0027450A">
        <w:rPr>
          <w:rFonts w:hint="cs"/>
          <w:rtl/>
        </w:rPr>
        <w:t>דברי הסבר</w:t>
      </w:r>
    </w:p>
    <w:p w14:paraId="410685FA" w14:textId="483FF44F" w:rsidR="00C1473B" w:rsidRPr="005E5AEE" w:rsidRDefault="00C1473B" w:rsidP="00C1473B">
      <w:pPr>
        <w:pStyle w:val="Hesber"/>
        <w:spacing w:after="0"/>
        <w:ind w:left="0" w:firstLine="340"/>
        <w:rPr>
          <w:rtl/>
        </w:rPr>
      </w:pPr>
      <w:r w:rsidRPr="005E5AEE">
        <w:rPr>
          <w:rtl/>
        </w:rPr>
        <w:t xml:space="preserve">לאחר מלחמת ששת הימים פנה ראש הממשלה לוי אשכול ז"ל </w:t>
      </w:r>
      <w:r w:rsidRPr="005E5AEE">
        <w:rPr>
          <w:rFonts w:hint="cs"/>
          <w:rtl/>
        </w:rPr>
        <w:t>א</w:t>
      </w:r>
      <w:r w:rsidRPr="005E5AEE">
        <w:rPr>
          <w:rtl/>
        </w:rPr>
        <w:t>ל</w:t>
      </w:r>
      <w:r w:rsidRPr="005E5AEE">
        <w:rPr>
          <w:rFonts w:hint="cs"/>
          <w:rtl/>
        </w:rPr>
        <w:t xml:space="preserve"> </w:t>
      </w:r>
      <w:r w:rsidRPr="005E5AEE">
        <w:rPr>
          <w:rtl/>
        </w:rPr>
        <w:t>יו</w:t>
      </w:r>
      <w:r w:rsidRPr="005E5AEE">
        <w:rPr>
          <w:rFonts w:hint="cs"/>
          <w:rtl/>
        </w:rPr>
        <w:t>שב ראש</w:t>
      </w:r>
      <w:r w:rsidRPr="005E5AEE">
        <w:rPr>
          <w:rtl/>
        </w:rPr>
        <w:t xml:space="preserve"> ההנהלה הציונית וביקש </w:t>
      </w:r>
      <w:r w:rsidRPr="005E5AEE">
        <w:rPr>
          <w:rFonts w:hint="cs"/>
          <w:rtl/>
        </w:rPr>
        <w:t>לדאוג לכך שמחלקת ההתיישבות של ההסתדרות הציונית, לאור ניסיונה רב השנים בהקמת י</w:t>
      </w:r>
      <w:r w:rsidR="008D1E37">
        <w:rPr>
          <w:rFonts w:hint="cs"/>
          <w:rtl/>
        </w:rPr>
        <w:t>י</w:t>
      </w:r>
      <w:r w:rsidRPr="005E5AEE">
        <w:rPr>
          <w:rFonts w:hint="cs"/>
          <w:rtl/>
        </w:rPr>
        <w:t>שובים חקלאיים, תסייע בידי ממשלת ישראל בביצוע תכניותיה לעיבוד קרקעות והקמת י</w:t>
      </w:r>
      <w:r w:rsidR="008D1E37">
        <w:rPr>
          <w:rFonts w:hint="cs"/>
          <w:rtl/>
        </w:rPr>
        <w:t>י</w:t>
      </w:r>
      <w:r w:rsidRPr="005E5AEE">
        <w:rPr>
          <w:rFonts w:hint="cs"/>
          <w:rtl/>
        </w:rPr>
        <w:t xml:space="preserve">שובים בשטחי יהודה, </w:t>
      </w:r>
      <w:r w:rsidR="008D1E37">
        <w:rPr>
          <w:rFonts w:hint="cs"/>
          <w:rtl/>
        </w:rPr>
        <w:t>ה</w:t>
      </w:r>
      <w:r w:rsidRPr="005E5AEE">
        <w:rPr>
          <w:rFonts w:hint="cs"/>
          <w:rtl/>
        </w:rPr>
        <w:t xml:space="preserve">שומרון וחבל עזה. ראש הממשלה קבע, כי כל ההוצאות הכרוכות יצאו מאוצר המדינה. </w:t>
      </w:r>
    </w:p>
    <w:p w14:paraId="324E9FCA" w14:textId="588010F4" w:rsidR="00C1473B" w:rsidRPr="005E5AEE" w:rsidRDefault="00C1473B" w:rsidP="00C1473B">
      <w:pPr>
        <w:pStyle w:val="Hesber"/>
        <w:spacing w:after="0"/>
        <w:ind w:left="0" w:firstLine="340"/>
        <w:rPr>
          <w:rtl/>
        </w:rPr>
      </w:pPr>
      <w:r w:rsidRPr="005E5AEE">
        <w:rPr>
          <w:rFonts w:hint="cs"/>
          <w:rtl/>
        </w:rPr>
        <w:t>בהתאם ל</w:t>
      </w:r>
      <w:r w:rsidRPr="005E5AEE">
        <w:rPr>
          <w:rtl/>
        </w:rPr>
        <w:t>החלטות הממשלה</w:t>
      </w:r>
      <w:r w:rsidRPr="005E5AEE">
        <w:rPr>
          <w:rFonts w:hint="cs"/>
          <w:rtl/>
        </w:rPr>
        <w:t xml:space="preserve">, </w:t>
      </w:r>
      <w:r w:rsidRPr="005E5AEE">
        <w:rPr>
          <w:rtl/>
        </w:rPr>
        <w:t>לצורך הקמת י</w:t>
      </w:r>
      <w:r w:rsidR="008D1E37">
        <w:rPr>
          <w:rFonts w:hint="cs"/>
          <w:rtl/>
        </w:rPr>
        <w:t>י</w:t>
      </w:r>
      <w:r w:rsidRPr="005E5AEE">
        <w:rPr>
          <w:rtl/>
        </w:rPr>
        <w:t xml:space="preserve">שובים </w:t>
      </w:r>
      <w:r w:rsidRPr="005E5AEE">
        <w:rPr>
          <w:rFonts w:hint="cs"/>
          <w:rtl/>
        </w:rPr>
        <w:t>כפריים באזור הוקצו המקרקעין המיועדים ל</w:t>
      </w:r>
      <w:r w:rsidR="008D1E37">
        <w:rPr>
          <w:rFonts w:hint="cs"/>
          <w:rtl/>
        </w:rPr>
        <w:t>י</w:t>
      </w:r>
      <w:r w:rsidRPr="005E5AEE">
        <w:rPr>
          <w:rFonts w:hint="cs"/>
          <w:rtl/>
        </w:rPr>
        <w:t>ישובים ולאמצעי הייצור שלהם להסתדרות הציונית, ו</w:t>
      </w:r>
      <w:r w:rsidRPr="005E5AEE">
        <w:rPr>
          <w:rtl/>
        </w:rPr>
        <w:t>נכרתו הסכמי הרשאה</w:t>
      </w:r>
      <w:r w:rsidRPr="005E5AEE">
        <w:rPr>
          <w:rFonts w:hint="cs"/>
          <w:rtl/>
        </w:rPr>
        <w:t xml:space="preserve"> לתקופות ארוכות (49 שנים), </w:t>
      </w:r>
      <w:r w:rsidRPr="005E5AEE">
        <w:rPr>
          <w:rtl/>
        </w:rPr>
        <w:t xml:space="preserve">בין הממונה לבין ההסתדרות הציונית. מכוח הסכמי הרשאה </w:t>
      </w:r>
      <w:r w:rsidRPr="005E5AEE">
        <w:rPr>
          <w:rFonts w:hint="cs"/>
          <w:rtl/>
        </w:rPr>
        <w:t xml:space="preserve">אלה </w:t>
      </w:r>
      <w:r w:rsidRPr="005E5AEE">
        <w:rPr>
          <w:rtl/>
        </w:rPr>
        <w:t>מעניקה ההסתדרות הציונית זכויות הרשאת משנה (בר רשות) למתיישבים</w:t>
      </w:r>
      <w:r w:rsidRPr="005E5AEE">
        <w:rPr>
          <w:rFonts w:hint="cs"/>
          <w:rtl/>
        </w:rPr>
        <w:t xml:space="preserve">, </w:t>
      </w:r>
      <w:r w:rsidRPr="005E5AEE">
        <w:rPr>
          <w:rtl/>
        </w:rPr>
        <w:t>לאגודות (י</w:t>
      </w:r>
      <w:r w:rsidR="008D1E37">
        <w:rPr>
          <w:rFonts w:hint="cs"/>
          <w:rtl/>
        </w:rPr>
        <w:t>י</w:t>
      </w:r>
      <w:r w:rsidRPr="005E5AEE">
        <w:rPr>
          <w:rtl/>
        </w:rPr>
        <w:t xml:space="preserve">שובים) </w:t>
      </w:r>
      <w:r w:rsidRPr="005E5AEE">
        <w:rPr>
          <w:rFonts w:hint="cs"/>
          <w:rtl/>
        </w:rPr>
        <w:t xml:space="preserve">ולצדדים שלישיים. </w:t>
      </w:r>
      <w:r w:rsidRPr="005E5AEE">
        <w:rPr>
          <w:rtl/>
        </w:rPr>
        <w:t>בשל הצורך לנהל את רישום הזכויות ואת כל הכרוך בכך מקיימת ההסתדרות הציונית, באמצעות החטיבה להתיישבות</w:t>
      </w:r>
      <w:r w:rsidRPr="005E5AEE">
        <w:rPr>
          <w:rFonts w:hint="cs"/>
          <w:rtl/>
        </w:rPr>
        <w:t>,</w:t>
      </w:r>
      <w:r w:rsidRPr="005E5AEE">
        <w:rPr>
          <w:rtl/>
        </w:rPr>
        <w:t xml:space="preserve"> מרשם של הסכמי ההרשאה בי</w:t>
      </w:r>
      <w:r w:rsidR="008D1E37">
        <w:rPr>
          <w:rFonts w:hint="cs"/>
          <w:rtl/>
        </w:rPr>
        <w:t>י</w:t>
      </w:r>
      <w:r w:rsidRPr="005E5AEE">
        <w:rPr>
          <w:rtl/>
        </w:rPr>
        <w:t>שובים הכפריים עם המתיישבים</w:t>
      </w:r>
      <w:r w:rsidRPr="005E5AEE">
        <w:rPr>
          <w:rFonts w:hint="cs"/>
          <w:rtl/>
        </w:rPr>
        <w:t>, אגודות (י</w:t>
      </w:r>
      <w:r w:rsidR="008D1E37">
        <w:rPr>
          <w:rFonts w:hint="cs"/>
          <w:rtl/>
        </w:rPr>
        <w:t>י</w:t>
      </w:r>
      <w:r w:rsidRPr="005E5AEE">
        <w:rPr>
          <w:rFonts w:hint="cs"/>
          <w:rtl/>
        </w:rPr>
        <w:t>שובים) וצדדים שלישיים</w:t>
      </w:r>
      <w:r w:rsidRPr="005E5AEE">
        <w:rPr>
          <w:rtl/>
        </w:rPr>
        <w:t xml:space="preserve">, לרבות רישום התחייבויות למשכנתאות, שעבודים ועיקולים. </w:t>
      </w:r>
      <w:r w:rsidRPr="005E5AEE">
        <w:rPr>
          <w:rFonts w:hint="cs"/>
          <w:rtl/>
        </w:rPr>
        <w:t>אין ה</w:t>
      </w:r>
      <w:r w:rsidRPr="005E5AEE">
        <w:rPr>
          <w:rtl/>
        </w:rPr>
        <w:t>מדובר במרשם מקרקעין אלא ברישום של זכויות הרשאה.</w:t>
      </w:r>
    </w:p>
    <w:p w14:paraId="0D54C54E" w14:textId="44174532" w:rsidR="00C1473B" w:rsidRPr="005E5AEE" w:rsidRDefault="00C1473B" w:rsidP="00C1473B">
      <w:pPr>
        <w:pStyle w:val="Hesber"/>
        <w:spacing w:after="0"/>
        <w:ind w:left="0" w:firstLine="340"/>
        <w:rPr>
          <w:rtl/>
        </w:rPr>
      </w:pPr>
      <w:r w:rsidRPr="005E5AEE">
        <w:rPr>
          <w:rFonts w:hint="cs"/>
          <w:rtl/>
        </w:rPr>
        <w:t xml:space="preserve">במשך עשרות שנים מנהלת החטיבה להתיישבות בהסתדרות הציונית את המקרקעין בהתיישבות הכפרית הישראלית ביהודה, </w:t>
      </w:r>
      <w:r w:rsidR="008D1E37">
        <w:rPr>
          <w:rFonts w:hint="cs"/>
          <w:rtl/>
        </w:rPr>
        <w:t>ה</w:t>
      </w:r>
      <w:r w:rsidRPr="005E5AEE">
        <w:rPr>
          <w:rFonts w:hint="cs"/>
          <w:rtl/>
        </w:rPr>
        <w:t xml:space="preserve">שומרון וחבל עזה. ניהול המקרקעין על ידי החטיבה להתיישבות </w:t>
      </w:r>
      <w:proofErr w:type="spellStart"/>
      <w:r w:rsidRPr="005E5AEE">
        <w:rPr>
          <w:rFonts w:hint="cs"/>
          <w:rtl/>
        </w:rPr>
        <w:t>היתה</w:t>
      </w:r>
      <w:proofErr w:type="spellEnd"/>
      <w:r w:rsidRPr="005E5AEE">
        <w:rPr>
          <w:rFonts w:hint="cs"/>
          <w:rtl/>
        </w:rPr>
        <w:t xml:space="preserve"> ועודנה הדרך הטובה והנכונה ביותר לניהול המקרקעין באזור, בשים לב למורכבות המדינית הכרוכה בכך. הצעת חוק זו נועדה לאפשר את המשך המצב הקיים זה עשרות בשנים תוך הסדרתו והתאמתו לסטנדרטים המקובלים בארץ לניהול מקרקעין. </w:t>
      </w:r>
    </w:p>
    <w:p w14:paraId="0821E84D" w14:textId="77777777" w:rsidR="00C1473B" w:rsidRPr="005E5AEE" w:rsidRDefault="00C1473B" w:rsidP="00C1473B">
      <w:pPr>
        <w:pStyle w:val="Hesber"/>
        <w:spacing w:after="0"/>
        <w:ind w:left="0" w:firstLine="340"/>
        <w:rPr>
          <w:rtl/>
        </w:rPr>
      </w:pPr>
      <w:r w:rsidRPr="005E5AEE">
        <w:rPr>
          <w:rFonts w:hint="cs"/>
          <w:rtl/>
        </w:rPr>
        <w:t>בשנים האחרונות התגלעה מחלוקת משפטית בנוגע למעמדה של החטיבה להתיישבות ולסמכותה של הממשלה לאצול לה מסמכויותיה בתחום ההתיישבות. מחלוקת זו נגעה בשני היבטים שבהם פעלה החטיבה:</w:t>
      </w:r>
    </w:p>
    <w:p w14:paraId="17D996D6" w14:textId="77777777" w:rsidR="00C1473B" w:rsidRPr="005E5AEE" w:rsidRDefault="00C1473B" w:rsidP="00C1473B">
      <w:pPr>
        <w:pStyle w:val="Hesber"/>
        <w:spacing w:after="0"/>
        <w:ind w:left="0" w:firstLine="340"/>
        <w:rPr>
          <w:rtl/>
        </w:rPr>
      </w:pPr>
      <w:r w:rsidRPr="005E5AEE">
        <w:rPr>
          <w:rFonts w:hint="cs"/>
          <w:rtl/>
        </w:rPr>
        <w:lastRenderedPageBreak/>
        <w:t xml:space="preserve">ההיבט הראשון הוא אצילת הסמכות והפעלת החטיבה להתיישבות כגוף ביצועי של הממשלה </w:t>
      </w:r>
      <w:r w:rsidRPr="005E5AEE">
        <w:rPr>
          <w:rtl/>
        </w:rPr>
        <w:t>–</w:t>
      </w:r>
      <w:r w:rsidRPr="005E5AEE">
        <w:rPr>
          <w:rFonts w:hint="cs"/>
          <w:rtl/>
        </w:rPr>
        <w:t xml:space="preserve"> היבט זה הוסדר בחקיקה ראשית בה נקבע כי לחטיבה להתיישבות מעמד מיוחד ויש בידה לפעול מטעם הממשלה מחד גיסא ולהישא</w:t>
      </w:r>
      <w:r w:rsidRPr="005E5AEE">
        <w:rPr>
          <w:rFonts w:hint="eastAsia"/>
          <w:rtl/>
        </w:rPr>
        <w:t>ר</w:t>
      </w:r>
      <w:r w:rsidRPr="005E5AEE">
        <w:rPr>
          <w:rFonts w:hint="cs"/>
          <w:rtl/>
        </w:rPr>
        <w:t xml:space="preserve"> גוף חיצוני-ביצועי לממשלה השייך מהותית להסתדרות הציונית מאידך גיסא.</w:t>
      </w:r>
    </w:p>
    <w:p w14:paraId="117C4073" w14:textId="1F534500" w:rsidR="00C1473B" w:rsidRPr="005E5AEE" w:rsidRDefault="00C1473B" w:rsidP="00C1473B">
      <w:pPr>
        <w:pStyle w:val="Hesber"/>
        <w:spacing w:after="0"/>
        <w:ind w:left="0" w:firstLine="340"/>
        <w:rPr>
          <w:rtl/>
        </w:rPr>
      </w:pPr>
      <w:r w:rsidRPr="005E5AEE">
        <w:rPr>
          <w:rFonts w:hint="cs"/>
          <w:rtl/>
        </w:rPr>
        <w:t>היבט נוסף שעודנו במחלוקת נוגע לדרך שבה החטיבה מנהלת ומקצה את המקרקעין באזור יהודה ושומרון לצ</w:t>
      </w:r>
      <w:r w:rsidR="008D1E37">
        <w:rPr>
          <w:rFonts w:hint="cs"/>
          <w:rtl/>
        </w:rPr>
        <w:t>ו</w:t>
      </w:r>
      <w:r w:rsidRPr="005E5AEE">
        <w:rPr>
          <w:rFonts w:hint="cs"/>
          <w:rtl/>
        </w:rPr>
        <w:t xml:space="preserve">רכי התיישבות. נושא זה נוגע לליבת העשייה של החטיבה להתיישבות המאפשר לה להיות זרוע ביצועית של הממשלה בפיתוח ההתיישבות באזור. </w:t>
      </w:r>
    </w:p>
    <w:p w14:paraId="66C131CC" w14:textId="581A0458" w:rsidR="00C1473B" w:rsidRPr="005E5AEE" w:rsidRDefault="00C1473B" w:rsidP="00C1473B">
      <w:pPr>
        <w:pStyle w:val="Hesber"/>
        <w:spacing w:after="0"/>
        <w:ind w:left="0" w:firstLine="340"/>
        <w:rPr>
          <w:rtl/>
        </w:rPr>
      </w:pPr>
      <w:r w:rsidRPr="005E5AEE">
        <w:rPr>
          <w:rFonts w:hint="cs"/>
          <w:rtl/>
        </w:rPr>
        <w:t>הצעת החוק נועדה לעגן בחקיקה ראשית גם את נושא ניהול והקצאת המקרקעין בהתיישבות הכפרית ביהודה ו</w:t>
      </w:r>
      <w:r w:rsidR="008D1E37">
        <w:rPr>
          <w:rFonts w:hint="cs"/>
          <w:rtl/>
        </w:rPr>
        <w:t>ה</w:t>
      </w:r>
      <w:r w:rsidRPr="005E5AEE">
        <w:rPr>
          <w:rFonts w:hint="cs"/>
          <w:rtl/>
        </w:rPr>
        <w:t>שומרון על ידי החטיבה להתיישבות, ועל כן היא קובעת כי הממונה על הרכוש הממשלתי והנטוש, אשר לו הסמכות על פי הדין הנוהג באזור לניהול המקרקעין, יחכיר את המקרקעין לחטיבה להתיישבות, והיא שתנהל אותם, וזאת ככל הניתן על פי הסטנדרטים המקובלים ברשות מקרקעי ישראל ובשים לב לשינויים המתחייבים מן המאפיינים הייחודיים של האזור.</w:t>
      </w:r>
    </w:p>
    <w:p w14:paraId="1CA05DE4" w14:textId="77777777" w:rsidR="00C1473B" w:rsidRPr="005E5AEE" w:rsidRDefault="00C1473B" w:rsidP="00C1473B">
      <w:pPr>
        <w:pStyle w:val="Hesber"/>
        <w:spacing w:after="0"/>
        <w:ind w:left="0" w:firstLine="340"/>
        <w:rPr>
          <w:rtl/>
        </w:rPr>
      </w:pPr>
      <w:r w:rsidRPr="005E5AEE">
        <w:rPr>
          <w:rFonts w:hint="cs"/>
          <w:rtl/>
        </w:rPr>
        <w:t>על מנת ליצור אחידות באופן ההתנהלות הממשלתית ביחס להקצאות המקרקעין באזור, הצעת החוק קובעת כי  מלוא סמכויות ניהול המקרקעין בהתיישבות הכפרית באזור יועברו לידי החטיבה להתיישבות, כולל הניהול המצוי כיום בידי הממונה. עוד קובעת הצעה זו כי המקרקעין בהתיישבות הכפרית המנוהלים כיום על ידי הממונה יועברו לניהול ההסתדרות בתוך שנתיים מיום תחילתו של חוק זה. לשם המשך ניהול החיים התקינים, גם בתקופה זו, ימשיך הממונה בניהול מקרקעין אלו במהלך תקופה זו לרבות הקצאתם.</w:t>
      </w:r>
    </w:p>
    <w:p w14:paraId="4F3EB431" w14:textId="77777777" w:rsidR="00C1473B" w:rsidRPr="005E5AEE" w:rsidRDefault="00C1473B" w:rsidP="00C1473B">
      <w:pPr>
        <w:pStyle w:val="Hesber"/>
        <w:spacing w:after="0"/>
        <w:ind w:left="0" w:firstLine="340"/>
        <w:rPr>
          <w:rtl/>
        </w:rPr>
      </w:pPr>
      <w:r w:rsidRPr="005E5AEE">
        <w:rPr>
          <w:rFonts w:hint="cs"/>
          <w:rtl/>
        </w:rPr>
        <w:t xml:space="preserve">הרגישות המדינית והביטחונית הכרוכה בפיתוח ההתיישבות באזור מצדיקה את ניהול והקצאת המקרקעין בפטור ממכרז כדי להימנע מפרסום ולאפשר שקילת שיקולים של פיתוח ההתיישבות. </w:t>
      </w:r>
    </w:p>
    <w:p w14:paraId="339396C4" w14:textId="6C0DCFB7" w:rsidR="00C1473B" w:rsidRPr="005E5AEE" w:rsidRDefault="008D1E37" w:rsidP="008D1E37">
      <w:pPr>
        <w:pStyle w:val="Hesber"/>
        <w:spacing w:after="0"/>
        <w:ind w:left="0" w:firstLine="340"/>
        <w:rPr>
          <w:rtl/>
        </w:rPr>
      </w:pPr>
      <w:r>
        <w:rPr>
          <w:rFonts w:hint="cs"/>
          <w:rtl/>
        </w:rPr>
        <w:t>כמו כן</w:t>
      </w:r>
      <w:r w:rsidR="00C1473B" w:rsidRPr="005E5AEE">
        <w:rPr>
          <w:rFonts w:hint="cs"/>
          <w:rtl/>
        </w:rPr>
        <w:t>, עד היום ההסתדרות לא גבתה תשלומים ב</w:t>
      </w:r>
      <w:r>
        <w:rPr>
          <w:rFonts w:hint="cs"/>
          <w:rtl/>
        </w:rPr>
        <w:t>של</w:t>
      </w:r>
      <w:r w:rsidR="00C1473B" w:rsidRPr="005E5AEE">
        <w:rPr>
          <w:rFonts w:hint="cs"/>
          <w:rtl/>
        </w:rPr>
        <w:t xml:space="preserve"> הקצאת הקרקע. בחוק זה מוחלת חובת תשלום על הסכמי חכירה חדשים, באופן דומה למקובל במדינת ישראל, אך עם זאת לא י</w:t>
      </w:r>
      <w:r>
        <w:rPr>
          <w:rFonts w:hint="cs"/>
          <w:rtl/>
        </w:rPr>
        <w:t>י</w:t>
      </w:r>
      <w:r w:rsidR="00C1473B" w:rsidRPr="005E5AEE">
        <w:rPr>
          <w:rFonts w:hint="cs"/>
          <w:rtl/>
        </w:rPr>
        <w:t xml:space="preserve">גבו תשלומים </w:t>
      </w:r>
      <w:r>
        <w:rPr>
          <w:rFonts w:hint="cs"/>
          <w:rtl/>
        </w:rPr>
        <w:t>בשל</w:t>
      </w:r>
      <w:r w:rsidR="00C1473B" w:rsidRPr="005E5AEE">
        <w:rPr>
          <w:rFonts w:hint="cs"/>
          <w:rtl/>
        </w:rPr>
        <w:t xml:space="preserve"> החלפת הסכמי בר רשות בהסכמי חכירה או </w:t>
      </w:r>
      <w:r>
        <w:rPr>
          <w:rFonts w:hint="cs"/>
          <w:rtl/>
        </w:rPr>
        <w:t>בשל</w:t>
      </w:r>
      <w:r w:rsidR="00C1473B" w:rsidRPr="005E5AEE">
        <w:rPr>
          <w:rFonts w:hint="cs"/>
          <w:rtl/>
        </w:rPr>
        <w:t xml:space="preserve"> הארכת חוזים שנחתמו לפני יום תחילתו של חוק זה.</w:t>
      </w:r>
    </w:p>
    <w:p w14:paraId="52B7FEF4" w14:textId="0393E3D1" w:rsidR="003233BF" w:rsidRDefault="00C1473B" w:rsidP="00C1473B">
      <w:pPr>
        <w:pStyle w:val="Hesber"/>
        <w:spacing w:after="0"/>
        <w:ind w:left="0" w:firstLine="340"/>
        <w:rPr>
          <w:rtl/>
        </w:rPr>
      </w:pPr>
      <w:r w:rsidRPr="005E5AEE">
        <w:rPr>
          <w:rFonts w:hint="cs"/>
          <w:rtl/>
        </w:rPr>
        <w:t>הצעת חוק דומה בעיקרה הונחה על שולחן הכנסת העשרים על ידי חבר הכנסת בצלאל סמוטריץ' וקבוצת חברי הכנסת (פ/4920/20).</w:t>
      </w:r>
    </w:p>
    <w:p w14:paraId="68E69AE3" w14:textId="1F584DF9" w:rsidR="008D1E37" w:rsidRDefault="008D1E37" w:rsidP="00C1473B">
      <w:pPr>
        <w:pStyle w:val="Hesber"/>
        <w:spacing w:after="0"/>
        <w:ind w:left="0" w:firstLine="340"/>
        <w:rPr>
          <w:rtl/>
        </w:rPr>
      </w:pPr>
    </w:p>
    <w:p w14:paraId="7BDE6F14" w14:textId="77777777" w:rsidR="008D1E37" w:rsidRDefault="008D1E37" w:rsidP="00C1473B">
      <w:pPr>
        <w:pStyle w:val="Hesber"/>
        <w:spacing w:after="0"/>
        <w:ind w:left="0" w:firstLine="340"/>
        <w:rPr>
          <w:rtl/>
        </w:rPr>
      </w:pPr>
    </w:p>
    <w:p w14:paraId="234C1BD1" w14:textId="77777777" w:rsidR="008D1E37" w:rsidRPr="00D73212" w:rsidRDefault="008D1E37" w:rsidP="008D1E37">
      <w:pPr>
        <w:pStyle w:val="Hesber"/>
        <w:rPr>
          <w:rtl/>
        </w:rPr>
      </w:pPr>
      <w:r w:rsidRPr="00D73212">
        <w:rPr>
          <w:rtl/>
        </w:rPr>
        <w:t>---------------------------------</w:t>
      </w:r>
    </w:p>
    <w:p w14:paraId="39D3E530" w14:textId="77777777" w:rsidR="008D1E37" w:rsidRPr="00D73212" w:rsidRDefault="008D1E37" w:rsidP="008D1E37">
      <w:pPr>
        <w:pStyle w:val="Hesber"/>
        <w:rPr>
          <w:rtl/>
        </w:rPr>
      </w:pPr>
      <w:r w:rsidRPr="00D73212">
        <w:rPr>
          <w:rFonts w:hint="cs"/>
          <w:rtl/>
        </w:rPr>
        <w:t>הוגשה</w:t>
      </w:r>
      <w:r w:rsidRPr="00D73212">
        <w:rPr>
          <w:rtl/>
        </w:rPr>
        <w:t xml:space="preserve"> </w:t>
      </w:r>
      <w:r w:rsidRPr="00D73212">
        <w:rPr>
          <w:rFonts w:hint="cs"/>
          <w:rtl/>
        </w:rPr>
        <w:t>ליו</w:t>
      </w:r>
      <w:r w:rsidRPr="00D73212">
        <w:rPr>
          <w:rtl/>
        </w:rPr>
        <w:t>"</w:t>
      </w:r>
      <w:r w:rsidRPr="00D73212">
        <w:rPr>
          <w:rFonts w:hint="cs"/>
          <w:rtl/>
        </w:rPr>
        <w:t>ר</w:t>
      </w:r>
      <w:r w:rsidRPr="00D73212">
        <w:rPr>
          <w:rtl/>
        </w:rPr>
        <w:t xml:space="preserve"> </w:t>
      </w:r>
      <w:r w:rsidRPr="00D73212">
        <w:rPr>
          <w:rFonts w:hint="cs"/>
          <w:rtl/>
        </w:rPr>
        <w:t>הכנסת</w:t>
      </w:r>
      <w:r w:rsidRPr="00D73212">
        <w:rPr>
          <w:rtl/>
        </w:rPr>
        <w:t xml:space="preserve"> </w:t>
      </w:r>
      <w:r w:rsidRPr="00D73212">
        <w:rPr>
          <w:rFonts w:hint="cs"/>
          <w:rtl/>
        </w:rPr>
        <w:t>והסגנים</w:t>
      </w:r>
    </w:p>
    <w:p w14:paraId="110C2820" w14:textId="77777777" w:rsidR="008D1E37" w:rsidRPr="00D73212" w:rsidRDefault="008D1E37" w:rsidP="008D1E37">
      <w:pPr>
        <w:pStyle w:val="Hesber"/>
        <w:rPr>
          <w:rtl/>
        </w:rPr>
      </w:pPr>
      <w:r w:rsidRPr="00D73212">
        <w:rPr>
          <w:rFonts w:hint="cs"/>
          <w:rtl/>
        </w:rPr>
        <w:t>והונחה</w:t>
      </w:r>
      <w:r w:rsidRPr="00D73212">
        <w:rPr>
          <w:rtl/>
        </w:rPr>
        <w:t xml:space="preserve"> </w:t>
      </w:r>
      <w:r w:rsidRPr="00D73212">
        <w:rPr>
          <w:rFonts w:hint="cs"/>
          <w:rtl/>
        </w:rPr>
        <w:t>על</w:t>
      </w:r>
      <w:r w:rsidRPr="00D73212">
        <w:rPr>
          <w:rtl/>
        </w:rPr>
        <w:t xml:space="preserve"> </w:t>
      </w:r>
      <w:r w:rsidRPr="00D73212">
        <w:rPr>
          <w:rFonts w:hint="cs"/>
          <w:rtl/>
        </w:rPr>
        <w:t>שולחן</w:t>
      </w:r>
      <w:r w:rsidRPr="00D73212">
        <w:rPr>
          <w:rtl/>
        </w:rPr>
        <w:t xml:space="preserve"> </w:t>
      </w:r>
      <w:r w:rsidRPr="00D73212">
        <w:rPr>
          <w:rFonts w:hint="cs"/>
          <w:rtl/>
        </w:rPr>
        <w:t>הכנסת</w:t>
      </w:r>
      <w:r w:rsidRPr="00D73212">
        <w:rPr>
          <w:rtl/>
        </w:rPr>
        <w:t xml:space="preserve"> </w:t>
      </w:r>
      <w:r w:rsidRPr="00D73212">
        <w:rPr>
          <w:rFonts w:hint="cs"/>
          <w:rtl/>
        </w:rPr>
        <w:t>ביום</w:t>
      </w:r>
    </w:p>
    <w:p w14:paraId="1A6C0442" w14:textId="77777777" w:rsidR="008D1E37" w:rsidRPr="00317312" w:rsidRDefault="008D1E37" w:rsidP="008D1E37">
      <w:pPr>
        <w:pStyle w:val="Hesber"/>
      </w:pPr>
      <w:r>
        <w:rPr>
          <w:rFonts w:hint="cs"/>
          <w:rtl/>
        </w:rPr>
        <w:t xml:space="preserve"> כ"ב באייר</w:t>
      </w:r>
      <w:r w:rsidRPr="00D73212">
        <w:rPr>
          <w:rtl/>
        </w:rPr>
        <w:t xml:space="preserve"> </w:t>
      </w:r>
      <w:proofErr w:type="spellStart"/>
      <w:r w:rsidRPr="00D73212">
        <w:rPr>
          <w:rFonts w:hint="cs"/>
          <w:rtl/>
        </w:rPr>
        <w:t>התשע</w:t>
      </w:r>
      <w:r w:rsidRPr="00D73212">
        <w:rPr>
          <w:rtl/>
        </w:rPr>
        <w:t>"</w:t>
      </w:r>
      <w:r>
        <w:rPr>
          <w:rFonts w:hint="cs"/>
          <w:rtl/>
        </w:rPr>
        <w:t>ח</w:t>
      </w:r>
      <w:proofErr w:type="spellEnd"/>
      <w:r w:rsidRPr="00D73212">
        <w:rPr>
          <w:rtl/>
        </w:rPr>
        <w:t xml:space="preserve"> – </w:t>
      </w:r>
      <w:r>
        <w:rPr>
          <w:rFonts w:hint="cs"/>
          <w:rtl/>
        </w:rPr>
        <w:t>7.5.18</w:t>
      </w:r>
    </w:p>
    <w:p w14:paraId="0137C0BC" w14:textId="77777777" w:rsidR="008D1E37" w:rsidRPr="00C1473B" w:rsidRDefault="008D1E37" w:rsidP="00C1473B">
      <w:pPr>
        <w:pStyle w:val="Hesber"/>
        <w:spacing w:after="0"/>
        <w:ind w:left="0" w:firstLine="340"/>
      </w:pPr>
    </w:p>
    <w:sectPr w:rsidR="008D1E37" w:rsidRPr="00C1473B" w:rsidSect="003233BF">
      <w:footerReference w:type="even" r:id="rId11"/>
      <w:footerReference w:type="default" r:id="rId12"/>
      <w:pgSz w:w="11907" w:h="16840" w:code="9"/>
      <w:pgMar w:top="1134" w:right="1134" w:bottom="1134" w:left="1134" w:header="680" w:footer="680" w:gutter="0"/>
      <w:cols w:space="720"/>
      <w:noEndnote/>
      <w:titlePg/>
      <w:bidi/>
      <w:rtlGutter/>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adasa Roso SL">
    <w:altName w:val="Times New Roman"/>
    <w:charset w:val="00"/>
    <w:family w:val="roman"/>
    <w:pitch w:val="variable"/>
    <w:sig w:usb0="80001827" w:usb1="5000004A" w:usb2="00000020" w:usb3="00000000" w:csb0="00000021" w:csb1="00000000"/>
  </w:font>
  <w:font w:name="HadasaRosoSL">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C43CA5">
      <w:rPr>
        <w:rStyle w:val="ab"/>
        <w:noProof/>
        <w:rtl/>
      </w:rPr>
      <w:t>5</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66F3141F" w14:textId="77777777" w:rsidR="00C1473B" w:rsidRDefault="00C1473B" w:rsidP="00C1473B">
      <w:pPr>
        <w:pStyle w:val="a4"/>
        <w:rPr>
          <w:rtl/>
        </w:rPr>
      </w:pPr>
      <w:r>
        <w:rPr>
          <w:rStyle w:val="a6"/>
        </w:rPr>
        <w:footnoteRef/>
      </w:r>
      <w:r>
        <w:rPr>
          <w:rtl/>
        </w:rPr>
        <w:t xml:space="preserve"> </w:t>
      </w:r>
      <w:r w:rsidRPr="003A47B0">
        <w:rPr>
          <w:rFonts w:ascii="HadasaRosoSL"/>
          <w:spacing w:val="1"/>
          <w:sz w:val="20"/>
          <w:rtl/>
        </w:rPr>
        <w:t xml:space="preserve">ס"ח </w:t>
      </w:r>
      <w:proofErr w:type="spellStart"/>
      <w:r>
        <w:rPr>
          <w:rFonts w:ascii="HadasaRosoSL" w:hint="cs"/>
          <w:spacing w:val="1"/>
          <w:sz w:val="20"/>
          <w:rtl/>
        </w:rPr>
        <w:t>ה</w:t>
      </w:r>
      <w:r w:rsidRPr="003A47B0">
        <w:rPr>
          <w:rFonts w:ascii="HadasaRosoSL"/>
          <w:spacing w:val="1"/>
          <w:sz w:val="20"/>
          <w:rtl/>
        </w:rPr>
        <w:t>תשי"ג</w:t>
      </w:r>
      <w:proofErr w:type="spellEnd"/>
      <w:r>
        <w:rPr>
          <w:rFonts w:ascii="HadasaRosoSL" w:hint="cs"/>
          <w:spacing w:val="1"/>
          <w:sz w:val="20"/>
          <w:rtl/>
        </w:rPr>
        <w:t xml:space="preserve">, </w:t>
      </w:r>
      <w:r w:rsidRPr="003A47B0">
        <w:rPr>
          <w:rFonts w:ascii="HadasaRosoSL"/>
          <w:spacing w:val="1"/>
          <w:sz w:val="20"/>
          <w:rtl/>
        </w:rPr>
        <w:t>עמ' 2.</w:t>
      </w:r>
    </w:p>
  </w:footnote>
  <w:footnote w:id="3">
    <w:p w14:paraId="1657D96F" w14:textId="369AD886" w:rsidR="00C1473B" w:rsidRDefault="00C1473B" w:rsidP="00C1473B">
      <w:pPr>
        <w:pStyle w:val="a4"/>
        <w:spacing w:after="0"/>
        <w:rPr>
          <w:rtl/>
        </w:rPr>
      </w:pPr>
      <w:r>
        <w:rPr>
          <w:rStyle w:val="a6"/>
        </w:rPr>
        <w:footnoteRef/>
      </w:r>
      <w:r>
        <w:rPr>
          <w:rtl/>
        </w:rPr>
        <w:t xml:space="preserve"> </w:t>
      </w:r>
      <w:r>
        <w:rPr>
          <w:rFonts w:hint="cs"/>
          <w:rtl/>
        </w:rPr>
        <w:t xml:space="preserve">ס"ח </w:t>
      </w:r>
      <w:proofErr w:type="spellStart"/>
      <w:r>
        <w:rPr>
          <w:rFonts w:hint="cs"/>
          <w:rtl/>
        </w:rPr>
        <w:t>התשכ"ח</w:t>
      </w:r>
      <w:proofErr w:type="spellEnd"/>
      <w:r>
        <w:rPr>
          <w:rFonts w:hint="cs"/>
          <w:rtl/>
        </w:rPr>
        <w:t xml:space="preserve">, עמ' </w:t>
      </w:r>
      <w:r w:rsidR="00D22ED4">
        <w:rPr>
          <w:rFonts w:hint="cs"/>
          <w:rtl/>
        </w:rPr>
        <w:t>20.</w:t>
      </w:r>
    </w:p>
  </w:footnote>
  <w:footnote w:id="4">
    <w:p w14:paraId="433D2794" w14:textId="77777777" w:rsidR="00C1473B" w:rsidRDefault="00C1473B" w:rsidP="00C1473B">
      <w:pPr>
        <w:pStyle w:val="a4"/>
        <w:rPr>
          <w:rtl/>
        </w:rPr>
      </w:pPr>
      <w:r>
        <w:rPr>
          <w:rStyle w:val="a6"/>
        </w:rPr>
        <w:footnoteRef/>
      </w:r>
      <w:r>
        <w:rPr>
          <w:rtl/>
        </w:rPr>
        <w:t xml:space="preserve"> </w:t>
      </w:r>
      <w:proofErr w:type="spellStart"/>
      <w:r>
        <w:rPr>
          <w:rFonts w:hint="cs"/>
          <w:rtl/>
        </w:rPr>
        <w:t>קמצ"מ</w:t>
      </w:r>
      <w:proofErr w:type="spellEnd"/>
      <w:r>
        <w:rPr>
          <w:rFonts w:hint="cs"/>
          <w:rtl/>
        </w:rPr>
        <w:t xml:space="preserve"> </w:t>
      </w:r>
      <w:proofErr w:type="spellStart"/>
      <w:r>
        <w:rPr>
          <w:rFonts w:hint="cs"/>
          <w:rtl/>
        </w:rPr>
        <w:t>התשכ"ז</w:t>
      </w:r>
      <w:proofErr w:type="spellEnd"/>
      <w:r>
        <w:rPr>
          <w:rFonts w:hint="cs"/>
          <w:rtl/>
        </w:rPr>
        <w:t>, עמ' 162.</w:t>
      </w:r>
    </w:p>
  </w:footnote>
  <w:footnote w:id="5">
    <w:p w14:paraId="1C2431B5" w14:textId="77777777" w:rsidR="00C1473B" w:rsidRDefault="00C1473B" w:rsidP="00C1473B">
      <w:pPr>
        <w:pStyle w:val="a4"/>
        <w:rPr>
          <w:rtl/>
        </w:rPr>
      </w:pPr>
      <w:r>
        <w:rPr>
          <w:rStyle w:val="a6"/>
        </w:rPr>
        <w:footnoteRef/>
      </w:r>
      <w:r>
        <w:rPr>
          <w:rtl/>
        </w:rPr>
        <w:t xml:space="preserve"> </w:t>
      </w:r>
      <w:proofErr w:type="spellStart"/>
      <w:r>
        <w:rPr>
          <w:rFonts w:hint="cs"/>
          <w:rtl/>
        </w:rPr>
        <w:t>קמצ"מ</w:t>
      </w:r>
      <w:proofErr w:type="spellEnd"/>
      <w:r>
        <w:rPr>
          <w:rFonts w:hint="cs"/>
          <w:rtl/>
        </w:rPr>
        <w:t xml:space="preserve"> 1967, עמ' 158.</w:t>
      </w:r>
    </w:p>
  </w:footnote>
  <w:footnote w:id="6">
    <w:p w14:paraId="3393B789" w14:textId="77777777" w:rsidR="00C1473B" w:rsidRDefault="00C1473B" w:rsidP="00C1473B">
      <w:pPr>
        <w:pStyle w:val="a4"/>
        <w:rPr>
          <w:rtl/>
        </w:rPr>
      </w:pPr>
      <w:r>
        <w:rPr>
          <w:rStyle w:val="a6"/>
        </w:rPr>
        <w:footnoteRef/>
      </w:r>
      <w:r>
        <w:rPr>
          <w:rtl/>
        </w:rPr>
        <w:t xml:space="preserve"> </w:t>
      </w:r>
      <w:r>
        <w:rPr>
          <w:rFonts w:hint="cs"/>
          <w:rtl/>
        </w:rPr>
        <w:t xml:space="preserve">ס"ח </w:t>
      </w:r>
      <w:proofErr w:type="spellStart"/>
      <w:r>
        <w:rPr>
          <w:rFonts w:hint="cs"/>
          <w:rtl/>
        </w:rPr>
        <w:t>התשע"ז</w:t>
      </w:r>
      <w:proofErr w:type="spellEnd"/>
      <w:r>
        <w:rPr>
          <w:rFonts w:hint="cs"/>
          <w:rtl/>
        </w:rPr>
        <w:t>, עמ' 410.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A641C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C67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79A8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9F06F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86640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5678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6C2E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36B9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E02A4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82B7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972A86"/>
    <w:multiLevelType w:val="hybridMultilevel"/>
    <w:tmpl w:val="0D5028AE"/>
    <w:lvl w:ilvl="0" w:tplc="FB92B186">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1"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A2B35"/>
    <w:multiLevelType w:val="hybridMultilevel"/>
    <w:tmpl w:val="F61ADD04"/>
    <w:lvl w:ilvl="0" w:tplc="EFC26F30">
      <w:start w:val="1"/>
      <w:numFmt w:val="hebrew1"/>
      <w:pStyle w:val="4"/>
      <w:suff w:val="space"/>
      <w:lvlText w:val="%1."/>
      <w:lvlJc w:val="left"/>
      <w:pPr>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3C544D"/>
    <w:multiLevelType w:val="hybridMultilevel"/>
    <w:tmpl w:val="C7443990"/>
    <w:lvl w:ilvl="0" w:tplc="0409000F">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15"/>
  </w:num>
  <w:num w:numId="15">
    <w:abstractNumId w:val="13"/>
  </w:num>
  <w:num w:numId="16">
    <w:abstractNumId w:val="13"/>
    <w:lvlOverride w:ilvl="0">
      <w:startOverride w:val="1"/>
    </w:lvlOverride>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34B07"/>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67383"/>
    <w:rsid w:val="002728B4"/>
    <w:rsid w:val="0027600C"/>
    <w:rsid w:val="00292712"/>
    <w:rsid w:val="002A487D"/>
    <w:rsid w:val="002C2E29"/>
    <w:rsid w:val="002C3041"/>
    <w:rsid w:val="002D1EE3"/>
    <w:rsid w:val="002F1D80"/>
    <w:rsid w:val="003232A2"/>
    <w:rsid w:val="003233BF"/>
    <w:rsid w:val="00325C14"/>
    <w:rsid w:val="0036422C"/>
    <w:rsid w:val="003710F6"/>
    <w:rsid w:val="00386E88"/>
    <w:rsid w:val="00396585"/>
    <w:rsid w:val="003D6E38"/>
    <w:rsid w:val="003D74A0"/>
    <w:rsid w:val="004033D8"/>
    <w:rsid w:val="0040554B"/>
    <w:rsid w:val="004073F0"/>
    <w:rsid w:val="00412A7D"/>
    <w:rsid w:val="00416B4D"/>
    <w:rsid w:val="00417CFC"/>
    <w:rsid w:val="004A06DC"/>
    <w:rsid w:val="004A42D6"/>
    <w:rsid w:val="004B24ED"/>
    <w:rsid w:val="004B4456"/>
    <w:rsid w:val="004B6625"/>
    <w:rsid w:val="004D2D82"/>
    <w:rsid w:val="004D3876"/>
    <w:rsid w:val="004E4552"/>
    <w:rsid w:val="004E6CDF"/>
    <w:rsid w:val="00553C9D"/>
    <w:rsid w:val="00562A66"/>
    <w:rsid w:val="005B064E"/>
    <w:rsid w:val="005D51AE"/>
    <w:rsid w:val="0060478D"/>
    <w:rsid w:val="0062674B"/>
    <w:rsid w:val="006363B2"/>
    <w:rsid w:val="00644940"/>
    <w:rsid w:val="006818A9"/>
    <w:rsid w:val="006A1C8C"/>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838B4"/>
    <w:rsid w:val="00892135"/>
    <w:rsid w:val="00895449"/>
    <w:rsid w:val="00897879"/>
    <w:rsid w:val="008A6870"/>
    <w:rsid w:val="008C2DDC"/>
    <w:rsid w:val="008C4D5F"/>
    <w:rsid w:val="008C7516"/>
    <w:rsid w:val="008D1E37"/>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3DC4"/>
    <w:rsid w:val="00966D06"/>
    <w:rsid w:val="00982412"/>
    <w:rsid w:val="00983A8D"/>
    <w:rsid w:val="00995CA3"/>
    <w:rsid w:val="009A0DB8"/>
    <w:rsid w:val="009A7257"/>
    <w:rsid w:val="009D5275"/>
    <w:rsid w:val="009D6E0A"/>
    <w:rsid w:val="009E1E33"/>
    <w:rsid w:val="00A14672"/>
    <w:rsid w:val="00A2428D"/>
    <w:rsid w:val="00A26BD6"/>
    <w:rsid w:val="00A443CF"/>
    <w:rsid w:val="00A6611D"/>
    <w:rsid w:val="00A82CB7"/>
    <w:rsid w:val="00A942C1"/>
    <w:rsid w:val="00AA2F03"/>
    <w:rsid w:val="00AC36F7"/>
    <w:rsid w:val="00AC63A4"/>
    <w:rsid w:val="00AD239E"/>
    <w:rsid w:val="00AE4776"/>
    <w:rsid w:val="00B10265"/>
    <w:rsid w:val="00B16A99"/>
    <w:rsid w:val="00B21211"/>
    <w:rsid w:val="00B35784"/>
    <w:rsid w:val="00B733A7"/>
    <w:rsid w:val="00B75C91"/>
    <w:rsid w:val="00B975AD"/>
    <w:rsid w:val="00BC45FB"/>
    <w:rsid w:val="00BF148D"/>
    <w:rsid w:val="00C1473B"/>
    <w:rsid w:val="00C23B1A"/>
    <w:rsid w:val="00C310EB"/>
    <w:rsid w:val="00C43CA5"/>
    <w:rsid w:val="00C9176A"/>
    <w:rsid w:val="00CF1AA2"/>
    <w:rsid w:val="00D142D3"/>
    <w:rsid w:val="00D17774"/>
    <w:rsid w:val="00D22ED4"/>
    <w:rsid w:val="00D63620"/>
    <w:rsid w:val="00D8410D"/>
    <w:rsid w:val="00D867D7"/>
    <w:rsid w:val="00DB7060"/>
    <w:rsid w:val="00DE3153"/>
    <w:rsid w:val="00DE547E"/>
    <w:rsid w:val="00E06736"/>
    <w:rsid w:val="00E13C27"/>
    <w:rsid w:val="00E33BBD"/>
    <w:rsid w:val="00E374F2"/>
    <w:rsid w:val="00E45103"/>
    <w:rsid w:val="00E55A60"/>
    <w:rsid w:val="00E62778"/>
    <w:rsid w:val="00E635A2"/>
    <w:rsid w:val="00E63D38"/>
    <w:rsid w:val="00E665B9"/>
    <w:rsid w:val="00E67EAA"/>
    <w:rsid w:val="00E87A40"/>
    <w:rsid w:val="00EA01E6"/>
    <w:rsid w:val="00EA3DE8"/>
    <w:rsid w:val="00EA758F"/>
    <w:rsid w:val="00ED4A6F"/>
    <w:rsid w:val="00EF3A3A"/>
    <w:rsid w:val="00F21D1C"/>
    <w:rsid w:val="00F628D6"/>
    <w:rsid w:val="00F67051"/>
    <w:rsid w:val="00F86A1E"/>
    <w:rsid w:val="00F910DA"/>
    <w:rsid w:val="00F96EDD"/>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C1BD882F-4CC7-4023-9E9C-06F307672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3BF"/>
    <w:pPr>
      <w:widowControl w:val="0"/>
      <w:bidi/>
      <w:spacing w:after="160" w:line="360" w:lineRule="auto"/>
      <w:ind w:left="340"/>
      <w:contextualSpacing/>
      <w:jc w:val="both"/>
    </w:pPr>
    <w:rPr>
      <w:rFonts w:ascii="David" w:eastAsiaTheme="minorHAnsi" w:hAnsi="David" w:cs="David"/>
      <w:sz w:val="24"/>
      <w:szCs w:val="24"/>
    </w:rPr>
  </w:style>
  <w:style w:type="paragraph" w:styleId="1">
    <w:name w:val="heading 1"/>
    <w:basedOn w:val="a"/>
    <w:next w:val="a"/>
    <w:link w:val="10"/>
    <w:uiPriority w:val="9"/>
    <w:qFormat/>
    <w:rsid w:val="003233BF"/>
    <w:pPr>
      <w:keepNext/>
      <w:keepLines/>
      <w:spacing w:before="240"/>
      <w:jc w:val="center"/>
      <w:outlineLvl w:val="0"/>
    </w:pPr>
    <w:rPr>
      <w:rFonts w:asciiTheme="majorHAnsi" w:eastAsiaTheme="majorEastAsia" w:hAnsiTheme="majorHAnsi"/>
      <w:bCs/>
      <w:sz w:val="32"/>
      <w:szCs w:val="36"/>
    </w:rPr>
  </w:style>
  <w:style w:type="paragraph" w:styleId="2">
    <w:name w:val="heading 2"/>
    <w:basedOn w:val="a"/>
    <w:next w:val="a"/>
    <w:link w:val="20"/>
    <w:unhideWhenUsed/>
    <w:qFormat/>
    <w:rsid w:val="003233BF"/>
    <w:pPr>
      <w:ind w:left="0"/>
      <w:jc w:val="left"/>
      <w:outlineLvl w:val="1"/>
    </w:pPr>
    <w:rPr>
      <w:rFonts w:asciiTheme="majorHAnsi" w:eastAsiaTheme="majorEastAsia" w:hAnsiTheme="majorHAnsi"/>
      <w:bCs/>
      <w:sz w:val="26"/>
      <w:szCs w:val="36"/>
      <w:u w:val="single"/>
    </w:rPr>
  </w:style>
  <w:style w:type="paragraph" w:styleId="3">
    <w:name w:val="heading 3"/>
    <w:basedOn w:val="a"/>
    <w:next w:val="a"/>
    <w:link w:val="30"/>
    <w:unhideWhenUsed/>
    <w:qFormat/>
    <w:rsid w:val="003233BF"/>
    <w:pPr>
      <w:spacing w:before="40"/>
      <w:ind w:left="0"/>
      <w:jc w:val="left"/>
      <w:outlineLvl w:val="2"/>
    </w:pPr>
    <w:rPr>
      <w:rFonts w:asciiTheme="majorHAnsi" w:eastAsiaTheme="majorEastAsia" w:hAnsiTheme="majorHAnsi"/>
      <w:szCs w:val="28"/>
      <w:u w:val="double"/>
    </w:rPr>
  </w:style>
  <w:style w:type="paragraph" w:styleId="4">
    <w:name w:val="heading 4"/>
    <w:basedOn w:val="a"/>
    <w:next w:val="a"/>
    <w:link w:val="40"/>
    <w:uiPriority w:val="9"/>
    <w:unhideWhenUsed/>
    <w:qFormat/>
    <w:rsid w:val="003233BF"/>
    <w:pPr>
      <w:numPr>
        <w:numId w:val="16"/>
      </w:numPr>
      <w:spacing w:before="40" w:after="120"/>
      <w:outlineLvl w:val="3"/>
    </w:pPr>
    <w:rPr>
      <w:b/>
      <w:bCs/>
      <w:color w:val="000000" w:themeColor="text1"/>
      <w:szCs w:val="28"/>
    </w:rPr>
  </w:style>
  <w:style w:type="paragraph" w:styleId="5">
    <w:name w:val="heading 5"/>
    <w:basedOn w:val="a"/>
    <w:next w:val="a"/>
    <w:link w:val="50"/>
    <w:uiPriority w:val="9"/>
    <w:unhideWhenUsed/>
    <w:qFormat/>
    <w:rsid w:val="003233BF"/>
    <w:pPr>
      <w:spacing w:line="259" w:lineRule="auto"/>
      <w:outlineLvl w:val="4"/>
    </w:pPr>
    <w:rPr>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3233BF"/>
    <w:pPr>
      <w:tabs>
        <w:tab w:val="left" w:pos="1191"/>
        <w:tab w:val="left" w:pos="1587"/>
      </w:tabs>
      <w:snapToGrid w:val="0"/>
      <w:spacing w:before="240" w:after="240" w:line="480" w:lineRule="auto"/>
      <w:jc w:val="center"/>
    </w:pPr>
    <w:rPr>
      <w:rFonts w:ascii="Arial" w:eastAsia="Arial Unicode MS" w:hAnsi="Arial"/>
      <w:snapToGrid w:val="0"/>
      <w:sz w:val="20"/>
      <w:szCs w:val="26"/>
    </w:rPr>
  </w:style>
  <w:style w:type="paragraph" w:customStyle="1" w:styleId="Cover2-HatzaotHok">
    <w:name w:val="Cover 2-HatzaotHok"/>
    <w:basedOn w:val="Cover1-Reshumot"/>
    <w:rsid w:val="003233BF"/>
    <w:rPr>
      <w:sz w:val="36"/>
      <w:szCs w:val="52"/>
    </w:rPr>
  </w:style>
  <w:style w:type="paragraph" w:customStyle="1" w:styleId="Cover3-Haknesset">
    <w:name w:val="Cover 3-Haknesset"/>
    <w:basedOn w:val="Cover1-Reshumot"/>
    <w:rsid w:val="003233BF"/>
    <w:rPr>
      <w:b/>
      <w:bCs/>
      <w:spacing w:val="60"/>
    </w:rPr>
  </w:style>
  <w:style w:type="paragraph" w:customStyle="1" w:styleId="Cover4-Date">
    <w:name w:val="Cover 4-Date"/>
    <w:basedOn w:val="a"/>
    <w:rsid w:val="003233BF"/>
    <w:pPr>
      <w:pBdr>
        <w:bottom w:val="single" w:sz="4" w:space="0" w:color="auto"/>
      </w:pBdr>
      <w:tabs>
        <w:tab w:val="center" w:pos="4820"/>
        <w:tab w:val="right" w:pos="9639"/>
      </w:tabs>
      <w:snapToGrid w:val="0"/>
      <w:spacing w:before="240" w:after="240"/>
      <w:jc w:val="left"/>
    </w:pPr>
    <w:rPr>
      <w:rFonts w:ascii="Arial" w:eastAsia="Arial Unicode MS" w:hAnsi="Arial"/>
      <w:snapToGrid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3233BF"/>
    <w:pPr>
      <w:keepNext/>
      <w:keepLines/>
      <w:pageBreakBefore/>
      <w:snapToGrid w:val="0"/>
      <w:spacing w:before="480"/>
    </w:pPr>
    <w:rPr>
      <w:rFonts w:ascii="Arial" w:eastAsia="Arial Unicode MS" w:hAnsi="Arial"/>
      <w:b/>
      <w:bCs/>
      <w:snapToGrid w:val="0"/>
      <w:sz w:val="20"/>
      <w:szCs w:val="26"/>
    </w:rPr>
  </w:style>
  <w:style w:type="paragraph" w:customStyle="1" w:styleId="HeadHatzaotHok">
    <w:name w:val="Head HatzaotHok"/>
    <w:basedOn w:val="a"/>
    <w:rsid w:val="003233BF"/>
    <w:pPr>
      <w:keepNext/>
      <w:keepLines/>
      <w:snapToGrid w:val="0"/>
      <w:spacing w:before="240"/>
      <w:jc w:val="center"/>
      <w:outlineLvl w:val="0"/>
    </w:pPr>
    <w:rPr>
      <w:rFonts w:ascii="Arial" w:eastAsia="Arial Unicode MS" w:hAnsi="Arial"/>
      <w:b/>
      <w:bCs/>
      <w:snapToGrid w:val="0"/>
      <w:sz w:val="20"/>
      <w:szCs w:val="26"/>
    </w:rPr>
  </w:style>
  <w:style w:type="paragraph" w:customStyle="1" w:styleId="HeadHatzaotHok4Futer">
    <w:name w:val="Head HatzaotHok4Futer"/>
    <w:basedOn w:val="HeadHatzaotHok"/>
    <w:rsid w:val="003233BF"/>
    <w:pPr>
      <w:spacing w:before="120" w:after="120"/>
    </w:pPr>
    <w:rPr>
      <w:color w:val="FF0000"/>
      <w:w w:val="80"/>
    </w:rPr>
  </w:style>
  <w:style w:type="paragraph" w:styleId="a3">
    <w:name w:val="endnote text"/>
    <w:basedOn w:val="a"/>
    <w:semiHidden/>
    <w:rsid w:val="003233BF"/>
    <w:pPr>
      <w:ind w:left="227" w:hanging="227"/>
    </w:pPr>
    <w:rPr>
      <w:sz w:val="14"/>
      <w:szCs w:val="22"/>
    </w:rPr>
  </w:style>
  <w:style w:type="paragraph" w:customStyle="1" w:styleId="TableText">
    <w:name w:val="Table Text"/>
    <w:basedOn w:val="a"/>
    <w:link w:val="TableText0"/>
    <w:rsid w:val="003233BF"/>
    <w:pPr>
      <w:keepLines/>
      <w:tabs>
        <w:tab w:val="left" w:pos="624"/>
        <w:tab w:val="left" w:pos="1247"/>
      </w:tabs>
      <w:snapToGrid w:val="0"/>
      <w:spacing w:after="0"/>
      <w:ind w:left="0"/>
      <w:jc w:val="left"/>
    </w:pPr>
    <w:rPr>
      <w:rFonts w:ascii="Arial" w:eastAsia="Arial Unicode MS" w:hAnsi="Arial"/>
      <w:snapToGrid w:val="0"/>
      <w:sz w:val="20"/>
      <w:szCs w:val="26"/>
    </w:rPr>
  </w:style>
  <w:style w:type="paragraph" w:customStyle="1" w:styleId="TableSideHeading">
    <w:name w:val="Table SideHeading"/>
    <w:basedOn w:val="TableText"/>
    <w:rsid w:val="003233BF"/>
    <w:pPr>
      <w:outlineLvl w:val="2"/>
    </w:pPr>
  </w:style>
  <w:style w:type="paragraph" w:customStyle="1" w:styleId="TableBlock">
    <w:name w:val="Table Block"/>
    <w:basedOn w:val="TableText"/>
    <w:link w:val="TableBlock0"/>
    <w:rsid w:val="003233BF"/>
    <w:pPr>
      <w:jc w:val="both"/>
    </w:pPr>
  </w:style>
  <w:style w:type="paragraph" w:customStyle="1" w:styleId="TableHead">
    <w:name w:val="Table Head"/>
    <w:basedOn w:val="TableText"/>
    <w:rsid w:val="003233BF"/>
    <w:pPr>
      <w:jc w:val="center"/>
      <w:outlineLvl w:val="1"/>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3233BF"/>
    <w:pPr>
      <w:outlineLvl w:val="9"/>
    </w:pPr>
  </w:style>
  <w:style w:type="paragraph" w:customStyle="1" w:styleId="Hesber">
    <w:name w:val="Hesber"/>
    <w:basedOn w:val="a"/>
    <w:rsid w:val="003233BF"/>
    <w:pPr>
      <w:snapToGrid w:val="0"/>
    </w:pPr>
    <w:rPr>
      <w:rFonts w:ascii="Arial" w:eastAsia="Arial Unicode MS" w:hAnsi="Arial"/>
      <w:snapToGrid w:val="0"/>
      <w:sz w:val="20"/>
      <w:szCs w:val="26"/>
    </w:rPr>
  </w:style>
  <w:style w:type="paragraph" w:styleId="a4">
    <w:name w:val="footnote text"/>
    <w:basedOn w:val="a"/>
    <w:link w:val="a5"/>
    <w:autoRedefine/>
    <w:rsid w:val="003233BF"/>
    <w:pPr>
      <w:snapToGrid w:val="0"/>
      <w:spacing w:line="240" w:lineRule="auto"/>
      <w:ind w:left="227" w:hanging="227"/>
      <w:jc w:val="left"/>
    </w:pPr>
    <w:rPr>
      <w:rFonts w:ascii="Arial" w:eastAsia="Arial Unicode MS" w:hAnsi="Arial"/>
      <w:snapToGrid w:val="0"/>
      <w:sz w:val="14"/>
      <w:szCs w:val="20"/>
    </w:rPr>
  </w:style>
  <w:style w:type="character" w:styleId="a6">
    <w:name w:val="footnote reference"/>
    <w:aliases w:val="Footnote Reference"/>
    <w:basedOn w:val="a0"/>
    <w:rsid w:val="003233BF"/>
    <w:rPr>
      <w:vertAlign w:val="superscript"/>
    </w:rPr>
  </w:style>
  <w:style w:type="paragraph" w:customStyle="1" w:styleId="HesberHeading">
    <w:name w:val="Hesber Heading"/>
    <w:basedOn w:val="Hesber"/>
    <w:rsid w:val="003233BF"/>
    <w:pPr>
      <w:tabs>
        <w:tab w:val="left" w:pos="624"/>
        <w:tab w:val="left" w:pos="1247"/>
      </w:tabs>
    </w:pPr>
    <w:rPr>
      <w:b/>
      <w:bCs/>
    </w:rPr>
  </w:style>
  <w:style w:type="paragraph" w:customStyle="1" w:styleId="HesberWriters">
    <w:name w:val="Hesber Writers"/>
    <w:basedOn w:val="Hesber"/>
    <w:rsid w:val="003233BF"/>
    <w:pPr>
      <w:spacing w:before="120" w:after="6000"/>
      <w:ind w:left="1418"/>
      <w:jc w:val="right"/>
    </w:pPr>
    <w:rPr>
      <w:b/>
      <w:bCs/>
    </w:rPr>
  </w:style>
  <w:style w:type="paragraph" w:customStyle="1" w:styleId="Hesber1st">
    <w:name w:val="Hesber 1st"/>
    <w:basedOn w:val="Hesber"/>
    <w:rsid w:val="003233BF"/>
    <w:pPr>
      <w:tabs>
        <w:tab w:val="left" w:pos="680"/>
        <w:tab w:val="left" w:pos="1020"/>
      </w:tabs>
      <w:ind w:left="0"/>
    </w:pPr>
  </w:style>
  <w:style w:type="character" w:styleId="a7">
    <w:name w:val="endnote reference"/>
    <w:basedOn w:val="a0"/>
    <w:semiHidden/>
    <w:rsid w:val="003233BF"/>
    <w:rPr>
      <w:vertAlign w:val="superscript"/>
    </w:rPr>
  </w:style>
  <w:style w:type="paragraph" w:customStyle="1" w:styleId="TableBlockOutdent">
    <w:name w:val="Table BlockOutdent"/>
    <w:basedOn w:val="TableBlock"/>
    <w:rsid w:val="003233BF"/>
    <w:pPr>
      <w:ind w:left="624" w:hanging="624"/>
    </w:pPr>
  </w:style>
  <w:style w:type="paragraph" w:styleId="a8">
    <w:name w:val="header"/>
    <w:basedOn w:val="a"/>
    <w:rsid w:val="003233BF"/>
    <w:pPr>
      <w:tabs>
        <w:tab w:val="center" w:pos="4153"/>
        <w:tab w:val="right" w:pos="8306"/>
      </w:tabs>
    </w:pPr>
  </w:style>
  <w:style w:type="paragraph" w:styleId="a9">
    <w:name w:val="footer"/>
    <w:basedOn w:val="a"/>
    <w:rsid w:val="003233BF"/>
    <w:pPr>
      <w:tabs>
        <w:tab w:val="center" w:pos="4153"/>
        <w:tab w:val="right" w:pos="8306"/>
      </w:tabs>
    </w:pPr>
  </w:style>
  <w:style w:type="paragraph" w:customStyle="1" w:styleId="HeadDivreiHesber">
    <w:name w:val="Head DivreiHesber"/>
    <w:basedOn w:val="a"/>
    <w:rsid w:val="003233BF"/>
    <w:pPr>
      <w:snapToGrid w:val="0"/>
      <w:spacing w:before="360" w:after="120"/>
      <w:jc w:val="center"/>
      <w:outlineLvl w:val="1"/>
    </w:pPr>
    <w:rPr>
      <w:rFonts w:ascii="Arial" w:eastAsia="Arial Unicode MS" w:hAnsi="Arial"/>
      <w:b/>
      <w:snapToGrid w:val="0"/>
      <w:spacing w:val="40"/>
      <w:sz w:val="20"/>
      <w:szCs w:val="26"/>
    </w:rPr>
  </w:style>
  <w:style w:type="paragraph" w:customStyle="1" w:styleId="Ragil">
    <w:name w:val="Ragil"/>
    <w:basedOn w:val="a"/>
    <w:rsid w:val="003233BF"/>
    <w:pPr>
      <w:snapToGrid w:val="0"/>
      <w:jc w:val="left"/>
    </w:pPr>
    <w:rPr>
      <w:rFonts w:ascii="Arial" w:eastAsia="Arial Unicode MS" w:hAnsi="Arial"/>
      <w:snapToGrid w:val="0"/>
      <w:sz w:val="20"/>
      <w:szCs w:val="26"/>
    </w:rPr>
  </w:style>
  <w:style w:type="paragraph" w:styleId="aa">
    <w:name w:val="Title"/>
    <w:basedOn w:val="a"/>
    <w:qFormat/>
    <w:rsid w:val="00943386"/>
    <w:pPr>
      <w:jc w:val="center"/>
    </w:pPr>
    <w:rPr>
      <w:b/>
      <w:bCs/>
      <w:sz w:val="28"/>
      <w:szCs w:val="28"/>
      <w:u w:val="single"/>
    </w:rPr>
  </w:style>
  <w:style w:type="character" w:styleId="ab">
    <w:name w:val="page number"/>
    <w:basedOn w:val="a0"/>
    <w:rsid w:val="003233BF"/>
  </w:style>
  <w:style w:type="paragraph" w:customStyle="1" w:styleId="David">
    <w:name w:val="רגיל + (עברית ושפות אחרות) David"/>
    <w:aliases w:val="‏13 נק',מודגש,אחרי:  6 נק'"/>
    <w:basedOn w:val="a"/>
    <w:rsid w:val="001207F8"/>
    <w:pPr>
      <w:jc w:val="left"/>
    </w:pPr>
    <w:rPr>
      <w:sz w:val="26"/>
      <w:szCs w:val="26"/>
    </w:rPr>
  </w:style>
  <w:style w:type="paragraph" w:styleId="ac">
    <w:name w:val="Balloon Text"/>
    <w:basedOn w:val="a"/>
    <w:link w:val="ad"/>
    <w:semiHidden/>
    <w:unhideWhenUsed/>
    <w:rsid w:val="00325C14"/>
    <w:pPr>
      <w:spacing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locked/>
    <w:rsid w:val="0060478D"/>
    <w:rPr>
      <w:rFonts w:ascii="Arial" w:eastAsia="Arial Unicode MS" w:hAnsi="Arial" w:cs="David"/>
      <w:snapToGrid w:val="0"/>
      <w:sz w:val="14"/>
    </w:rPr>
  </w:style>
  <w:style w:type="character" w:customStyle="1" w:styleId="TableText0">
    <w:name w:val="Table Text תו"/>
    <w:link w:val="TableText"/>
    <w:locked/>
    <w:rsid w:val="0060478D"/>
    <w:rPr>
      <w:rFonts w:ascii="Arial" w:eastAsia="Arial Unicode MS" w:hAnsi="Arial" w:cs="David"/>
      <w:snapToGrid w:val="0"/>
      <w:szCs w:val="26"/>
    </w:rPr>
  </w:style>
  <w:style w:type="character" w:customStyle="1" w:styleId="TableBlock0">
    <w:name w:val="Table Block תו"/>
    <w:link w:val="TableBlock"/>
    <w:locked/>
    <w:rsid w:val="0060478D"/>
    <w:rPr>
      <w:rFonts w:ascii="Arial" w:eastAsia="Arial Unicode MS" w:hAnsi="Arial" w:cs="David"/>
      <w:snapToGrid w:val="0"/>
      <w:szCs w:val="26"/>
    </w:rPr>
  </w:style>
  <w:style w:type="character" w:styleId="ae">
    <w:name w:val="annotation reference"/>
    <w:basedOn w:val="a0"/>
    <w:semiHidden/>
    <w:unhideWhenUsed/>
    <w:rsid w:val="00963DC4"/>
    <w:rPr>
      <w:sz w:val="16"/>
      <w:szCs w:val="16"/>
    </w:rPr>
  </w:style>
  <w:style w:type="paragraph" w:styleId="af">
    <w:name w:val="annotation text"/>
    <w:basedOn w:val="a"/>
    <w:link w:val="af0"/>
    <w:semiHidden/>
    <w:unhideWhenUsed/>
    <w:rsid w:val="00963DC4"/>
    <w:pPr>
      <w:spacing w:line="240" w:lineRule="auto"/>
    </w:pPr>
    <w:rPr>
      <w:sz w:val="20"/>
      <w:szCs w:val="20"/>
    </w:rPr>
  </w:style>
  <w:style w:type="character" w:customStyle="1" w:styleId="af0">
    <w:name w:val="טקסט הערה תו"/>
    <w:basedOn w:val="a0"/>
    <w:link w:val="af"/>
    <w:semiHidden/>
    <w:rsid w:val="00963DC4"/>
    <w:rPr>
      <w:rFonts w:ascii="Hadasa Roso SL" w:hAnsi="Hadasa Roso SL" w:cs="Hadasa Roso SL"/>
      <w:color w:val="000000"/>
      <w:spacing w:val="1"/>
      <w:lang w:eastAsia="ja-JP"/>
    </w:rPr>
  </w:style>
  <w:style w:type="paragraph" w:styleId="af1">
    <w:name w:val="annotation subject"/>
    <w:basedOn w:val="af"/>
    <w:next w:val="af"/>
    <w:link w:val="af2"/>
    <w:semiHidden/>
    <w:unhideWhenUsed/>
    <w:rsid w:val="00963DC4"/>
    <w:rPr>
      <w:b/>
      <w:bCs/>
    </w:rPr>
  </w:style>
  <w:style w:type="character" w:customStyle="1" w:styleId="af2">
    <w:name w:val="נושא הערה תו"/>
    <w:basedOn w:val="af0"/>
    <w:link w:val="af1"/>
    <w:semiHidden/>
    <w:rsid w:val="00963DC4"/>
    <w:rPr>
      <w:rFonts w:ascii="Hadasa Roso SL" w:hAnsi="Hadasa Roso SL" w:cs="Hadasa Roso SL"/>
      <w:b/>
      <w:bCs/>
      <w:color w:val="000000"/>
      <w:spacing w:val="1"/>
      <w:lang w:eastAsia="ja-JP"/>
    </w:rPr>
  </w:style>
  <w:style w:type="character" w:customStyle="1" w:styleId="10">
    <w:name w:val="כותרת 1 תו"/>
    <w:basedOn w:val="a0"/>
    <w:link w:val="1"/>
    <w:uiPriority w:val="9"/>
    <w:rsid w:val="003233BF"/>
    <w:rPr>
      <w:rFonts w:asciiTheme="majorHAnsi" w:eastAsiaTheme="majorEastAsia" w:hAnsiTheme="majorHAnsi" w:cs="David"/>
      <w:bCs/>
      <w:sz w:val="32"/>
      <w:szCs w:val="36"/>
    </w:rPr>
  </w:style>
  <w:style w:type="character" w:customStyle="1" w:styleId="20">
    <w:name w:val="כותרת 2 תו"/>
    <w:basedOn w:val="a0"/>
    <w:link w:val="2"/>
    <w:rsid w:val="003233BF"/>
    <w:rPr>
      <w:rFonts w:asciiTheme="majorHAnsi" w:eastAsiaTheme="majorEastAsia" w:hAnsiTheme="majorHAnsi" w:cs="David"/>
      <w:bCs/>
      <w:sz w:val="26"/>
      <w:szCs w:val="36"/>
      <w:u w:val="single"/>
    </w:rPr>
  </w:style>
  <w:style w:type="character" w:customStyle="1" w:styleId="30">
    <w:name w:val="כותרת 3 תו"/>
    <w:basedOn w:val="a0"/>
    <w:link w:val="3"/>
    <w:rsid w:val="003233BF"/>
    <w:rPr>
      <w:rFonts w:asciiTheme="majorHAnsi" w:eastAsiaTheme="majorEastAsia" w:hAnsiTheme="majorHAnsi" w:cs="David"/>
      <w:sz w:val="24"/>
      <w:szCs w:val="28"/>
      <w:u w:val="double"/>
    </w:rPr>
  </w:style>
  <w:style w:type="character" w:customStyle="1" w:styleId="40">
    <w:name w:val="כותרת 4 תו"/>
    <w:basedOn w:val="a0"/>
    <w:link w:val="4"/>
    <w:uiPriority w:val="9"/>
    <w:rsid w:val="003233BF"/>
    <w:rPr>
      <w:rFonts w:ascii="David" w:eastAsiaTheme="minorHAnsi" w:hAnsi="David" w:cs="David"/>
      <w:b/>
      <w:bCs/>
      <w:color w:val="000000" w:themeColor="text1"/>
      <w:sz w:val="24"/>
      <w:szCs w:val="28"/>
    </w:rPr>
  </w:style>
  <w:style w:type="character" w:customStyle="1" w:styleId="50">
    <w:name w:val="כותרת 5 תו"/>
    <w:basedOn w:val="a0"/>
    <w:link w:val="5"/>
    <w:uiPriority w:val="9"/>
    <w:rsid w:val="003233BF"/>
    <w:rPr>
      <w:rFonts w:ascii="David" w:eastAsiaTheme="minorHAnsi" w:hAnsi="David" w:cs="David"/>
      <w:color w:val="000000" w:themeColor="text1"/>
      <w:sz w:val="24"/>
      <w:szCs w:val="24"/>
    </w:rPr>
  </w:style>
  <w:style w:type="paragraph" w:styleId="af3">
    <w:name w:val="TOC Heading"/>
    <w:basedOn w:val="1"/>
    <w:next w:val="a"/>
    <w:uiPriority w:val="39"/>
    <w:unhideWhenUsed/>
    <w:qFormat/>
    <w:rsid w:val="003233BF"/>
    <w:pPr>
      <w:widowControl/>
      <w:spacing w:before="120" w:after="120"/>
      <w:outlineLvl w:val="9"/>
    </w:pPr>
    <w:rPr>
      <w:rtl/>
      <w:cs/>
    </w:rPr>
  </w:style>
  <w:style w:type="paragraph" w:styleId="TOC1">
    <w:name w:val="toc 1"/>
    <w:basedOn w:val="a"/>
    <w:next w:val="a"/>
    <w:autoRedefine/>
    <w:uiPriority w:val="39"/>
    <w:unhideWhenUsed/>
    <w:rsid w:val="003233BF"/>
    <w:pPr>
      <w:tabs>
        <w:tab w:val="right" w:leader="dot" w:pos="9629"/>
      </w:tabs>
      <w:spacing w:after="100"/>
    </w:pPr>
    <w:rPr>
      <w:bCs/>
      <w:szCs w:val="22"/>
    </w:rPr>
  </w:style>
  <w:style w:type="paragraph" w:styleId="TOC2">
    <w:name w:val="toc 2"/>
    <w:basedOn w:val="a"/>
    <w:next w:val="a"/>
    <w:uiPriority w:val="39"/>
    <w:unhideWhenUsed/>
    <w:rsid w:val="003233BF"/>
    <w:pPr>
      <w:tabs>
        <w:tab w:val="right" w:leader="dot" w:pos="9628"/>
      </w:tabs>
      <w:spacing w:after="100"/>
    </w:pPr>
    <w:rPr>
      <w:szCs w:val="22"/>
    </w:rPr>
  </w:style>
  <w:style w:type="character" w:styleId="Hyperlink">
    <w:name w:val="Hyperlink"/>
    <w:basedOn w:val="a0"/>
    <w:uiPriority w:val="99"/>
    <w:unhideWhenUsed/>
    <w:rsid w:val="003233BF"/>
    <w:rPr>
      <w:color w:val="0000FF" w:themeColor="hyperlink"/>
      <w:u w:val="single"/>
    </w:rPr>
  </w:style>
  <w:style w:type="paragraph" w:styleId="TOC3">
    <w:name w:val="toc 3"/>
    <w:basedOn w:val="a"/>
    <w:next w:val="a"/>
    <w:uiPriority w:val="39"/>
    <w:unhideWhenUsed/>
    <w:rsid w:val="003233BF"/>
    <w:pPr>
      <w:tabs>
        <w:tab w:val="right" w:leader="dot" w:pos="9629"/>
      </w:tabs>
      <w:spacing w:after="100"/>
      <w:ind w:left="567"/>
    </w:pPr>
    <w:rPr>
      <w:szCs w:val="22"/>
    </w:rPr>
  </w:style>
  <w:style w:type="paragraph" w:styleId="TOC4">
    <w:name w:val="toc 4"/>
    <w:basedOn w:val="a"/>
    <w:next w:val="a"/>
    <w:autoRedefine/>
    <w:unhideWhenUsed/>
    <w:qFormat/>
    <w:rsid w:val="003233BF"/>
    <w:pPr>
      <w:tabs>
        <w:tab w:val="right" w:leader="dot" w:pos="9628"/>
      </w:tabs>
      <w:spacing w:after="100"/>
      <w:ind w:left="567"/>
    </w:pPr>
    <w:rPr>
      <w:rFonts w:asciiTheme="minorHAnsi" w:eastAsiaTheme="minorEastAsia" w:hAnsiTheme="minorHAnsi"/>
      <w:noProof/>
      <w:sz w:val="22"/>
      <w:szCs w:val="22"/>
    </w:rPr>
  </w:style>
  <w:style w:type="paragraph" w:styleId="TOC5">
    <w:name w:val="toc 5"/>
    <w:basedOn w:val="a"/>
    <w:next w:val="a"/>
    <w:semiHidden/>
    <w:unhideWhenUsed/>
    <w:rsid w:val="003233BF"/>
    <w:pPr>
      <w:tabs>
        <w:tab w:val="right" w:leader="dot" w:pos="9628"/>
      </w:tabs>
      <w:spacing w:after="100"/>
      <w:ind w:left="567"/>
    </w:pPr>
    <w:rPr>
      <w:szCs w:val="22"/>
    </w:rPr>
  </w:style>
  <w:style w:type="paragraph" w:styleId="TOC6">
    <w:name w:val="toc 6"/>
    <w:basedOn w:val="a"/>
    <w:next w:val="a"/>
    <w:autoRedefine/>
    <w:semiHidden/>
    <w:unhideWhenUsed/>
    <w:rsid w:val="003233BF"/>
    <w:pPr>
      <w:spacing w:after="100"/>
      <w:ind w:left="850"/>
    </w:pPr>
  </w:style>
  <w:style w:type="paragraph" w:styleId="TOC7">
    <w:name w:val="toc 7"/>
    <w:basedOn w:val="a"/>
    <w:next w:val="a"/>
    <w:autoRedefine/>
    <w:semiHidden/>
    <w:unhideWhenUsed/>
    <w:rsid w:val="003233BF"/>
    <w:pPr>
      <w:spacing w:after="100"/>
      <w:ind w:left="1020"/>
    </w:pPr>
  </w:style>
  <w:style w:type="paragraph" w:styleId="TOC8">
    <w:name w:val="toc 8"/>
    <w:basedOn w:val="a"/>
    <w:next w:val="a"/>
    <w:autoRedefine/>
    <w:semiHidden/>
    <w:unhideWhenUsed/>
    <w:rsid w:val="003233BF"/>
    <w:pPr>
      <w:spacing w:after="100"/>
      <w:ind w:left="1190"/>
    </w:pPr>
  </w:style>
  <w:style w:type="paragraph" w:styleId="TOC9">
    <w:name w:val="toc 9"/>
    <w:basedOn w:val="a"/>
    <w:next w:val="a"/>
    <w:autoRedefine/>
    <w:semiHidden/>
    <w:unhideWhenUsed/>
    <w:rsid w:val="003233BF"/>
    <w:pPr>
      <w:spacing w:after="100"/>
      <w:ind w:left="1360"/>
    </w:pPr>
  </w:style>
  <w:style w:type="paragraph" w:customStyle="1" w:styleId="TableHead2">
    <w:name w:val="Table Head2"/>
    <w:basedOn w:val="TableHead"/>
    <w:qFormat/>
    <w:rsid w:val="003233BF"/>
    <w:pPr>
      <w:outlineLvl w:val="9"/>
    </w:pPr>
  </w:style>
  <w:style w:type="paragraph" w:customStyle="1" w:styleId="TableSideHeading2">
    <w:name w:val="Table SideHeading2"/>
    <w:basedOn w:val="TableSideHeading"/>
    <w:autoRedefine/>
    <w:qFormat/>
    <w:rsid w:val="003233BF"/>
    <w:pPr>
      <w:keepLines w:val="0"/>
      <w:outlineLvl w:val="9"/>
    </w:pPr>
  </w:style>
  <w:style w:type="paragraph" w:customStyle="1" w:styleId="0">
    <w:name w:val="סגנון שורה ראשונה:  0  ס''מ"/>
    <w:basedOn w:val="2"/>
    <w:rsid w:val="003233BF"/>
    <w:rPr>
      <w:rFonts w:eastAsia="Times New Roman"/>
    </w:rPr>
  </w:style>
  <w:style w:type="paragraph" w:styleId="af4">
    <w:name w:val="List Paragraph"/>
    <w:basedOn w:val="a"/>
    <w:uiPriority w:val="34"/>
    <w:qFormat/>
    <w:rsid w:val="003233BF"/>
    <w:pPr>
      <w:widowControl/>
      <w:spacing w:line="259" w:lineRule="auto"/>
    </w:pPr>
    <w:rPr>
      <w:rFonts w:asciiTheme="minorHAnsi" w:hAnsiTheme="minorHAnsi"/>
      <w:sz w:val="22"/>
    </w:rPr>
  </w:style>
  <w:style w:type="table" w:styleId="af5">
    <w:name w:val="Table Grid"/>
    <w:basedOn w:val="a1"/>
    <w:rsid w:val="003233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Plain Table 1"/>
    <w:basedOn w:val="a1"/>
    <w:uiPriority w:val="41"/>
    <w:rsid w:val="003233B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12">
    <w:name w:val="Grid Table 1 Light"/>
    <w:basedOn w:val="a1"/>
    <w:uiPriority w:val="46"/>
    <w:rsid w:val="003233B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af6">
    <w:name w:val="טבלת חקיקה"/>
    <w:basedOn w:val="a1"/>
    <w:uiPriority w:val="99"/>
    <w:rsid w:val="003233BF"/>
    <w:pPr>
      <w:jc w:val="center"/>
    </w:pPr>
    <w:rPr>
      <w:rFonts w:cstheme="minorBidi"/>
    </w:rPr>
    <w:tblPr/>
    <w:tcPr>
      <w:tcMar>
        <w:left w:w="0" w:type="dxa"/>
        <w:right w:w="0" w:type="dxa"/>
      </w:tcMar>
      <w:vAlign w:val="center"/>
    </w:tcPr>
    <w:tblStylePr w:type="firstRow">
      <w:pPr>
        <w:jc w:val="center"/>
      </w:pPr>
      <w:rPr>
        <w:rFonts w:cs="David"/>
        <w:bCs/>
        <w:szCs w:val="24"/>
      </w:rPr>
      <w:tblPr/>
      <w:tcPr>
        <w:tcBorders>
          <w:top w:val="nil"/>
          <w:left w:val="nil"/>
          <w:bottom w:val="nil"/>
          <w:right w:val="nil"/>
          <w:insideH w:val="nil"/>
          <w:insideV w:val="nil"/>
          <w:tl2br w:val="nil"/>
          <w:tr2bl w:val="nil"/>
        </w:tcBorders>
        <w:shd w:val="pct10" w:color="auto" w:fill="auto"/>
      </w:tcPr>
    </w:tblStylePr>
    <w:tblStylePr w:type="firstCol">
      <w:tblPr/>
      <w:tcPr>
        <w:noWrap/>
      </w:tcPr>
    </w:tblStylePr>
    <w:tblStylePr w:type="lastCol">
      <w:pPr>
        <w:jc w:val="center"/>
      </w:pPr>
      <w:tblPr/>
      <w:tcPr>
        <w:noWrap/>
      </w:tcPr>
    </w:tblStylePr>
  </w:style>
  <w:style w:type="table" w:customStyle="1" w:styleId="13">
    <w:name w:val="סגנון1"/>
    <w:basedOn w:val="a1"/>
    <w:uiPriority w:val="99"/>
    <w:rsid w:val="003233BF"/>
    <w:tblPr/>
    <w:tblStylePr w:type="firstCol">
      <w:pPr>
        <w:keepNext w:val="0"/>
        <w:keepLines/>
        <w:pageBreakBefore w:val="0"/>
        <w:widowControl w:val="0"/>
        <w:suppressLineNumbers w:val="0"/>
        <w:suppressAutoHyphens w:val="0"/>
        <w:wordWrap/>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1E205BBB08441AEFFEBF8ABB23DF1" ma:contentTypeVersion="0" ma:contentTypeDescription="Create a new document." ma:contentTypeScope="" ma:versionID="5e16b795bfa190b891513a8f9da4548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2.xml><?xml version="1.0" encoding="utf-8"?>
<ds:datastoreItem xmlns:ds="http://schemas.openxmlformats.org/officeDocument/2006/customXml" ds:itemID="{A2F6109F-B6EE-49F6-B32B-413E6929127B}"/>
</file>

<file path=customXml/itemProps3.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61535C2-AF05-4EE9-9C3C-099F8BF94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1206</Words>
  <Characters>6035</Characters>
  <Application>Microsoft Office Word</Application>
  <DocSecurity>4</DocSecurity>
  <Lines>50</Lines>
  <Paragraphs>14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7227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שמרית יעקב</cp:lastModifiedBy>
  <cp:revision>2</cp:revision>
  <cp:lastPrinted>2018-10-28T08:59:00Z</cp:lastPrinted>
  <dcterms:created xsi:type="dcterms:W3CDTF">2018-10-28T09:00:00Z</dcterms:created>
  <dcterms:modified xsi:type="dcterms:W3CDTF">2018-10-28T09:00:00Z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0x010100F931E205BBB08441AEFFEBF8ABB23DF1</vt:lpwstr>
  </property>
  <property fmtid="{D5CDD505-2E9C-101B-9397-08002B2CF9AE}" pid="3" name="_dlc_DocIdItemGuid">
    <vt:lpwstr>8badafff-95aa-4718-b074-a2d35988ffa8</vt:lpwstr>
  </property>
  <property fmtid="{D5CDD505-2E9C-101B-9397-08002B2CF9AE}" pid="4" name="SanhedrinDocumentType">
    <vt:r8>88</vt:r8>
  </property>
  <property fmtid="{D5CDD505-2E9C-101B-9397-08002B2CF9AE}" pid="5" name="SanhedrinItemID">
    <vt:r8>2074966</vt:r8>
  </property>
</Properties>
</file>