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CB6" w:rsidRPr="00436D6C" w:rsidRDefault="0064678D" w:rsidP="0064678D">
      <w:pPr>
        <w:pStyle w:val="HeadMitparsemetBaze"/>
        <w:jc w:val="right"/>
        <w:rPr>
          <w:sz w:val="24"/>
          <w:szCs w:val="24"/>
          <w:u w:val="single"/>
          <w:rtl/>
        </w:rPr>
      </w:pPr>
      <w:bookmarkStart w:id="0" w:name="_GoBack"/>
      <w:bookmarkEnd w:id="0"/>
      <w:r w:rsidRPr="00436D6C">
        <w:rPr>
          <w:rFonts w:cs="Arial" w:hint="cs"/>
          <w:sz w:val="24"/>
          <w:szCs w:val="24"/>
          <w:u w:val="single"/>
          <w:rtl/>
        </w:rPr>
        <w:t>הצעת נוסח מאת ח"כ יואב קיש. לישיבת הוועדה ביום 29.10.18</w:t>
      </w:r>
    </w:p>
    <w:p w:rsidR="00A60CB6" w:rsidRPr="000D2690" w:rsidRDefault="00A60CB6" w:rsidP="00A60CB6">
      <w:pPr>
        <w:jc w:val="right"/>
        <w:rPr>
          <w:u w:val="single"/>
        </w:rPr>
      </w:pPr>
    </w:p>
    <w:p w:rsidR="009B1BAF" w:rsidRDefault="009B1BAF" w:rsidP="009B1BAF">
      <w:pPr>
        <w:spacing w:line="240" w:lineRule="auto"/>
        <w:jc w:val="center"/>
        <w:rPr>
          <w:b/>
          <w:bCs/>
          <w:sz w:val="28"/>
          <w:szCs w:val="28"/>
          <w:rtl/>
        </w:rPr>
      </w:pPr>
      <w:r w:rsidRPr="0064678D">
        <w:rPr>
          <w:rFonts w:hint="cs"/>
          <w:b/>
          <w:bCs/>
          <w:sz w:val="28"/>
          <w:szCs w:val="28"/>
          <w:rtl/>
        </w:rPr>
        <w:t xml:space="preserve">הצעת </w:t>
      </w:r>
      <w:r w:rsidR="00A60CB6" w:rsidRPr="0064678D">
        <w:rPr>
          <w:rFonts w:hint="cs"/>
          <w:b/>
          <w:bCs/>
          <w:sz w:val="28"/>
          <w:szCs w:val="28"/>
          <w:rtl/>
        </w:rPr>
        <w:t xml:space="preserve">חוק </w:t>
      </w:r>
      <w:bookmarkStart w:id="1" w:name="LGSName"/>
      <w:r w:rsidR="00A60CB6" w:rsidRPr="0064678D">
        <w:rPr>
          <w:rFonts w:hint="cs"/>
          <w:b/>
          <w:bCs/>
          <w:sz w:val="28"/>
          <w:szCs w:val="28"/>
          <w:rtl/>
        </w:rPr>
        <w:t>לתיקון פקודת הבנקאות (מס'</w:t>
      </w:r>
      <w:r w:rsidR="0006685D" w:rsidRPr="0064678D">
        <w:rPr>
          <w:rFonts w:hint="cs"/>
          <w:b/>
          <w:bCs/>
          <w:sz w:val="28"/>
          <w:szCs w:val="28"/>
          <w:rtl/>
        </w:rPr>
        <w:t xml:space="preserve"> 33</w:t>
      </w:r>
      <w:r w:rsidR="00A60CB6" w:rsidRPr="0064678D">
        <w:rPr>
          <w:rFonts w:hint="cs"/>
          <w:b/>
          <w:bCs/>
          <w:sz w:val="28"/>
          <w:szCs w:val="28"/>
          <w:rtl/>
        </w:rPr>
        <w:t>)</w:t>
      </w:r>
      <w:r w:rsidR="0006685D" w:rsidRPr="0064678D">
        <w:rPr>
          <w:rFonts w:hint="cs"/>
          <w:b/>
          <w:bCs/>
          <w:sz w:val="28"/>
          <w:szCs w:val="28"/>
          <w:rtl/>
        </w:rPr>
        <w:t>(הסכם הלוואה לדיור ללא עמלת היוון בשל פירעון מוקדם)</w:t>
      </w:r>
      <w:r w:rsidR="00A60CB6" w:rsidRPr="0064678D">
        <w:rPr>
          <w:rFonts w:hint="cs"/>
          <w:b/>
          <w:bCs/>
          <w:sz w:val="28"/>
          <w:szCs w:val="28"/>
          <w:rtl/>
        </w:rPr>
        <w:t xml:space="preserve">, </w:t>
      </w:r>
      <w:proofErr w:type="spellStart"/>
      <w:r w:rsidR="00A60CB6" w:rsidRPr="0064678D">
        <w:rPr>
          <w:rFonts w:hint="cs"/>
          <w:b/>
          <w:bCs/>
          <w:sz w:val="28"/>
          <w:szCs w:val="28"/>
          <w:rtl/>
        </w:rPr>
        <w:t>התשע"ח</w:t>
      </w:r>
      <w:proofErr w:type="spellEnd"/>
      <w:r w:rsidR="00A60CB6" w:rsidRPr="0064678D">
        <w:rPr>
          <w:rFonts w:hint="eastAsia"/>
          <w:b/>
          <w:bCs/>
          <w:sz w:val="28"/>
          <w:szCs w:val="28"/>
          <w:rtl/>
        </w:rPr>
        <w:t>–</w:t>
      </w:r>
      <w:r w:rsidR="00A60CB6" w:rsidRPr="0064678D">
        <w:rPr>
          <w:rFonts w:hint="cs"/>
          <w:b/>
          <w:bCs/>
          <w:sz w:val="28"/>
          <w:szCs w:val="28"/>
          <w:rtl/>
        </w:rPr>
        <w:t>2018</w:t>
      </w:r>
      <w:bookmarkEnd w:id="1"/>
      <w:r w:rsidRPr="0064678D">
        <w:rPr>
          <w:rFonts w:hint="cs"/>
          <w:b/>
          <w:bCs/>
          <w:sz w:val="28"/>
          <w:szCs w:val="28"/>
          <w:rtl/>
        </w:rPr>
        <w:t xml:space="preserve">, </w:t>
      </w:r>
      <w:bookmarkStart w:id="2" w:name="PrivateNumber"/>
      <w:r w:rsidRPr="0064678D">
        <w:rPr>
          <w:rFonts w:hint="cs"/>
          <w:b/>
          <w:bCs/>
          <w:sz w:val="28"/>
          <w:szCs w:val="28"/>
          <w:rtl/>
        </w:rPr>
        <w:t>(פ/4114/20)</w:t>
      </w:r>
      <w:bookmarkEnd w:id="2"/>
    </w:p>
    <w:p w:rsidR="0064678D" w:rsidRDefault="0064678D" w:rsidP="009B1BAF">
      <w:pPr>
        <w:spacing w:line="240" w:lineRule="auto"/>
        <w:jc w:val="center"/>
        <w:rPr>
          <w:b/>
          <w:bCs/>
          <w:sz w:val="28"/>
          <w:szCs w:val="28"/>
          <w:rtl/>
        </w:rPr>
      </w:pPr>
    </w:p>
    <w:p w:rsidR="0064678D" w:rsidRPr="0064678D" w:rsidRDefault="0064678D" w:rsidP="009B1BAF">
      <w:pPr>
        <w:spacing w:line="240" w:lineRule="auto"/>
        <w:jc w:val="center"/>
        <w:rPr>
          <w:b/>
          <w:bCs/>
          <w:sz w:val="28"/>
          <w:szCs w:val="28"/>
          <w:rtl/>
        </w:rPr>
      </w:pPr>
    </w:p>
    <w:tbl>
      <w:tblPr>
        <w:bidiVisual/>
        <w:tblW w:w="9639" w:type="dxa"/>
        <w:tblLayout w:type="fixed"/>
        <w:tblCellMar>
          <w:top w:w="57" w:type="dxa"/>
          <w:left w:w="0" w:type="dxa"/>
          <w:bottom w:w="57" w:type="dxa"/>
          <w:right w:w="0" w:type="dxa"/>
        </w:tblCellMar>
        <w:tblLook w:val="01E0" w:firstRow="1" w:lastRow="1" w:firstColumn="1" w:lastColumn="1" w:noHBand="0" w:noVBand="0"/>
      </w:tblPr>
      <w:tblGrid>
        <w:gridCol w:w="1872"/>
        <w:gridCol w:w="624"/>
        <w:gridCol w:w="624"/>
        <w:gridCol w:w="6519"/>
      </w:tblGrid>
      <w:tr w:rsidR="00A60CB6" w:rsidRPr="001C7118" w:rsidTr="00304E37">
        <w:trPr>
          <w:cantSplit/>
        </w:trPr>
        <w:tc>
          <w:tcPr>
            <w:tcW w:w="1872" w:type="dxa"/>
            <w:shd w:val="clear" w:color="auto" w:fill="auto"/>
          </w:tcPr>
          <w:p w:rsidR="00A60CB6" w:rsidRPr="001C7118" w:rsidRDefault="00A60CB6" w:rsidP="00304E37">
            <w:pPr>
              <w:pStyle w:val="TableSideHeading"/>
              <w:keepLines w:val="0"/>
              <w:ind w:right="-28"/>
              <w:rPr>
                <w:sz w:val="26"/>
                <w:rtl/>
              </w:rPr>
            </w:pPr>
            <w:r w:rsidRPr="001C7118">
              <w:rPr>
                <w:sz w:val="26"/>
                <w:rtl/>
              </w:rPr>
              <w:t>תיקון סעיף 13</w:t>
            </w:r>
          </w:p>
        </w:tc>
        <w:tc>
          <w:tcPr>
            <w:tcW w:w="624" w:type="dxa"/>
            <w:shd w:val="clear" w:color="auto" w:fill="auto"/>
          </w:tcPr>
          <w:p w:rsidR="00A60CB6" w:rsidRPr="001C7118" w:rsidRDefault="00A60CB6" w:rsidP="00304E37">
            <w:pPr>
              <w:pStyle w:val="TableText"/>
              <w:keepLines w:val="0"/>
              <w:ind w:right="-28"/>
              <w:rPr>
                <w:sz w:val="26"/>
                <w:rtl/>
              </w:rPr>
            </w:pPr>
            <w:r w:rsidRPr="001C7118">
              <w:rPr>
                <w:sz w:val="26"/>
                <w:rtl/>
              </w:rPr>
              <w:t>1.</w:t>
            </w:r>
          </w:p>
        </w:tc>
        <w:tc>
          <w:tcPr>
            <w:tcW w:w="7143" w:type="dxa"/>
            <w:gridSpan w:val="2"/>
            <w:shd w:val="clear" w:color="auto" w:fill="auto"/>
          </w:tcPr>
          <w:p w:rsidR="00A60CB6" w:rsidRPr="001C7118" w:rsidRDefault="00A60CB6" w:rsidP="00304E37">
            <w:pPr>
              <w:pStyle w:val="TableBlock"/>
              <w:rPr>
                <w:sz w:val="26"/>
                <w:rtl/>
              </w:rPr>
            </w:pPr>
            <w:r w:rsidRPr="001C7118">
              <w:rPr>
                <w:sz w:val="26"/>
                <w:rtl/>
              </w:rPr>
              <w:t>בפקודת הבנקאות, 1941‏</w:t>
            </w:r>
            <w:r w:rsidRPr="001C7118">
              <w:rPr>
                <w:rStyle w:val="a8"/>
                <w:rFonts w:ascii="David" w:hAnsi="David"/>
                <w:sz w:val="26"/>
                <w:rtl/>
              </w:rPr>
              <w:footnoteReference w:id="1"/>
            </w:r>
            <w:r w:rsidRPr="001C7118">
              <w:rPr>
                <w:sz w:val="26"/>
                <w:rtl/>
              </w:rPr>
              <w:t>, בסעיף 13, אחרי סעיף קטן (א) יבוא:</w:t>
            </w:r>
          </w:p>
        </w:tc>
      </w:tr>
      <w:tr w:rsidR="00A60CB6" w:rsidRPr="001C7118" w:rsidTr="00304E37">
        <w:trPr>
          <w:cantSplit/>
        </w:trPr>
        <w:tc>
          <w:tcPr>
            <w:tcW w:w="1872" w:type="dxa"/>
            <w:shd w:val="clear" w:color="auto" w:fill="auto"/>
          </w:tcPr>
          <w:p w:rsidR="00A60CB6" w:rsidRPr="001C7118" w:rsidRDefault="00A60CB6" w:rsidP="00304E37">
            <w:pPr>
              <w:pStyle w:val="TableSideHeading"/>
              <w:keepLines w:val="0"/>
              <w:ind w:right="-28"/>
              <w:rPr>
                <w:sz w:val="26"/>
                <w:rtl/>
              </w:rPr>
            </w:pPr>
          </w:p>
        </w:tc>
        <w:tc>
          <w:tcPr>
            <w:tcW w:w="624" w:type="dxa"/>
            <w:shd w:val="clear" w:color="auto" w:fill="auto"/>
          </w:tcPr>
          <w:p w:rsidR="00A60CB6" w:rsidRPr="001C7118" w:rsidRDefault="00A60CB6" w:rsidP="00304E37">
            <w:pPr>
              <w:pStyle w:val="TableText"/>
              <w:keepLines w:val="0"/>
              <w:ind w:right="-28"/>
              <w:rPr>
                <w:sz w:val="26"/>
                <w:rtl/>
              </w:rPr>
            </w:pPr>
          </w:p>
        </w:tc>
        <w:tc>
          <w:tcPr>
            <w:tcW w:w="7143" w:type="dxa"/>
            <w:gridSpan w:val="2"/>
            <w:shd w:val="clear" w:color="auto" w:fill="auto"/>
          </w:tcPr>
          <w:p w:rsidR="00A60CB6" w:rsidRPr="001C7118" w:rsidRDefault="00A60CB6" w:rsidP="00304E37">
            <w:pPr>
              <w:pStyle w:val="TableBlock"/>
              <w:rPr>
                <w:sz w:val="26"/>
                <w:rtl/>
              </w:rPr>
            </w:pPr>
            <w:r w:rsidRPr="001C7118">
              <w:rPr>
                <w:sz w:val="26"/>
                <w:rtl/>
              </w:rPr>
              <w:t>"(א1)</w:t>
            </w:r>
            <w:r w:rsidRPr="001C7118">
              <w:rPr>
                <w:sz w:val="26"/>
                <w:rtl/>
              </w:rPr>
              <w:tab/>
              <w:t>על אף האמור בסעיף קטן (א)(2), טרם כריתת הסכם הלוואה כאמור בסעיף קטן (א), יודיע תאגיד בנקאי ללקוח כי באפשרותו לבחור בין שני סוגים של הסכמי הלוואה, ובלי לגרוע מהוראות כל דין ימסור לו הסבר בכתב בדבר תנאי ההסכם והעלויות הכרוכות בבחירתו בכל אחד מהסוגים:</w:t>
            </w:r>
          </w:p>
        </w:tc>
      </w:tr>
      <w:tr w:rsidR="00A60CB6" w:rsidRPr="001C7118" w:rsidTr="00304E37">
        <w:tblPrEx>
          <w:tblLook w:val="0000" w:firstRow="0" w:lastRow="0" w:firstColumn="0" w:lastColumn="0" w:noHBand="0" w:noVBand="0"/>
        </w:tblPrEx>
        <w:trPr>
          <w:cantSplit/>
        </w:trPr>
        <w:tc>
          <w:tcPr>
            <w:tcW w:w="1872" w:type="dxa"/>
            <w:shd w:val="clear" w:color="auto" w:fill="auto"/>
            <w:tcMar>
              <w:top w:w="91" w:type="dxa"/>
              <w:left w:w="0" w:type="dxa"/>
              <w:bottom w:w="91" w:type="dxa"/>
              <w:right w:w="0" w:type="dxa"/>
            </w:tcMar>
          </w:tcPr>
          <w:p w:rsidR="00A60CB6" w:rsidRPr="001C7118" w:rsidRDefault="00A60CB6" w:rsidP="00304E37">
            <w:pPr>
              <w:pStyle w:val="TableSideHeading"/>
              <w:rPr>
                <w:sz w:val="26"/>
                <w:rtl/>
              </w:rPr>
            </w:pPr>
          </w:p>
        </w:tc>
        <w:tc>
          <w:tcPr>
            <w:tcW w:w="624" w:type="dxa"/>
            <w:shd w:val="clear" w:color="auto" w:fill="auto"/>
            <w:tcMar>
              <w:top w:w="91" w:type="dxa"/>
              <w:left w:w="0" w:type="dxa"/>
              <w:bottom w:w="91" w:type="dxa"/>
              <w:right w:w="0" w:type="dxa"/>
            </w:tcMar>
          </w:tcPr>
          <w:p w:rsidR="00A60CB6" w:rsidRPr="001C7118" w:rsidRDefault="00A60CB6" w:rsidP="00304E37">
            <w:pPr>
              <w:pStyle w:val="TableText"/>
              <w:rPr>
                <w:sz w:val="26"/>
                <w:rtl/>
              </w:rPr>
            </w:pPr>
          </w:p>
        </w:tc>
        <w:tc>
          <w:tcPr>
            <w:tcW w:w="624" w:type="dxa"/>
            <w:shd w:val="clear" w:color="auto" w:fill="auto"/>
            <w:tcMar>
              <w:top w:w="91" w:type="dxa"/>
              <w:left w:w="0" w:type="dxa"/>
              <w:bottom w:w="91" w:type="dxa"/>
              <w:right w:w="0" w:type="dxa"/>
            </w:tcMar>
          </w:tcPr>
          <w:p w:rsidR="00A60CB6" w:rsidRPr="001C7118" w:rsidRDefault="00A60CB6" w:rsidP="00304E37">
            <w:pPr>
              <w:pStyle w:val="TableText"/>
              <w:rPr>
                <w:sz w:val="26"/>
                <w:rtl/>
              </w:rPr>
            </w:pPr>
          </w:p>
        </w:tc>
        <w:tc>
          <w:tcPr>
            <w:tcW w:w="6519" w:type="dxa"/>
            <w:shd w:val="clear" w:color="auto" w:fill="auto"/>
            <w:tcMar>
              <w:top w:w="91" w:type="dxa"/>
              <w:left w:w="0" w:type="dxa"/>
              <w:bottom w:w="91" w:type="dxa"/>
              <w:right w:w="0" w:type="dxa"/>
            </w:tcMar>
          </w:tcPr>
          <w:p w:rsidR="00A60CB6" w:rsidRPr="001C7118" w:rsidRDefault="00A60CB6" w:rsidP="007402DA">
            <w:pPr>
              <w:keepLines/>
              <w:tabs>
                <w:tab w:val="left" w:pos="624"/>
                <w:tab w:val="left" w:pos="1247"/>
              </w:tabs>
              <w:snapToGrid w:val="0"/>
              <w:ind w:left="0"/>
              <w:rPr>
                <w:sz w:val="26"/>
                <w:rtl/>
              </w:rPr>
            </w:pPr>
            <w:r w:rsidRPr="001C7118">
              <w:rPr>
                <w:sz w:val="26"/>
                <w:rtl/>
              </w:rPr>
              <w:t>(1)</w:t>
            </w:r>
            <w:r w:rsidRPr="001C7118">
              <w:rPr>
                <w:sz w:val="26"/>
                <w:rtl/>
              </w:rPr>
              <w:tab/>
              <w:t>הסכם הלוואה או חלק מהלוואה הכולל אפשרות לפירעון מוקדם המותנה בתשלום עמלה בשל הפרשי היוון (בסעיף זה – עמלת היוון) שתחושב בהתאם להוראות סעיף קטן (א)(2)</w:t>
            </w:r>
            <w:r>
              <w:rPr>
                <w:rFonts w:hint="cs"/>
                <w:sz w:val="26"/>
                <w:rtl/>
              </w:rPr>
              <w:t xml:space="preserve">, ובלבד שאם </w:t>
            </w:r>
            <w:r w:rsidRPr="009C369B">
              <w:rPr>
                <w:rStyle w:val="default"/>
                <w:rFonts w:cs="FrankRuehl" w:hint="cs"/>
                <w:rtl/>
              </w:rPr>
              <w:t>שיעור הריבית הממוצעת במועד הפירעון המוקדם</w:t>
            </w:r>
            <w:r>
              <w:rPr>
                <w:rFonts w:hint="cs"/>
                <w:sz w:val="26"/>
                <w:rtl/>
              </w:rPr>
              <w:t xml:space="preserve"> </w:t>
            </w:r>
            <w:r w:rsidR="00072741" w:rsidRPr="007402DA">
              <w:rPr>
                <w:rStyle w:val="default"/>
                <w:rFonts w:cs="FrankRuehl" w:hint="eastAsia"/>
                <w:highlight w:val="yellow"/>
                <w:rtl/>
              </w:rPr>
              <w:t>גבוה</w:t>
            </w:r>
            <w:r w:rsidR="00072741">
              <w:rPr>
                <w:rStyle w:val="default"/>
                <w:rFonts w:cs="FrankRuehl" w:hint="cs"/>
                <w:rtl/>
              </w:rPr>
              <w:t xml:space="preserve"> </w:t>
            </w:r>
            <w:r w:rsidRPr="009C369B">
              <w:rPr>
                <w:rStyle w:val="default"/>
                <w:rFonts w:cs="FrankRuehl" w:hint="cs"/>
                <w:rtl/>
              </w:rPr>
              <w:t>משיעור הריבית התקופתית החלה על ההלוואה במועד הפירעון המוקדם</w:t>
            </w:r>
            <w:r w:rsidR="00072741">
              <w:rPr>
                <w:rStyle w:val="default"/>
                <w:rFonts w:cs="FrankRuehl" w:hint="cs"/>
                <w:rtl/>
              </w:rPr>
              <w:t xml:space="preserve">, יזוכה הלקוח בסכום </w:t>
            </w:r>
            <w:r w:rsidR="00072741" w:rsidRPr="009C369B">
              <w:rPr>
                <w:rStyle w:val="default"/>
                <w:rFonts w:cs="FrankRuehl" w:hint="cs"/>
                <w:rtl/>
              </w:rPr>
              <w:t>ההפרש שבין התשלומים העתידיים שהלווה חפץ לפרוע בפירעון מוקדם, כשהם מהוונים לערך הנוכחי ביום הפירעון המוקדם לפי הריבית הממוצעת נכון ליום זה, לבין אותם תשלומים, כשהם מהוונים לערך הנוכחי ביום הפירעון המוקדם לפי הריבית התקופתית החלה על ההלוואה ביום הפירעון המוקדם</w:t>
            </w:r>
            <w:r w:rsidRPr="001C7118">
              <w:rPr>
                <w:sz w:val="26"/>
                <w:rtl/>
              </w:rPr>
              <w:t>;</w:t>
            </w:r>
          </w:p>
        </w:tc>
      </w:tr>
      <w:tr w:rsidR="00A60CB6" w:rsidRPr="001C7118" w:rsidTr="00304E37">
        <w:tblPrEx>
          <w:tblLook w:val="0000" w:firstRow="0" w:lastRow="0" w:firstColumn="0" w:lastColumn="0" w:noHBand="0" w:noVBand="0"/>
        </w:tblPrEx>
        <w:trPr>
          <w:cantSplit/>
        </w:trPr>
        <w:tc>
          <w:tcPr>
            <w:tcW w:w="1872" w:type="dxa"/>
            <w:shd w:val="clear" w:color="auto" w:fill="auto"/>
            <w:tcMar>
              <w:top w:w="91" w:type="dxa"/>
              <w:left w:w="0" w:type="dxa"/>
              <w:bottom w:w="91" w:type="dxa"/>
              <w:right w:w="0" w:type="dxa"/>
            </w:tcMar>
          </w:tcPr>
          <w:p w:rsidR="00A60CB6" w:rsidRPr="001C7118" w:rsidRDefault="00A60CB6" w:rsidP="00304E37">
            <w:pPr>
              <w:pStyle w:val="TableSideHeading"/>
              <w:rPr>
                <w:sz w:val="26"/>
                <w:rtl/>
              </w:rPr>
            </w:pPr>
          </w:p>
        </w:tc>
        <w:tc>
          <w:tcPr>
            <w:tcW w:w="624" w:type="dxa"/>
            <w:shd w:val="clear" w:color="auto" w:fill="auto"/>
            <w:tcMar>
              <w:top w:w="91" w:type="dxa"/>
              <w:left w:w="0" w:type="dxa"/>
              <w:bottom w:w="91" w:type="dxa"/>
              <w:right w:w="0" w:type="dxa"/>
            </w:tcMar>
          </w:tcPr>
          <w:p w:rsidR="00A60CB6" w:rsidRPr="001C7118" w:rsidRDefault="00A60CB6" w:rsidP="00304E37">
            <w:pPr>
              <w:pStyle w:val="TableText"/>
              <w:rPr>
                <w:sz w:val="26"/>
                <w:rtl/>
              </w:rPr>
            </w:pPr>
          </w:p>
        </w:tc>
        <w:tc>
          <w:tcPr>
            <w:tcW w:w="624" w:type="dxa"/>
            <w:shd w:val="clear" w:color="auto" w:fill="auto"/>
            <w:tcMar>
              <w:top w:w="91" w:type="dxa"/>
              <w:left w:w="0" w:type="dxa"/>
              <w:bottom w:w="91" w:type="dxa"/>
              <w:right w:w="0" w:type="dxa"/>
            </w:tcMar>
          </w:tcPr>
          <w:p w:rsidR="00A60CB6" w:rsidRPr="001C7118" w:rsidRDefault="00A60CB6" w:rsidP="00304E37">
            <w:pPr>
              <w:pStyle w:val="TableText"/>
              <w:rPr>
                <w:sz w:val="26"/>
                <w:rtl/>
              </w:rPr>
            </w:pPr>
          </w:p>
        </w:tc>
        <w:tc>
          <w:tcPr>
            <w:tcW w:w="6519" w:type="dxa"/>
            <w:shd w:val="clear" w:color="auto" w:fill="auto"/>
            <w:tcMar>
              <w:top w:w="91" w:type="dxa"/>
              <w:left w:w="0" w:type="dxa"/>
              <w:bottom w:w="91" w:type="dxa"/>
              <w:right w:w="0" w:type="dxa"/>
            </w:tcMar>
          </w:tcPr>
          <w:p w:rsidR="00A60CB6" w:rsidRPr="001C7118" w:rsidRDefault="00A60CB6" w:rsidP="00304E37">
            <w:pPr>
              <w:pStyle w:val="TableBlock"/>
              <w:rPr>
                <w:sz w:val="26"/>
                <w:rtl/>
              </w:rPr>
            </w:pPr>
            <w:r w:rsidRPr="001C7118">
              <w:rPr>
                <w:sz w:val="26"/>
                <w:rtl/>
              </w:rPr>
              <w:t>(2)</w:t>
            </w:r>
            <w:r w:rsidRPr="001C7118">
              <w:rPr>
                <w:sz w:val="26"/>
                <w:rtl/>
              </w:rPr>
              <w:tab/>
              <w:t>הסכם הלוואה או חלק מהלוואה הכולל אפשרות לפירעון מוקדם ללא תשלום עמלת היוון."</w:t>
            </w:r>
          </w:p>
        </w:tc>
      </w:tr>
    </w:tbl>
    <w:p w:rsidR="00A60CB6" w:rsidRDefault="00A60CB6" w:rsidP="00A60CB6">
      <w:pPr>
        <w:ind w:right="-28"/>
        <w:jc w:val="center"/>
        <w:rPr>
          <w:sz w:val="26"/>
          <w:szCs w:val="26"/>
          <w:rtl/>
        </w:rPr>
      </w:pPr>
      <w:r>
        <w:rPr>
          <w:rFonts w:hint="cs"/>
          <w:sz w:val="26"/>
          <w:szCs w:val="26"/>
          <w:rtl/>
        </w:rPr>
        <w:t>***************************************************************************************</w:t>
      </w:r>
    </w:p>
    <w:p w:rsidR="00A60CB6" w:rsidRDefault="009B1BAF" w:rsidP="00A60CB6">
      <w:pPr>
        <w:ind w:right="-28"/>
        <w:jc w:val="center"/>
        <w:rPr>
          <w:b/>
          <w:bCs/>
          <w:sz w:val="28"/>
          <w:szCs w:val="28"/>
          <w:rtl/>
        </w:rPr>
      </w:pPr>
      <w:r>
        <w:rPr>
          <w:rFonts w:hint="cs"/>
          <w:b/>
          <w:bCs/>
          <w:sz w:val="28"/>
          <w:szCs w:val="28"/>
          <w:rtl/>
        </w:rPr>
        <w:t>דברי הסבר:</w:t>
      </w:r>
    </w:p>
    <w:p w:rsidR="009B1BAF" w:rsidRPr="009B1BAF" w:rsidRDefault="009B1BAF" w:rsidP="009B1BAF">
      <w:pPr>
        <w:ind w:right="-28"/>
        <w:rPr>
          <w:rtl/>
        </w:rPr>
      </w:pPr>
      <w:r w:rsidRPr="009B1BAF">
        <w:rPr>
          <w:rFonts w:hint="cs"/>
          <w:rtl/>
        </w:rPr>
        <w:t>לאחר</w:t>
      </w:r>
      <w:r w:rsidRPr="009B1BAF">
        <w:rPr>
          <w:rtl/>
        </w:rPr>
        <w:t xml:space="preserve"> שבדיונים ב</w:t>
      </w:r>
      <w:r w:rsidRPr="009B1BAF">
        <w:rPr>
          <w:rFonts w:hint="cs"/>
          <w:rtl/>
        </w:rPr>
        <w:t>ו</w:t>
      </w:r>
      <w:r w:rsidRPr="009B1BAF">
        <w:rPr>
          <w:rtl/>
        </w:rPr>
        <w:t>ועדה לא הצליח היוזם להגיע להסכמות על מבנה עמלת הפירעון מוקדם עם בנק ישראל</w:t>
      </w:r>
      <w:r w:rsidRPr="009B1BAF">
        <w:rPr>
          <w:rFonts w:hint="cs"/>
          <w:rtl/>
        </w:rPr>
        <w:t>,</w:t>
      </w:r>
      <w:r w:rsidRPr="009B1BAF">
        <w:rPr>
          <w:rtl/>
        </w:rPr>
        <w:t xml:space="preserve"> מוצע התיקון הנ</w:t>
      </w:r>
      <w:r w:rsidRPr="009B1BAF">
        <w:rPr>
          <w:rFonts w:hint="cs"/>
          <w:rtl/>
        </w:rPr>
        <w:t>"</w:t>
      </w:r>
      <w:r w:rsidRPr="009B1BAF">
        <w:rPr>
          <w:rtl/>
        </w:rPr>
        <w:t>ל</w:t>
      </w:r>
      <w:r>
        <w:rPr>
          <w:rFonts w:hint="cs"/>
          <w:rtl/>
        </w:rPr>
        <w:t>.</w:t>
      </w:r>
    </w:p>
    <w:p w:rsidR="009B1BAF" w:rsidRPr="009B1BAF" w:rsidRDefault="009B1BAF" w:rsidP="009B1BAF">
      <w:pPr>
        <w:ind w:right="-28"/>
        <w:rPr>
          <w:rtl/>
        </w:rPr>
      </w:pPr>
      <w:r w:rsidRPr="009B1BAF">
        <w:rPr>
          <w:rtl/>
        </w:rPr>
        <w:t>מטרת התיקון לייצר איזון כך שבמקרים בהם יחזיר החייב את המשכנתא והריבית תהיה גבוהה מהריבית של ההלוואה</w:t>
      </w:r>
      <w:r w:rsidRPr="009B1BAF">
        <w:rPr>
          <w:rFonts w:hint="cs"/>
          <w:rtl/>
        </w:rPr>
        <w:t>,</w:t>
      </w:r>
      <w:r w:rsidRPr="009B1BAF">
        <w:rPr>
          <w:rtl/>
        </w:rPr>
        <w:t xml:space="preserve"> </w:t>
      </w:r>
      <w:proofErr w:type="spellStart"/>
      <w:r w:rsidRPr="009B1BAF">
        <w:rPr>
          <w:rtl/>
        </w:rPr>
        <w:t>יהנה</w:t>
      </w:r>
      <w:proofErr w:type="spellEnd"/>
      <w:r w:rsidRPr="009B1BAF">
        <w:rPr>
          <w:rtl/>
        </w:rPr>
        <w:t xml:space="preserve"> החייב מזיכוי הזהה לתשלום עמלה לו היו התנאים הפוכים. כלומר, לא מדובר בעמלה בלבד אלא בהתחשבנות שמצד אחד כאשר יש נזק כלכלי לבנק עקב הפירעון</w:t>
      </w:r>
      <w:r w:rsidRPr="009B1BAF">
        <w:rPr>
          <w:rFonts w:hint="cs"/>
          <w:rtl/>
        </w:rPr>
        <w:t>,</w:t>
      </w:r>
      <w:r w:rsidRPr="009B1BAF">
        <w:rPr>
          <w:rtl/>
        </w:rPr>
        <w:t xml:space="preserve"> הבנק יפוצה בתשלום פ</w:t>
      </w:r>
      <w:r w:rsidRPr="009B1BAF">
        <w:rPr>
          <w:rFonts w:hint="cs"/>
          <w:rtl/>
        </w:rPr>
        <w:t>י</w:t>
      </w:r>
      <w:r w:rsidRPr="009B1BAF">
        <w:rPr>
          <w:rtl/>
        </w:rPr>
        <w:t>רעון מוקדם ומצד שני במקרים בהם החזר ההלוואה מייצר רווח כלכלי לבנק הוא יפצה את הלקוח באותו חישוב של תשלום פ</w:t>
      </w:r>
      <w:r w:rsidRPr="009B1BAF">
        <w:rPr>
          <w:rFonts w:hint="cs"/>
          <w:rtl/>
        </w:rPr>
        <w:t>י</w:t>
      </w:r>
      <w:r w:rsidRPr="009B1BAF">
        <w:rPr>
          <w:rtl/>
        </w:rPr>
        <w:t>רעון מוקדם.</w:t>
      </w:r>
    </w:p>
    <w:p w:rsidR="009B1BAF" w:rsidRPr="009B1BAF" w:rsidRDefault="009B1BAF" w:rsidP="009B1BAF">
      <w:pPr>
        <w:ind w:right="-28"/>
        <w:rPr>
          <w:rtl/>
        </w:rPr>
      </w:pPr>
      <w:r w:rsidRPr="009B1BAF">
        <w:rPr>
          <w:rFonts w:hint="cs"/>
          <w:rtl/>
        </w:rPr>
        <w:t>היוזם</w:t>
      </w:r>
      <w:r w:rsidRPr="009B1BAF">
        <w:rPr>
          <w:rtl/>
        </w:rPr>
        <w:t xml:space="preserve"> מאמין שבעקבות התיקון המוצע יבצע בנק ישראל תיקון לחישוב תשלום פירעון מוקדם כך שישקף </w:t>
      </w:r>
      <w:r w:rsidRPr="009B1BAF">
        <w:rPr>
          <w:rFonts w:hint="cs"/>
          <w:rtl/>
        </w:rPr>
        <w:t xml:space="preserve">באופן </w:t>
      </w:r>
      <w:proofErr w:type="spellStart"/>
      <w:r w:rsidRPr="009B1BAF">
        <w:rPr>
          <w:rFonts w:hint="cs"/>
          <w:rtl/>
        </w:rPr>
        <w:t>אמיתי</w:t>
      </w:r>
      <w:proofErr w:type="spellEnd"/>
      <w:r w:rsidRPr="009B1BAF">
        <w:rPr>
          <w:rtl/>
        </w:rPr>
        <w:t xml:space="preserve"> את העלות הכלכלית במקרה של פירעון מוקדם.</w:t>
      </w:r>
    </w:p>
    <w:sectPr w:rsidR="009B1BAF" w:rsidRPr="009B1BAF" w:rsidSect="001C7118">
      <w:headerReference w:type="even" r:id="rId7"/>
      <w:headerReference w:type="default" r:id="rId8"/>
      <w:headerReference w:type="first" r:id="rId9"/>
      <w:pgSz w:w="11906" w:h="16838"/>
      <w:pgMar w:top="1701" w:right="1134" w:bottom="1417" w:left="1134" w:header="709" w:footer="709" w:gutter="0"/>
      <w:pgNumType w:fmt="numberInDash"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2A2" w:rsidRDefault="002A52A2" w:rsidP="00A60CB6">
      <w:pPr>
        <w:spacing w:line="240" w:lineRule="auto"/>
      </w:pPr>
      <w:r>
        <w:separator/>
      </w:r>
    </w:p>
  </w:endnote>
  <w:endnote w:type="continuationSeparator" w:id="0">
    <w:p w:rsidR="002A52A2" w:rsidRDefault="002A52A2" w:rsidP="00A60C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Ruehl">
    <w:altName w:val="Times New Roman"/>
    <w:panose1 w:val="020E0503060101010101"/>
    <w:charset w:val="00"/>
    <w:family w:val="swiss"/>
    <w:pitch w:val="variable"/>
    <w:sig w:usb0="00000803" w:usb1="00000000" w:usb2="00000000" w:usb3="00000000" w:csb0="00000021" w:csb1="00000000"/>
  </w:font>
  <w:font w:name="Tahoma">
    <w:panose1 w:val="020B0604030504040204"/>
    <w:charset w:val="B1"/>
    <w:family w:val="swiss"/>
    <w:notTrueType/>
    <w:pitch w:val="variable"/>
    <w:sig w:usb0="00000801" w:usb1="00000000" w:usb2="00000000" w:usb3="00000000" w:csb0="0000002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2A2" w:rsidRDefault="002A52A2" w:rsidP="00A60CB6">
      <w:pPr>
        <w:spacing w:line="240" w:lineRule="auto"/>
      </w:pPr>
      <w:r>
        <w:separator/>
      </w:r>
    </w:p>
  </w:footnote>
  <w:footnote w:type="continuationSeparator" w:id="0">
    <w:p w:rsidR="002A52A2" w:rsidRDefault="002A52A2" w:rsidP="00A60CB6">
      <w:pPr>
        <w:spacing w:line="240" w:lineRule="auto"/>
      </w:pPr>
      <w:r>
        <w:continuationSeparator/>
      </w:r>
    </w:p>
  </w:footnote>
  <w:footnote w:id="1">
    <w:p w:rsidR="00A60CB6" w:rsidRDefault="00A60CB6" w:rsidP="00A60CB6">
      <w:pPr>
        <w:pStyle w:val="a6"/>
        <w:rPr>
          <w:rtl/>
        </w:rPr>
      </w:pPr>
      <w:r>
        <w:rPr>
          <w:rStyle w:val="a8"/>
        </w:rPr>
        <w:footnoteRef/>
      </w:r>
      <w:r>
        <w:rPr>
          <w:rtl/>
        </w:rPr>
        <w:t xml:space="preserve"> </w:t>
      </w:r>
      <w:proofErr w:type="spellStart"/>
      <w:r>
        <w:rPr>
          <w:rFonts w:hint="eastAsia"/>
          <w:rtl/>
        </w:rPr>
        <w:t>ע</w:t>
      </w:r>
      <w:r>
        <w:rPr>
          <w:rtl/>
        </w:rPr>
        <w:t>"ר</w:t>
      </w:r>
      <w:proofErr w:type="spellEnd"/>
      <w:r>
        <w:rPr>
          <w:rtl/>
        </w:rPr>
        <w:t xml:space="preserve"> 1941, </w:t>
      </w:r>
      <w:proofErr w:type="spellStart"/>
      <w:r>
        <w:rPr>
          <w:rtl/>
        </w:rPr>
        <w:t>תוס</w:t>
      </w:r>
      <w:proofErr w:type="spellEnd"/>
      <w:r>
        <w:rPr>
          <w:rtl/>
        </w:rPr>
        <w:t xml:space="preserve">' 1, עמ' (ע) 69, (א) 85; ס"ח </w:t>
      </w:r>
      <w:proofErr w:type="spellStart"/>
      <w:r>
        <w:rPr>
          <w:rtl/>
        </w:rPr>
        <w:t>התשע"ח</w:t>
      </w:r>
      <w:proofErr w:type="spellEnd"/>
      <w:r>
        <w:rPr>
          <w:rtl/>
        </w:rPr>
        <w:t>, עמ' 408.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A90" w:rsidRDefault="00B4019F" w:rsidP="00AE54D2">
    <w:pPr>
      <w:pStyle w:val="a3"/>
      <w:framePr w:wrap="around" w:vAnchor="text" w:hAnchor="text" w:xAlign="center" w:y="1"/>
      <w:rPr>
        <w:rStyle w:val="a5"/>
        <w:rtl/>
      </w:rPr>
    </w:pPr>
    <w:r>
      <w:rPr>
        <w:rStyle w:val="a5"/>
        <w:rtl/>
      </w:rPr>
      <w:fldChar w:fldCharType="begin"/>
    </w:r>
    <w:r>
      <w:rPr>
        <w:rStyle w:val="a5"/>
      </w:rPr>
      <w:instrText xml:space="preserve">PAGE  </w:instrText>
    </w:r>
    <w:r>
      <w:rPr>
        <w:rStyle w:val="a5"/>
        <w:rtl/>
      </w:rPr>
      <w:fldChar w:fldCharType="end"/>
    </w:r>
  </w:p>
  <w:p w:rsidR="00F12A90" w:rsidRDefault="002A52A2">
    <w:pPr>
      <w:pStyle w:val="a3"/>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A90" w:rsidRPr="00AE54D2" w:rsidRDefault="00B4019F" w:rsidP="00AE54D2">
    <w:pPr>
      <w:pStyle w:val="a3"/>
      <w:framePr w:wrap="around" w:vAnchor="text" w:hAnchor="text" w:xAlign="center" w:y="1"/>
      <w:rPr>
        <w:rStyle w:val="a5"/>
      </w:rPr>
    </w:pPr>
    <w:r w:rsidRPr="00AE54D2">
      <w:rPr>
        <w:rStyle w:val="a5"/>
        <w:rtl/>
      </w:rPr>
      <w:fldChar w:fldCharType="begin"/>
    </w:r>
    <w:r w:rsidRPr="00AE54D2">
      <w:rPr>
        <w:rStyle w:val="a5"/>
      </w:rPr>
      <w:instrText xml:space="preserve">PAGE  </w:instrText>
    </w:r>
    <w:r w:rsidRPr="00AE54D2">
      <w:rPr>
        <w:rStyle w:val="a5"/>
        <w:rtl/>
      </w:rPr>
      <w:fldChar w:fldCharType="separate"/>
    </w:r>
    <w:r w:rsidR="00C329A1">
      <w:rPr>
        <w:rStyle w:val="a5"/>
        <w:noProof/>
        <w:rtl/>
      </w:rPr>
      <w:t>- 1 -</w:t>
    </w:r>
    <w:r w:rsidRPr="00AE54D2">
      <w:rPr>
        <w:rStyle w:val="a5"/>
        <w:rtl/>
      </w:rPr>
      <w:fldChar w:fldCharType="end"/>
    </w:r>
  </w:p>
  <w:p w:rsidR="00F12A90" w:rsidRPr="00AE54D2" w:rsidRDefault="002A52A2" w:rsidP="00AE54D2">
    <w:pPr>
      <w:pStyle w:val="a3"/>
      <w:spacing w:line="240" w:lineRule="auto"/>
      <w:rPr>
        <w:rt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A90" w:rsidRPr="00AE54D2" w:rsidRDefault="00B4019F" w:rsidP="00AE54D2">
    <w:pPr>
      <w:pStyle w:val="a3"/>
      <w:framePr w:wrap="around" w:vAnchor="text" w:hAnchor="text" w:xAlign="center" w:y="1"/>
      <w:spacing w:line="240" w:lineRule="auto"/>
      <w:rPr>
        <w:rStyle w:val="a5"/>
      </w:rPr>
    </w:pPr>
    <w:r w:rsidRPr="00AE54D2">
      <w:rPr>
        <w:rStyle w:val="a5"/>
        <w:rtl/>
      </w:rPr>
      <w:fldChar w:fldCharType="begin"/>
    </w:r>
    <w:r w:rsidRPr="00AE54D2">
      <w:rPr>
        <w:rStyle w:val="a5"/>
      </w:rPr>
      <w:instrText xml:space="preserve">PAGE  </w:instrText>
    </w:r>
    <w:r w:rsidRPr="00AE54D2">
      <w:rPr>
        <w:rStyle w:val="a5"/>
        <w:rtl/>
      </w:rPr>
      <w:fldChar w:fldCharType="separate"/>
    </w:r>
    <w:r>
      <w:rPr>
        <w:rStyle w:val="a5"/>
        <w:noProof/>
        <w:rtl/>
      </w:rPr>
      <w:t>- 1 -</w:t>
    </w:r>
    <w:r w:rsidRPr="00AE54D2">
      <w:rPr>
        <w:rStyle w:val="a5"/>
        <w:rtl/>
      </w:rPr>
      <w:fldChar w:fldCharType="end"/>
    </w:r>
  </w:p>
  <w:p w:rsidR="00F12A90" w:rsidRDefault="002A52A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195851"/>
    <w:multiLevelType w:val="hybridMultilevel"/>
    <w:tmpl w:val="4992EC42"/>
    <w:lvl w:ilvl="0" w:tplc="3990D33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5AE5C1B"/>
    <w:multiLevelType w:val="hybridMultilevel"/>
    <w:tmpl w:val="758AA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CB6"/>
    <w:rsid w:val="000539A0"/>
    <w:rsid w:val="0006685D"/>
    <w:rsid w:val="00072338"/>
    <w:rsid w:val="00072741"/>
    <w:rsid w:val="001B5081"/>
    <w:rsid w:val="002A52A2"/>
    <w:rsid w:val="002F27E9"/>
    <w:rsid w:val="003C0C9E"/>
    <w:rsid w:val="00436D6C"/>
    <w:rsid w:val="005931E2"/>
    <w:rsid w:val="0064678D"/>
    <w:rsid w:val="006469D8"/>
    <w:rsid w:val="007402DA"/>
    <w:rsid w:val="009B1BAF"/>
    <w:rsid w:val="00A60CB6"/>
    <w:rsid w:val="00B4019F"/>
    <w:rsid w:val="00B95989"/>
    <w:rsid w:val="00C329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1C2B89-4961-4E85-837C-C132FBD8E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CB6"/>
    <w:pPr>
      <w:widowControl w:val="0"/>
      <w:bidi/>
      <w:spacing w:after="0" w:line="360" w:lineRule="auto"/>
      <w:ind w:left="340"/>
      <w:contextualSpacing/>
      <w:jc w:val="both"/>
    </w:pPr>
    <w:rPr>
      <w:rFonts w:ascii="David" w:hAnsi="David" w:cs="David"/>
      <w:sz w:val="24"/>
      <w:szCs w:val="24"/>
    </w:rPr>
  </w:style>
  <w:style w:type="paragraph" w:styleId="1">
    <w:name w:val="heading 1"/>
    <w:basedOn w:val="a"/>
    <w:next w:val="a"/>
    <w:link w:val="10"/>
    <w:uiPriority w:val="9"/>
    <w:qFormat/>
    <w:rsid w:val="00A60CB6"/>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A60CB6"/>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A60CB6"/>
    <w:pPr>
      <w:spacing w:before="40"/>
      <w:ind w:left="0"/>
      <w:jc w:val="left"/>
      <w:outlineLvl w:val="2"/>
    </w:pPr>
    <w:rPr>
      <w:rFonts w:asciiTheme="majorHAnsi" w:eastAsiaTheme="majorEastAsia" w:hAnsiTheme="majorHAnsi"/>
      <w:szCs w:val="28"/>
      <w:u w:val="doub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A60CB6"/>
    <w:rPr>
      <w:rFonts w:asciiTheme="majorHAnsi" w:eastAsiaTheme="majorEastAsia" w:hAnsiTheme="majorHAnsi" w:cs="David"/>
      <w:bCs/>
      <w:sz w:val="32"/>
      <w:szCs w:val="36"/>
    </w:rPr>
  </w:style>
  <w:style w:type="character" w:customStyle="1" w:styleId="20">
    <w:name w:val="כותרת 2 תו"/>
    <w:basedOn w:val="a0"/>
    <w:link w:val="2"/>
    <w:rsid w:val="00A60CB6"/>
    <w:rPr>
      <w:rFonts w:asciiTheme="majorHAnsi" w:eastAsiaTheme="majorEastAsia" w:hAnsiTheme="majorHAnsi" w:cs="David"/>
      <w:bCs/>
      <w:sz w:val="26"/>
      <w:szCs w:val="36"/>
      <w:u w:val="single"/>
    </w:rPr>
  </w:style>
  <w:style w:type="character" w:customStyle="1" w:styleId="30">
    <w:name w:val="כותרת 3 תו"/>
    <w:basedOn w:val="a0"/>
    <w:link w:val="3"/>
    <w:rsid w:val="00A60CB6"/>
    <w:rPr>
      <w:rFonts w:asciiTheme="majorHAnsi" w:eastAsiaTheme="majorEastAsia" w:hAnsiTheme="majorHAnsi" w:cs="David"/>
      <w:sz w:val="24"/>
      <w:szCs w:val="28"/>
      <w:u w:val="double"/>
    </w:rPr>
  </w:style>
  <w:style w:type="paragraph" w:customStyle="1" w:styleId="HeadHatzaotHok">
    <w:name w:val="Head HatzaotHok"/>
    <w:basedOn w:val="a"/>
    <w:rsid w:val="00A60CB6"/>
    <w:pPr>
      <w:keepNext/>
      <w:keepLines/>
      <w:snapToGrid w:val="0"/>
      <w:spacing w:before="240"/>
      <w:jc w:val="center"/>
      <w:outlineLvl w:val="0"/>
    </w:pPr>
    <w:rPr>
      <w:rFonts w:ascii="Arial" w:eastAsia="Arial Unicode MS" w:hAnsi="Arial"/>
      <w:b/>
      <w:bCs/>
      <w:snapToGrid w:val="0"/>
      <w:sz w:val="20"/>
      <w:szCs w:val="26"/>
    </w:rPr>
  </w:style>
  <w:style w:type="paragraph" w:customStyle="1" w:styleId="HeadMitparsemetBaze">
    <w:name w:val="Head MitparsemetBaze"/>
    <w:basedOn w:val="a"/>
    <w:rsid w:val="00A60CB6"/>
    <w:pPr>
      <w:keepNext/>
      <w:keepLines/>
      <w:pageBreakBefore/>
      <w:snapToGrid w:val="0"/>
      <w:spacing w:before="480"/>
    </w:pPr>
    <w:rPr>
      <w:rFonts w:ascii="Arial" w:eastAsia="Arial Unicode MS" w:hAnsi="Arial"/>
      <w:b/>
      <w:bCs/>
      <w:snapToGrid w:val="0"/>
      <w:sz w:val="20"/>
      <w:szCs w:val="26"/>
    </w:rPr>
  </w:style>
  <w:style w:type="paragraph" w:styleId="a3">
    <w:name w:val="header"/>
    <w:basedOn w:val="a"/>
    <w:link w:val="a4"/>
    <w:rsid w:val="00A60CB6"/>
    <w:pPr>
      <w:tabs>
        <w:tab w:val="center" w:pos="4153"/>
        <w:tab w:val="right" w:pos="8306"/>
      </w:tabs>
    </w:pPr>
  </w:style>
  <w:style w:type="character" w:customStyle="1" w:styleId="a4">
    <w:name w:val="כותרת עליונה תו"/>
    <w:basedOn w:val="a0"/>
    <w:link w:val="a3"/>
    <w:rsid w:val="00A60CB6"/>
    <w:rPr>
      <w:rFonts w:ascii="David" w:hAnsi="David" w:cs="David"/>
      <w:sz w:val="24"/>
      <w:szCs w:val="24"/>
    </w:rPr>
  </w:style>
  <w:style w:type="character" w:styleId="a5">
    <w:name w:val="page number"/>
    <w:basedOn w:val="a0"/>
    <w:rsid w:val="00A60CB6"/>
  </w:style>
  <w:style w:type="paragraph" w:customStyle="1" w:styleId="TableText">
    <w:name w:val="Table Text"/>
    <w:basedOn w:val="a"/>
    <w:rsid w:val="00A60CB6"/>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Block">
    <w:name w:val="Table Block"/>
    <w:basedOn w:val="TableText"/>
    <w:rsid w:val="00A60CB6"/>
    <w:pPr>
      <w:jc w:val="both"/>
    </w:pPr>
  </w:style>
  <w:style w:type="paragraph" w:customStyle="1" w:styleId="TableSideHeading">
    <w:name w:val="Table SideHeading"/>
    <w:basedOn w:val="TableText"/>
    <w:rsid w:val="00A60CB6"/>
    <w:pPr>
      <w:outlineLvl w:val="2"/>
    </w:pPr>
  </w:style>
  <w:style w:type="paragraph" w:customStyle="1" w:styleId="Noparagraphstyle">
    <w:name w:val="[No paragraph style]"/>
    <w:rsid w:val="00A60CB6"/>
    <w:pPr>
      <w:widowControl w:val="0"/>
      <w:autoSpaceDE w:val="0"/>
      <w:autoSpaceDN w:val="0"/>
      <w:bidi/>
      <w:adjustRightInd w:val="0"/>
      <w:snapToGrid w:val="0"/>
      <w:spacing w:after="0" w:line="360" w:lineRule="auto"/>
      <w:textAlignment w:val="center"/>
    </w:pPr>
    <w:rPr>
      <w:rFonts w:ascii="Arial" w:eastAsia="Arial Unicode MS" w:hAnsi="Arial" w:cs="David"/>
      <w:snapToGrid w:val="0"/>
      <w:color w:val="000000"/>
      <w:sz w:val="20"/>
      <w:szCs w:val="26"/>
      <w:lang w:eastAsia="ja-JP"/>
    </w:rPr>
  </w:style>
  <w:style w:type="character" w:styleId="Hyperlink">
    <w:name w:val="Hyperlink"/>
    <w:basedOn w:val="a0"/>
    <w:uiPriority w:val="99"/>
    <w:unhideWhenUsed/>
    <w:rsid w:val="00A60CB6"/>
    <w:rPr>
      <w:color w:val="0563C1" w:themeColor="hyperlink"/>
      <w:u w:val="single"/>
    </w:rPr>
  </w:style>
  <w:style w:type="paragraph" w:styleId="a6">
    <w:name w:val="footnote text"/>
    <w:basedOn w:val="a"/>
    <w:link w:val="a7"/>
    <w:autoRedefine/>
    <w:semiHidden/>
    <w:rsid w:val="00A60CB6"/>
    <w:pPr>
      <w:snapToGrid w:val="0"/>
      <w:spacing w:line="240" w:lineRule="auto"/>
      <w:ind w:left="0"/>
      <w:jc w:val="left"/>
    </w:pPr>
    <w:rPr>
      <w:rFonts w:ascii="Arial" w:eastAsia="Arial Unicode MS" w:hAnsi="Arial"/>
      <w:snapToGrid w:val="0"/>
      <w:sz w:val="14"/>
      <w:szCs w:val="20"/>
    </w:rPr>
  </w:style>
  <w:style w:type="character" w:customStyle="1" w:styleId="a7">
    <w:name w:val="טקסט הערת שוליים תו"/>
    <w:basedOn w:val="a0"/>
    <w:link w:val="a6"/>
    <w:semiHidden/>
    <w:rsid w:val="00A60CB6"/>
    <w:rPr>
      <w:rFonts w:ascii="Arial" w:eastAsia="Arial Unicode MS" w:hAnsi="Arial" w:cs="David"/>
      <w:snapToGrid w:val="0"/>
      <w:sz w:val="14"/>
      <w:szCs w:val="20"/>
    </w:rPr>
  </w:style>
  <w:style w:type="character" w:styleId="a8">
    <w:name w:val="footnote reference"/>
    <w:aliases w:val="Footnote Reference"/>
    <w:basedOn w:val="a0"/>
    <w:semiHidden/>
    <w:rsid w:val="00A60CB6"/>
    <w:rPr>
      <w:vertAlign w:val="superscript"/>
    </w:rPr>
  </w:style>
  <w:style w:type="character" w:customStyle="1" w:styleId="default">
    <w:name w:val="default"/>
    <w:basedOn w:val="a0"/>
    <w:rsid w:val="00A60CB6"/>
    <w:rPr>
      <w:rFonts w:ascii="Times New Roman" w:hAnsi="Times New Roman" w:cs="Times New Roman"/>
      <w:sz w:val="20"/>
      <w:szCs w:val="26"/>
    </w:rPr>
  </w:style>
  <w:style w:type="paragraph" w:customStyle="1" w:styleId="P22">
    <w:name w:val="P22"/>
    <w:basedOn w:val="a"/>
    <w:rsid w:val="0006685D"/>
    <w:pPr>
      <w:tabs>
        <w:tab w:val="left" w:pos="1474"/>
        <w:tab w:val="left" w:pos="1928"/>
        <w:tab w:val="left" w:pos="2381"/>
        <w:tab w:val="left" w:pos="2835"/>
        <w:tab w:val="right" w:leader="dot" w:pos="6259"/>
      </w:tabs>
      <w:suppressAutoHyphens/>
      <w:autoSpaceDE w:val="0"/>
      <w:autoSpaceDN w:val="0"/>
      <w:spacing w:before="60" w:line="240" w:lineRule="auto"/>
      <w:ind w:left="2835" w:right="1021"/>
      <w:contextualSpacing w:val="0"/>
    </w:pPr>
    <w:rPr>
      <w:rFonts w:ascii="Times New Roman" w:eastAsia="Times New Roman" w:hAnsi="Times New Roman" w:cs="FrankRuehl"/>
      <w:noProof/>
      <w:sz w:val="20"/>
      <w:szCs w:val="26"/>
      <w:lang w:eastAsia="he-IL"/>
    </w:rPr>
  </w:style>
  <w:style w:type="paragraph" w:styleId="a9">
    <w:name w:val="Balloon Text"/>
    <w:basedOn w:val="a"/>
    <w:link w:val="aa"/>
    <w:uiPriority w:val="99"/>
    <w:semiHidden/>
    <w:unhideWhenUsed/>
    <w:rsid w:val="001B5081"/>
    <w:pPr>
      <w:spacing w:line="240" w:lineRule="auto"/>
    </w:pPr>
    <w:rPr>
      <w:rFonts w:ascii="Tahoma" w:hAnsi="Tahoma" w:cs="Tahoma"/>
      <w:sz w:val="18"/>
      <w:szCs w:val="18"/>
    </w:rPr>
  </w:style>
  <w:style w:type="character" w:customStyle="1" w:styleId="aa">
    <w:name w:val="טקסט בלונים תו"/>
    <w:basedOn w:val="a0"/>
    <w:link w:val="a9"/>
    <w:uiPriority w:val="99"/>
    <w:semiHidden/>
    <w:rsid w:val="001B5081"/>
    <w:rPr>
      <w:rFonts w:ascii="Tahoma" w:hAnsi="Tahoma" w:cs="Tahoma"/>
      <w:sz w:val="18"/>
      <w:szCs w:val="18"/>
    </w:rPr>
  </w:style>
  <w:style w:type="paragraph" w:styleId="ab">
    <w:name w:val="footer"/>
    <w:basedOn w:val="a"/>
    <w:link w:val="ac"/>
    <w:uiPriority w:val="99"/>
    <w:unhideWhenUsed/>
    <w:rsid w:val="009B1BAF"/>
    <w:pPr>
      <w:tabs>
        <w:tab w:val="center" w:pos="4153"/>
        <w:tab w:val="right" w:pos="8306"/>
      </w:tabs>
      <w:spacing w:line="240" w:lineRule="auto"/>
    </w:pPr>
  </w:style>
  <w:style w:type="character" w:customStyle="1" w:styleId="ac">
    <w:name w:val="כותרת תחתונה תו"/>
    <w:basedOn w:val="a0"/>
    <w:link w:val="ab"/>
    <w:uiPriority w:val="99"/>
    <w:rsid w:val="009B1BAF"/>
    <w:rPr>
      <w:rFonts w:ascii="David" w:hAnsi="David"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5D11A7-2D5D-4C87-AFEA-7E499FB91D58}"/>
</file>

<file path=customXml/itemProps2.xml><?xml version="1.0" encoding="utf-8"?>
<ds:datastoreItem xmlns:ds="http://schemas.openxmlformats.org/officeDocument/2006/customXml" ds:itemID="{2E2EDE93-BF32-4396-869C-03ACBB652D0B}"/>
</file>

<file path=customXml/itemProps3.xml><?xml version="1.0" encoding="utf-8"?>
<ds:datastoreItem xmlns:ds="http://schemas.openxmlformats.org/officeDocument/2006/customXml" ds:itemID="{B5DE8366-7CCB-49E3-A8A4-344105F10759}"/>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1568</Characters>
  <Application>Microsoft Office Word</Application>
  <DocSecurity>0</DocSecurity>
  <Lines>13</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אתי בנדלר</dc:creator>
  <cp:keywords/>
  <dc:description/>
  <cp:lastModifiedBy>כוכי שבתאי</cp:lastModifiedBy>
  <cp:revision>2</cp:revision>
  <dcterms:created xsi:type="dcterms:W3CDTF">2018-10-23T13:28:00Z</dcterms:created>
  <dcterms:modified xsi:type="dcterms:W3CDTF">2018-10-23T13:28:00Z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y fmtid="{D5CDD505-2E9C-101B-9397-08002B2CF9AE}" pid="3" name="SanhedrinDocumentType">
    <vt:r8>88</vt:r8>
  </property>
  <property fmtid="{D5CDD505-2E9C-101B-9397-08002B2CF9AE}" pid="4" name="SanhedrinItemID">
    <vt:r8>2074128</vt:r8>
  </property>
</Properties>
</file>