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2020202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יוזמים:      חברי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איל בן ראובן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אכרם חסון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יהודה גליק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עבדאללה אבו מערוף</w:t>
      </w:r>
      <w:bookmarkEnd w:id="4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 xml:space="preserve"> 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 xml:space="preserve"> 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>פ/4531/20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1E3C2C85" w:rsidR="00E13C27" w:rsidRPr="00F67051" w:rsidRDefault="002C2E34" w:rsidP="00CC77F8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הגבלת הפרסומת והשיווק של מוצרי טבק (תיקון </w:t>
      </w:r>
      <w:r w:rsidR="00CC77F8">
        <w:rPr>
          <w:rFonts w:hint="eastAsia"/>
          <w:rtl/>
        </w:rPr>
        <w:t>–</w:t>
      </w:r>
      <w:r>
        <w:rPr>
          <w:rFonts w:hint="cs"/>
          <w:rtl/>
        </w:rPr>
        <w:t xml:space="preserve"> תמונה של נזקי עישון על מוצרי טבק), </w:t>
      </w:r>
      <w:proofErr w:type="spellStart"/>
      <w:r>
        <w:rPr>
          <w:rFonts w:hint="cs"/>
          <w:rtl/>
        </w:rPr>
        <w:t>התשע"ז</w:t>
      </w:r>
      <w:proofErr w:type="spellEnd"/>
      <w:r w:rsidR="00CC77F8">
        <w:rPr>
          <w:rFonts w:hint="eastAsia"/>
          <w:rtl/>
        </w:rPr>
        <w:t>–</w:t>
      </w:r>
      <w:r>
        <w:rPr>
          <w:rFonts w:hint="cs"/>
          <w:rtl/>
        </w:rPr>
        <w:t>2017</w:t>
      </w:r>
      <w:bookmarkEnd w:id="8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624"/>
        <w:gridCol w:w="6520"/>
      </w:tblGrid>
      <w:tr w:rsidR="002C2E34" w14:paraId="01E4B899" w14:textId="77777777" w:rsidTr="005C5284">
        <w:trPr>
          <w:cantSplit/>
        </w:trPr>
        <w:tc>
          <w:tcPr>
            <w:tcW w:w="1870" w:type="dxa"/>
          </w:tcPr>
          <w:p w14:paraId="63137CA9" w14:textId="4E6C50C4" w:rsidR="002C2E34" w:rsidRDefault="002C2E34" w:rsidP="002C2E34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3</w:t>
            </w:r>
            <w:r w:rsidRPr="005F5BF0">
              <w:rPr>
                <w:rtl/>
              </w:rPr>
              <w:t xml:space="preserve"> </w:t>
            </w:r>
          </w:p>
        </w:tc>
        <w:tc>
          <w:tcPr>
            <w:tcW w:w="624" w:type="dxa"/>
          </w:tcPr>
          <w:p w14:paraId="7DA257A7" w14:textId="6E90B6C2" w:rsidR="002C2E34" w:rsidRDefault="002C2E34" w:rsidP="002C2E34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  <w:gridSpan w:val="2"/>
          </w:tcPr>
          <w:p w14:paraId="58098FF6" w14:textId="45713AEE" w:rsidR="002C2E34" w:rsidRPr="005C5284" w:rsidRDefault="002C2E34" w:rsidP="005C5284">
            <w:pPr>
              <w:pStyle w:val="TableBlock"/>
            </w:pPr>
            <w:r w:rsidRPr="005C5284">
              <w:rPr>
                <w:rFonts w:hint="cs"/>
                <w:rtl/>
              </w:rPr>
              <w:t xml:space="preserve">בחוק הגבלת הפרסומת והשיווק של מוצרי טבק, </w:t>
            </w:r>
            <w:proofErr w:type="spellStart"/>
            <w:r w:rsidRPr="005C5284">
              <w:rPr>
                <w:rFonts w:hint="cs"/>
                <w:rtl/>
              </w:rPr>
              <w:t>התשמ"ג</w:t>
            </w:r>
            <w:proofErr w:type="spellEnd"/>
            <w:r w:rsidRPr="005C5284">
              <w:rPr>
                <w:rFonts w:hint="eastAsia"/>
                <w:rtl/>
              </w:rPr>
              <w:t>–</w:t>
            </w:r>
            <w:r w:rsidRPr="005C5284">
              <w:rPr>
                <w:rFonts w:hint="cs"/>
                <w:rtl/>
              </w:rPr>
              <w:t>1983</w:t>
            </w:r>
            <w:r w:rsidRPr="00112BD1">
              <w:rPr>
                <w:szCs w:val="20"/>
                <w:rtl/>
              </w:rPr>
              <w:footnoteReference w:id="2"/>
            </w:r>
            <w:r w:rsidRPr="005C5284">
              <w:rPr>
                <w:rFonts w:hint="cs"/>
                <w:rtl/>
              </w:rPr>
              <w:t xml:space="preserve">, (להלן </w:t>
            </w:r>
            <w:r w:rsidRPr="005C5284">
              <w:rPr>
                <w:rFonts w:hint="eastAsia"/>
                <w:rtl/>
              </w:rPr>
              <w:t>–</w:t>
            </w:r>
            <w:r w:rsidRPr="005C5284">
              <w:rPr>
                <w:rFonts w:hint="cs"/>
                <w:rtl/>
              </w:rPr>
              <w:t xml:space="preserve">החוק העיקרי), </w:t>
            </w:r>
            <w:r w:rsidR="003C7A3D" w:rsidRPr="005C5284">
              <w:rPr>
                <w:rFonts w:hint="cs"/>
                <w:rtl/>
              </w:rPr>
              <w:t xml:space="preserve">בסעיף 3, </w:t>
            </w:r>
            <w:r w:rsidRPr="005C5284">
              <w:rPr>
                <w:rFonts w:hint="cs"/>
                <w:rtl/>
              </w:rPr>
              <w:t>אחרי פסקה (7) יבוא:</w:t>
            </w:r>
            <w:r w:rsidR="003C7A3D" w:rsidRPr="005C5284" w:rsidDel="003C7A3D">
              <w:rPr>
                <w:rtl/>
              </w:rPr>
              <w:t xml:space="preserve"> </w:t>
            </w:r>
          </w:p>
        </w:tc>
      </w:tr>
      <w:tr w:rsidR="005C5284" w14:paraId="67E2610E" w14:textId="77777777" w:rsidTr="005C5284">
        <w:trPr>
          <w:cantSplit/>
        </w:trPr>
        <w:tc>
          <w:tcPr>
            <w:tcW w:w="1870" w:type="dxa"/>
          </w:tcPr>
          <w:p w14:paraId="19A9639D" w14:textId="77777777" w:rsidR="005C5284" w:rsidRDefault="005C5284">
            <w:pPr>
              <w:pStyle w:val="TableSideHeading"/>
            </w:pPr>
          </w:p>
        </w:tc>
        <w:tc>
          <w:tcPr>
            <w:tcW w:w="624" w:type="dxa"/>
          </w:tcPr>
          <w:p w14:paraId="125F399B" w14:textId="77777777" w:rsidR="005C5284" w:rsidRDefault="005C5284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0F91CFED" w14:textId="4CC5B97C" w:rsidR="005C5284" w:rsidRDefault="005C5284" w:rsidP="0050565C">
            <w:pPr>
              <w:pStyle w:val="TableBlock"/>
            </w:pPr>
            <w:r>
              <w:rPr>
                <w:rFonts w:hint="cs"/>
                <w:rtl/>
              </w:rPr>
              <w:t>"(8)</w:t>
            </w:r>
            <w:r>
              <w:rPr>
                <w:rtl/>
              </w:rPr>
              <w:tab/>
            </w:r>
            <w:r w:rsidR="00CC77F8">
              <w:rPr>
                <w:rFonts w:hint="cs"/>
                <w:rtl/>
              </w:rPr>
              <w:t>אתרי אינטרנט פנים ארציים."</w:t>
            </w:r>
          </w:p>
        </w:tc>
      </w:tr>
      <w:tr w:rsidR="0050565C" w14:paraId="0F11E817" w14:textId="77777777" w:rsidTr="005C5284">
        <w:trPr>
          <w:cantSplit/>
        </w:trPr>
        <w:tc>
          <w:tcPr>
            <w:tcW w:w="1870" w:type="dxa"/>
          </w:tcPr>
          <w:p w14:paraId="0FADF6C5" w14:textId="5BF89F53" w:rsidR="0050565C" w:rsidRDefault="0050565C" w:rsidP="0050565C">
            <w:pPr>
              <w:pStyle w:val="TableSideHeading"/>
              <w:keepLines w:val="0"/>
              <w:rPr>
                <w:rtl/>
              </w:rPr>
            </w:pPr>
            <w:r w:rsidRPr="005F5BF0">
              <w:rPr>
                <w:rtl/>
              </w:rPr>
              <w:t>תיקון סעיף 4</w:t>
            </w:r>
            <w:r>
              <w:rPr>
                <w:rtl/>
              </w:rPr>
              <w:t xml:space="preserve"> </w:t>
            </w:r>
          </w:p>
        </w:tc>
        <w:tc>
          <w:tcPr>
            <w:tcW w:w="624" w:type="dxa"/>
          </w:tcPr>
          <w:p w14:paraId="1FE0A941" w14:textId="353AD3A5" w:rsidR="0050565C" w:rsidRDefault="0050565C" w:rsidP="0050565C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4" w:type="dxa"/>
            <w:gridSpan w:val="2"/>
          </w:tcPr>
          <w:p w14:paraId="41B9C6F1" w14:textId="279A1219" w:rsidR="0050565C" w:rsidRDefault="0050565C" w:rsidP="0050565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בסעיף 4 לחוק העיקרי </w:t>
            </w:r>
            <w:r>
              <w:rPr>
                <w:rFonts w:hint="eastAsia"/>
                <w:rtl/>
              </w:rPr>
              <w:t xml:space="preserve">–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C7A3D" w14:paraId="2B286096" w14:textId="77777777" w:rsidTr="005C5284">
        <w:trPr>
          <w:cantSplit/>
        </w:trPr>
        <w:tc>
          <w:tcPr>
            <w:tcW w:w="1870" w:type="dxa"/>
          </w:tcPr>
          <w:p w14:paraId="73E1BF4C" w14:textId="77777777" w:rsidR="003C7A3D" w:rsidRDefault="003C7A3D">
            <w:pPr>
              <w:pStyle w:val="TableSideHeading"/>
            </w:pPr>
          </w:p>
        </w:tc>
        <w:tc>
          <w:tcPr>
            <w:tcW w:w="624" w:type="dxa"/>
          </w:tcPr>
          <w:p w14:paraId="3674AC96" w14:textId="77777777" w:rsidR="003C7A3D" w:rsidRDefault="003C7A3D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6F3A5053" w14:textId="3DFAFDA9" w:rsidR="003C7A3D" w:rsidRDefault="003C7A3D" w:rsidP="0050565C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(א), המילים "למעט בשלט מותר"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יימחקו;</w:t>
            </w:r>
          </w:p>
        </w:tc>
      </w:tr>
      <w:tr w:rsidR="003C7A3D" w14:paraId="5E55FF4C" w14:textId="77777777" w:rsidTr="005C5284">
        <w:trPr>
          <w:cantSplit/>
        </w:trPr>
        <w:tc>
          <w:tcPr>
            <w:tcW w:w="1870" w:type="dxa"/>
          </w:tcPr>
          <w:p w14:paraId="4D800280" w14:textId="77777777" w:rsidR="003C7A3D" w:rsidRDefault="003C7A3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2ECC257" w14:textId="77777777" w:rsidR="003C7A3D" w:rsidRDefault="003C7A3D" w:rsidP="003C7A3D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5F1C5E2E" w14:textId="4074ECBF" w:rsidR="003C7A3D" w:rsidRDefault="003C7A3D" w:rsidP="00CC77F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סעיפים קטנים (ב) עד (ד)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77F8">
              <w:rPr>
                <w:rFonts w:hint="cs"/>
                <w:rtl/>
              </w:rPr>
              <w:t>בטלים</w:t>
            </w:r>
            <w:r>
              <w:rPr>
                <w:rFonts w:hint="cs"/>
                <w:rtl/>
              </w:rPr>
              <w:t>.</w:t>
            </w:r>
          </w:p>
        </w:tc>
      </w:tr>
      <w:tr w:rsidR="002C2E34" w14:paraId="6E0C9914" w14:textId="77777777" w:rsidTr="005C5284">
        <w:trPr>
          <w:cantSplit/>
        </w:trPr>
        <w:tc>
          <w:tcPr>
            <w:tcW w:w="1870" w:type="dxa"/>
          </w:tcPr>
          <w:p w14:paraId="0655906A" w14:textId="1E1A1E59" w:rsidR="002C2E34" w:rsidRDefault="002C2E34" w:rsidP="00724E1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</w:t>
            </w:r>
            <w:r w:rsidRPr="005F5BF0">
              <w:rPr>
                <w:rtl/>
              </w:rPr>
              <w:t xml:space="preserve"> 9</w:t>
            </w:r>
          </w:p>
        </w:tc>
        <w:tc>
          <w:tcPr>
            <w:tcW w:w="624" w:type="dxa"/>
          </w:tcPr>
          <w:p w14:paraId="1B91F007" w14:textId="0901F418" w:rsidR="002C2E34" w:rsidRPr="005F5BF0" w:rsidRDefault="002C2E34" w:rsidP="002C2E34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4" w:type="dxa"/>
            <w:gridSpan w:val="2"/>
          </w:tcPr>
          <w:p w14:paraId="48B1F4E4" w14:textId="546B106A" w:rsidR="002C2E34" w:rsidRPr="0050565C" w:rsidRDefault="002C2E34" w:rsidP="005C5284">
            <w:pPr>
              <w:pStyle w:val="TableHead"/>
              <w:jc w:val="both"/>
              <w:rPr>
                <w:b w:val="0"/>
                <w:bCs w:val="0"/>
                <w:rtl/>
              </w:rPr>
            </w:pPr>
            <w:r w:rsidRPr="005C5284">
              <w:rPr>
                <w:rFonts w:hint="cs"/>
                <w:b w:val="0"/>
                <w:bCs w:val="0"/>
                <w:rtl/>
              </w:rPr>
              <w:t>בסעיף 9 לחוק העיקרי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>
              <w:rPr>
                <w:rFonts w:hint="eastAsia"/>
                <w:b w:val="0"/>
                <w:bCs w:val="0"/>
                <w:rtl/>
              </w:rPr>
              <w:t>–</w:t>
            </w:r>
            <w:r w:rsidRPr="005F5BF0">
              <w:rPr>
                <w:b w:val="0"/>
                <w:bCs w:val="0"/>
                <w:rtl/>
              </w:rPr>
              <w:tab/>
            </w:r>
          </w:p>
        </w:tc>
      </w:tr>
      <w:tr w:rsidR="002C2E34" w14:paraId="73A07646" w14:textId="77777777" w:rsidTr="005C5284">
        <w:trPr>
          <w:cantSplit/>
        </w:trPr>
        <w:tc>
          <w:tcPr>
            <w:tcW w:w="1870" w:type="dxa"/>
          </w:tcPr>
          <w:p w14:paraId="71DDB352" w14:textId="77777777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61353424" w14:textId="77777777" w:rsidR="002C2E34" w:rsidRDefault="002C2E34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111F2A25" w14:textId="4BD91FFA" w:rsidR="002C2E34" w:rsidRDefault="002C2E34" w:rsidP="0050565C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בכותרת השוליים, אחרי "אזהרה" יבוא "ותמונה";</w:t>
            </w:r>
          </w:p>
        </w:tc>
      </w:tr>
      <w:tr w:rsidR="002C2E34" w14:paraId="08722BC2" w14:textId="77777777" w:rsidTr="005C5284">
        <w:trPr>
          <w:cantSplit/>
        </w:trPr>
        <w:tc>
          <w:tcPr>
            <w:tcW w:w="1870" w:type="dxa"/>
          </w:tcPr>
          <w:p w14:paraId="12684A6C" w14:textId="77777777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45FBBF3E" w14:textId="77777777" w:rsidR="002C2E34" w:rsidRDefault="002C2E34" w:rsidP="00601996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65E4753A" w14:textId="470D8E5A" w:rsidR="002C2E34" w:rsidRDefault="002C2E34" w:rsidP="00A501C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(א), ה</w:t>
            </w:r>
            <w:r w:rsidR="0050565C">
              <w:rPr>
                <w:rFonts w:hint="cs"/>
                <w:rtl/>
              </w:rPr>
              <w:t>קטע</w:t>
            </w:r>
            <w:r>
              <w:rPr>
                <w:rFonts w:hint="cs"/>
                <w:rtl/>
              </w:rPr>
              <w:t xml:space="preserve"> החל במילים "אזהרה באותיות" יסומן </w:t>
            </w:r>
            <w:r w:rsidR="00A501CD">
              <w:rPr>
                <w:rFonts w:hint="cs"/>
                <w:rtl/>
              </w:rPr>
              <w:t xml:space="preserve">כפסקה </w:t>
            </w:r>
            <w:r>
              <w:rPr>
                <w:rFonts w:hint="cs"/>
                <w:rtl/>
              </w:rPr>
              <w:t>"(1)" ואחרי</w:t>
            </w:r>
            <w:r w:rsidR="00A501CD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יבוא:</w:t>
            </w:r>
          </w:p>
        </w:tc>
      </w:tr>
      <w:tr w:rsidR="002C2E34" w14:paraId="3567A488" w14:textId="77777777" w:rsidTr="005C5284">
        <w:trPr>
          <w:cantSplit/>
        </w:trPr>
        <w:tc>
          <w:tcPr>
            <w:tcW w:w="1870" w:type="dxa"/>
          </w:tcPr>
          <w:p w14:paraId="5DF9E8A6" w14:textId="77777777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575F2343" w14:textId="77777777" w:rsidR="002C2E34" w:rsidRDefault="002C2E34">
            <w:pPr>
              <w:pStyle w:val="TableText"/>
            </w:pPr>
          </w:p>
        </w:tc>
        <w:tc>
          <w:tcPr>
            <w:tcW w:w="624" w:type="dxa"/>
          </w:tcPr>
          <w:p w14:paraId="77D8B4F3" w14:textId="77777777" w:rsidR="002C2E34" w:rsidRDefault="002C2E34">
            <w:pPr>
              <w:pStyle w:val="TableText"/>
            </w:pPr>
          </w:p>
        </w:tc>
        <w:tc>
          <w:tcPr>
            <w:tcW w:w="6520" w:type="dxa"/>
          </w:tcPr>
          <w:p w14:paraId="4FA2D8E5" w14:textId="6865031A" w:rsidR="002C2E34" w:rsidRDefault="002C2E34" w:rsidP="008637E1">
            <w:pPr>
              <w:pStyle w:val="TableBlock"/>
            </w:pPr>
            <w:r>
              <w:rPr>
                <w:rFonts w:hint="cs"/>
                <w:rtl/>
              </w:rPr>
              <w:t>"(2)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תמונה </w:t>
            </w:r>
            <w:r w:rsidR="0050565C">
              <w:rPr>
                <w:rFonts w:hint="cs"/>
                <w:rtl/>
              </w:rPr>
              <w:t>הממחישה</w:t>
            </w:r>
            <w:r>
              <w:rPr>
                <w:rFonts w:hint="cs"/>
                <w:rtl/>
              </w:rPr>
              <w:t xml:space="preserve"> נזקי עישון</w:t>
            </w:r>
            <w:r w:rsidR="0050565C">
              <w:rPr>
                <w:rFonts w:hint="cs"/>
                <w:rtl/>
              </w:rPr>
              <w:t xml:space="preserve"> שגודלה חצי מגודל החפיסה</w:t>
            </w:r>
            <w:r w:rsidR="008637E1">
              <w:rPr>
                <w:rFonts w:hint="cs"/>
                <w:rtl/>
              </w:rPr>
              <w:t>.</w:t>
            </w:r>
            <w:r w:rsidR="00A32E64">
              <w:rPr>
                <w:rFonts w:hint="cs"/>
                <w:rtl/>
              </w:rPr>
              <w:t>";</w:t>
            </w:r>
          </w:p>
        </w:tc>
      </w:tr>
      <w:tr w:rsidR="002C2E34" w14:paraId="1F7E22D7" w14:textId="77777777" w:rsidTr="005C5284">
        <w:trPr>
          <w:cantSplit/>
        </w:trPr>
        <w:tc>
          <w:tcPr>
            <w:tcW w:w="1870" w:type="dxa"/>
          </w:tcPr>
          <w:p w14:paraId="32E052BF" w14:textId="6F6BF37D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62D32AF2" w14:textId="77777777" w:rsidR="002C2E34" w:rsidRDefault="002C2E34" w:rsidP="00601996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5A2383A4" w14:textId="3438AB69" w:rsidR="002C2E34" w:rsidRPr="00601996" w:rsidRDefault="002C2E34" w:rsidP="0050565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(ב), אחרי "שהאזהרה" יבוא "או תמונה";</w:t>
            </w:r>
          </w:p>
        </w:tc>
      </w:tr>
      <w:tr w:rsidR="002C2E34" w14:paraId="53648A37" w14:textId="77777777" w:rsidTr="005C5284">
        <w:trPr>
          <w:cantSplit/>
        </w:trPr>
        <w:tc>
          <w:tcPr>
            <w:tcW w:w="1870" w:type="dxa"/>
          </w:tcPr>
          <w:p w14:paraId="45D071C2" w14:textId="77777777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68A8EE86" w14:textId="77777777" w:rsidR="002C2E34" w:rsidRDefault="002C2E34" w:rsidP="00601996">
            <w:pPr>
              <w:pStyle w:val="TableText"/>
            </w:pPr>
          </w:p>
        </w:tc>
        <w:tc>
          <w:tcPr>
            <w:tcW w:w="7144" w:type="dxa"/>
            <w:gridSpan w:val="2"/>
          </w:tcPr>
          <w:p w14:paraId="33D37CB9" w14:textId="5CA9E905" w:rsidR="002C2E34" w:rsidRDefault="002C2E34" w:rsidP="0050565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(ג), </w:t>
            </w:r>
            <w:r w:rsidR="0050565C">
              <w:rPr>
                <w:rFonts w:hint="cs"/>
                <w:rtl/>
              </w:rPr>
              <w:t>הקטע</w:t>
            </w:r>
            <w:r>
              <w:rPr>
                <w:rFonts w:hint="cs"/>
                <w:rtl/>
              </w:rPr>
              <w:t xml:space="preserve"> החל במילים "לשנות את נוסח האזהרה" יסומן </w:t>
            </w:r>
            <w:r w:rsidR="00A501CD">
              <w:rPr>
                <w:rFonts w:hint="cs"/>
                <w:rtl/>
              </w:rPr>
              <w:t>כפסקה "(1)" ואחריה</w:t>
            </w:r>
            <w:r>
              <w:rPr>
                <w:rFonts w:hint="cs"/>
                <w:rtl/>
              </w:rPr>
              <w:t xml:space="preserve"> יבוא:</w:t>
            </w:r>
          </w:p>
        </w:tc>
      </w:tr>
      <w:tr w:rsidR="002C2E34" w14:paraId="68F407DD" w14:textId="77777777" w:rsidTr="005C5284">
        <w:trPr>
          <w:cantSplit/>
        </w:trPr>
        <w:tc>
          <w:tcPr>
            <w:tcW w:w="1870" w:type="dxa"/>
          </w:tcPr>
          <w:p w14:paraId="0F9ADA7A" w14:textId="77777777" w:rsidR="002C2E34" w:rsidRDefault="002C2E34">
            <w:pPr>
              <w:pStyle w:val="TableSideHeading"/>
            </w:pPr>
          </w:p>
        </w:tc>
        <w:tc>
          <w:tcPr>
            <w:tcW w:w="624" w:type="dxa"/>
          </w:tcPr>
          <w:p w14:paraId="42BC2A93" w14:textId="77777777" w:rsidR="002C2E34" w:rsidRDefault="002C2E34">
            <w:pPr>
              <w:pStyle w:val="TableText"/>
            </w:pPr>
          </w:p>
        </w:tc>
        <w:tc>
          <w:tcPr>
            <w:tcW w:w="624" w:type="dxa"/>
          </w:tcPr>
          <w:p w14:paraId="47BA2258" w14:textId="77777777" w:rsidR="002C2E34" w:rsidRDefault="002C2E34">
            <w:pPr>
              <w:pStyle w:val="TableText"/>
            </w:pPr>
          </w:p>
        </w:tc>
        <w:tc>
          <w:tcPr>
            <w:tcW w:w="6520" w:type="dxa"/>
          </w:tcPr>
          <w:p w14:paraId="4AC454BF" w14:textId="426333B7" w:rsidR="002C2E34" w:rsidRDefault="002C2E34" w:rsidP="0050565C">
            <w:pPr>
              <w:pStyle w:val="TableBlock"/>
            </w:pPr>
            <w:r>
              <w:rPr>
                <w:rFonts w:hint="cs"/>
                <w:rtl/>
              </w:rPr>
              <w:t>"(2)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לקבוע הוראות לעניין תמונה של נזקי העישון</w:t>
            </w:r>
            <w:r w:rsidR="00A501CD">
              <w:rPr>
                <w:rFonts w:hint="cs"/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47BCE6D" w14:textId="45F71169" w:rsidR="002D2B29" w:rsidRDefault="00932F6C" w:rsidP="002D2B29">
      <w:pPr>
        <w:pStyle w:val="Hesber"/>
        <w:rPr>
          <w:rtl/>
        </w:rPr>
      </w:pPr>
      <w:r>
        <w:rPr>
          <w:rtl/>
        </w:rPr>
        <w:t>לפי דו</w:t>
      </w:r>
      <w:r w:rsidR="002C2E34">
        <w:rPr>
          <w:rtl/>
        </w:rPr>
        <w:t xml:space="preserve">ח </w:t>
      </w:r>
      <w:r w:rsidR="00601996">
        <w:rPr>
          <w:rFonts w:hint="cs"/>
          <w:rtl/>
        </w:rPr>
        <w:t>מ</w:t>
      </w:r>
      <w:r w:rsidR="002C2E34">
        <w:rPr>
          <w:rtl/>
        </w:rPr>
        <w:t>שר</w:t>
      </w:r>
      <w:r w:rsidR="00601996">
        <w:rPr>
          <w:rFonts w:hint="cs"/>
          <w:rtl/>
        </w:rPr>
        <w:t>ד</w:t>
      </w:r>
      <w:r w:rsidR="002C2E34">
        <w:rPr>
          <w:rtl/>
        </w:rPr>
        <w:t xml:space="preserve"> הבריאות לשנת 2016</w:t>
      </w:r>
      <w:r w:rsidR="0050565C">
        <w:rPr>
          <w:rFonts w:hint="cs"/>
          <w:rtl/>
        </w:rPr>
        <w:t>,</w:t>
      </w:r>
      <w:r w:rsidR="002C2E34">
        <w:rPr>
          <w:rtl/>
        </w:rPr>
        <w:t xml:space="preserve"> כ</w:t>
      </w:r>
      <w:r>
        <w:rPr>
          <w:rtl/>
        </w:rPr>
        <w:t>-8000 מאזרחי מדינת ישראל מתים מ</w:t>
      </w:r>
      <w:r w:rsidR="002C2E34">
        <w:rPr>
          <w:rtl/>
        </w:rPr>
        <w:t>די שנה כתוצאה מ</w:t>
      </w:r>
      <w:r w:rsidR="00601996">
        <w:rPr>
          <w:rFonts w:hint="cs"/>
          <w:rtl/>
        </w:rPr>
        <w:t>נזקי ה</w:t>
      </w:r>
      <w:r w:rsidR="002C2E34">
        <w:rPr>
          <w:rtl/>
        </w:rPr>
        <w:t>עישון.</w:t>
      </w:r>
      <w:r w:rsidR="00601996">
        <w:rPr>
          <w:rFonts w:hint="cs"/>
          <w:rtl/>
        </w:rPr>
        <w:t xml:space="preserve"> </w:t>
      </w:r>
      <w:r w:rsidR="002C2E34">
        <w:rPr>
          <w:rtl/>
        </w:rPr>
        <w:t>כ-</w:t>
      </w:r>
      <w:r>
        <w:rPr>
          <w:rtl/>
        </w:rPr>
        <w:t>800 בני אדם שאינם מעשנים מתים מ</w:t>
      </w:r>
      <w:r w:rsidR="002C2E34">
        <w:rPr>
          <w:rtl/>
        </w:rPr>
        <w:t>די שנה כתוצאה מחשיפה לעישון.</w:t>
      </w:r>
      <w:r>
        <w:rPr>
          <w:rFonts w:hint="cs"/>
          <w:rtl/>
        </w:rPr>
        <w:t xml:space="preserve"> עוד עולה מנתוני הדו</w:t>
      </w:r>
      <w:r w:rsidR="00601996">
        <w:rPr>
          <w:rFonts w:hint="cs"/>
          <w:rtl/>
        </w:rPr>
        <w:t>ח כי</w:t>
      </w:r>
      <w:r w:rsidR="002C2E34">
        <w:rPr>
          <w:rtl/>
        </w:rPr>
        <w:t xml:space="preserve"> </w:t>
      </w:r>
      <w:r w:rsidR="00601996">
        <w:rPr>
          <w:rFonts w:hint="cs"/>
          <w:rtl/>
        </w:rPr>
        <w:t xml:space="preserve">ממוצע </w:t>
      </w:r>
      <w:r w:rsidR="002C2E34">
        <w:rPr>
          <w:rtl/>
        </w:rPr>
        <w:t xml:space="preserve">גיל התחלת </w:t>
      </w:r>
      <w:r w:rsidR="00601996">
        <w:rPr>
          <w:rFonts w:hint="cs"/>
          <w:rtl/>
        </w:rPr>
        <w:t>ה</w:t>
      </w:r>
      <w:r w:rsidR="002C2E34">
        <w:rPr>
          <w:rtl/>
        </w:rPr>
        <w:t xml:space="preserve">עישון </w:t>
      </w:r>
      <w:r w:rsidR="00601996">
        <w:rPr>
          <w:rFonts w:hint="cs"/>
          <w:rtl/>
        </w:rPr>
        <w:t>בקרב</w:t>
      </w:r>
      <w:r w:rsidR="00601996">
        <w:rPr>
          <w:rtl/>
        </w:rPr>
        <w:t xml:space="preserve"> </w:t>
      </w:r>
      <w:r w:rsidR="002C2E34">
        <w:rPr>
          <w:rtl/>
        </w:rPr>
        <w:t>בני נוער</w:t>
      </w:r>
      <w:r w:rsidR="0050565C">
        <w:rPr>
          <w:rFonts w:hint="cs"/>
          <w:rtl/>
        </w:rPr>
        <w:t xml:space="preserve"> הוא</w:t>
      </w:r>
      <w:r w:rsidR="00601996">
        <w:rPr>
          <w:rFonts w:hint="cs"/>
          <w:rtl/>
        </w:rPr>
        <w:t xml:space="preserve"> 13.5</w:t>
      </w:r>
      <w:r w:rsidR="002C2E34">
        <w:rPr>
          <w:rtl/>
        </w:rPr>
        <w:t>.</w:t>
      </w:r>
      <w:r w:rsidR="00601996">
        <w:rPr>
          <w:rFonts w:hint="cs"/>
          <w:rtl/>
        </w:rPr>
        <w:t xml:space="preserve"> </w:t>
      </w:r>
      <w:r w:rsidR="002C2E34">
        <w:rPr>
          <w:rtl/>
        </w:rPr>
        <w:t xml:space="preserve">נתון זה </w:t>
      </w:r>
      <w:r w:rsidR="00601996">
        <w:rPr>
          <w:rFonts w:hint="cs"/>
          <w:rtl/>
        </w:rPr>
        <w:t>מוסבר</w:t>
      </w:r>
      <w:r w:rsidR="00601996">
        <w:rPr>
          <w:rtl/>
        </w:rPr>
        <w:t xml:space="preserve"> </w:t>
      </w:r>
      <w:r w:rsidR="002C2E34">
        <w:rPr>
          <w:rtl/>
        </w:rPr>
        <w:t>מ</w:t>
      </w:r>
      <w:r w:rsidR="00601996">
        <w:rPr>
          <w:rFonts w:hint="cs"/>
          <w:rtl/>
        </w:rPr>
        <w:t>ה</w:t>
      </w:r>
      <w:r w:rsidR="002C2E34">
        <w:rPr>
          <w:rtl/>
        </w:rPr>
        <w:t>חשיפ</w:t>
      </w:r>
      <w:r w:rsidR="00601996">
        <w:rPr>
          <w:rFonts w:hint="cs"/>
          <w:rtl/>
        </w:rPr>
        <w:t xml:space="preserve">ה הרחבה של פרסום מוצרי טבק </w:t>
      </w:r>
      <w:r w:rsidR="002C2E34">
        <w:rPr>
          <w:rtl/>
        </w:rPr>
        <w:t>בכל כלי המדיה</w:t>
      </w:r>
      <w:r w:rsidR="00601996">
        <w:rPr>
          <w:rFonts w:hint="cs"/>
          <w:rtl/>
        </w:rPr>
        <w:t xml:space="preserve"> אשר אינו מציג </w:t>
      </w:r>
      <w:r w:rsidR="002C2E34">
        <w:rPr>
          <w:rtl/>
        </w:rPr>
        <w:t>את הנזקים הנובעים משימוש במוצרי העישון הנושאים את סמל המותג.</w:t>
      </w:r>
      <w:r w:rsidR="00601996">
        <w:rPr>
          <w:rFonts w:hint="cs"/>
          <w:rtl/>
        </w:rPr>
        <w:t xml:space="preserve"> </w:t>
      </w:r>
      <w:r w:rsidR="002D2B29">
        <w:rPr>
          <w:rtl/>
        </w:rPr>
        <w:t>רק חקיקה חד משמעית האוסרת על פרסום מוצרי הטבק תביא לירידה משמעותית באחוז המעשנים ובכמות המתים במדינת ישראל כתוצאה מעישון.</w:t>
      </w:r>
    </w:p>
    <w:p w14:paraId="62BAF398" w14:textId="2367E2EF" w:rsidR="002C2E34" w:rsidRDefault="00601996" w:rsidP="00932F6C">
      <w:pPr>
        <w:pStyle w:val="Hesber"/>
        <w:rPr>
          <w:rtl/>
        </w:rPr>
      </w:pPr>
      <w:r>
        <w:rPr>
          <w:rFonts w:hint="cs"/>
          <w:rtl/>
        </w:rPr>
        <w:t xml:space="preserve">מוצע </w:t>
      </w:r>
      <w:r w:rsidR="00932F6C">
        <w:rPr>
          <w:rFonts w:hint="cs"/>
          <w:rtl/>
        </w:rPr>
        <w:t>לה</w:t>
      </w:r>
      <w:r w:rsidR="002C2E34">
        <w:rPr>
          <w:rtl/>
        </w:rPr>
        <w:t>גביל את פרסום מוצרי הטבק ברשת האינטרנט</w:t>
      </w:r>
      <w:r>
        <w:rPr>
          <w:rFonts w:hint="cs"/>
          <w:rtl/>
        </w:rPr>
        <w:t xml:space="preserve">, </w:t>
      </w:r>
      <w:r w:rsidR="00932F6C">
        <w:rPr>
          <w:rFonts w:hint="cs"/>
          <w:rtl/>
        </w:rPr>
        <w:t>ל</w:t>
      </w:r>
      <w:r>
        <w:rPr>
          <w:rFonts w:hint="cs"/>
          <w:rtl/>
        </w:rPr>
        <w:t>ב</w:t>
      </w:r>
      <w:r w:rsidR="002D2B29">
        <w:rPr>
          <w:rFonts w:hint="cs"/>
          <w:rtl/>
        </w:rPr>
        <w:t xml:space="preserve">טל את האפשרות לפרסום מוצרי טבק בבתי עסק או על גבי רכב </w:t>
      </w:r>
      <w:r w:rsidR="005C5284">
        <w:rPr>
          <w:rFonts w:hint="cs"/>
          <w:rtl/>
        </w:rPr>
        <w:t>של יצרן, יבואן, סוכן, משווק, מפיץ או מוכר של מוצרי טבק</w:t>
      </w:r>
      <w:r w:rsidR="002D2B29">
        <w:rPr>
          <w:rFonts w:hint="cs"/>
          <w:rtl/>
        </w:rPr>
        <w:t xml:space="preserve"> ו</w:t>
      </w:r>
      <w:r w:rsidR="00932F6C">
        <w:rPr>
          <w:rFonts w:hint="cs"/>
          <w:rtl/>
        </w:rPr>
        <w:t>לקבו</w:t>
      </w:r>
      <w:r w:rsidR="002D2B29">
        <w:rPr>
          <w:rFonts w:hint="cs"/>
          <w:rtl/>
        </w:rPr>
        <w:t xml:space="preserve">ע כי בצמוד לאזהרה על גבי האריזה של מוצר הטבק, </w:t>
      </w:r>
      <w:r w:rsidR="002C2E34">
        <w:rPr>
          <w:rtl/>
        </w:rPr>
        <w:t>תצורף תמונה המתארת את נזקי העישון</w:t>
      </w:r>
      <w:r w:rsidR="002D2B29">
        <w:rPr>
          <w:rFonts w:hint="cs"/>
          <w:rtl/>
        </w:rPr>
        <w:t>.</w:t>
      </w:r>
      <w:r w:rsidR="002C2E34">
        <w:rPr>
          <w:rtl/>
        </w:rPr>
        <w:t xml:space="preserve"> </w:t>
      </w:r>
    </w:p>
    <w:p w14:paraId="18AACE5C" w14:textId="77777777" w:rsidR="008C0AC9" w:rsidRPr="00D73212" w:rsidRDefault="008C0AC9" w:rsidP="008C0AC9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BBB4CE7" w14:textId="77777777" w:rsidR="008C0AC9" w:rsidRPr="00D73212" w:rsidRDefault="008C0AC9" w:rsidP="008C0AC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B821D93" w14:textId="77777777" w:rsidR="008C0AC9" w:rsidRPr="00D73212" w:rsidRDefault="008C0AC9" w:rsidP="008C0AC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9B55A5C" w14:textId="77777777" w:rsidR="008C0AC9" w:rsidRPr="00317312" w:rsidRDefault="008C0AC9" w:rsidP="008C0AC9">
      <w:pPr>
        <w:pStyle w:val="Hesber"/>
      </w:pPr>
      <w:r>
        <w:rPr>
          <w:rFonts w:hint="cs"/>
          <w:color w:val="auto"/>
          <w:rtl/>
          <w:lang w:eastAsia="en-US"/>
        </w:rPr>
        <w:t>ג' באב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proofErr w:type="spellEnd"/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26.7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12818A35" w14:textId="77777777" w:rsidR="008C0AC9" w:rsidRDefault="008C0AC9" w:rsidP="00932F6C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CB57C" w14:textId="77777777" w:rsidR="00CE7E23" w:rsidRDefault="00CE7E23">
      <w:r>
        <w:separator/>
      </w:r>
    </w:p>
  </w:endnote>
  <w:endnote w:type="continuationSeparator" w:id="0">
    <w:p w14:paraId="35C5827C" w14:textId="77777777" w:rsidR="00CE7E23" w:rsidRDefault="00CE7E23">
      <w:r>
        <w:continuationSeparator/>
      </w:r>
    </w:p>
  </w:endnote>
  <w:endnote w:type="continuationNotice" w:id="1">
    <w:p w14:paraId="273A1B4B" w14:textId="77777777" w:rsidR="00CE7E23" w:rsidRDefault="00CE7E2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A4BBF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F3A0" w14:textId="77777777" w:rsidR="00CE7E23" w:rsidRDefault="00CE7E23">
      <w:r>
        <w:separator/>
      </w:r>
    </w:p>
  </w:footnote>
  <w:footnote w:type="continuationSeparator" w:id="0">
    <w:p w14:paraId="1996B33B" w14:textId="77777777" w:rsidR="00CE7E23" w:rsidRDefault="00CE7E23">
      <w:r>
        <w:continuationSeparator/>
      </w:r>
    </w:p>
  </w:footnote>
  <w:footnote w:type="continuationNotice" w:id="1">
    <w:p w14:paraId="0C5159CD" w14:textId="77777777" w:rsidR="00CE7E23" w:rsidRDefault="00CE7E23"/>
  </w:footnote>
  <w:footnote w:id="2">
    <w:p w14:paraId="6B648DDF" w14:textId="1D4BEDC8" w:rsidR="002C2E34" w:rsidRDefault="002C2E3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התשמ"ג</w:t>
      </w:r>
      <w:proofErr w:type="spellEnd"/>
      <w:r>
        <w:rPr>
          <w:rFonts w:hint="cs"/>
          <w:rtl/>
        </w:rPr>
        <w:t>, עמ' 38.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12BD1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2E34"/>
    <w:rsid w:val="002C3041"/>
    <w:rsid w:val="002D1EE3"/>
    <w:rsid w:val="002D2B29"/>
    <w:rsid w:val="002F1D80"/>
    <w:rsid w:val="003232A2"/>
    <w:rsid w:val="00325C14"/>
    <w:rsid w:val="0036422C"/>
    <w:rsid w:val="003710F6"/>
    <w:rsid w:val="00386E88"/>
    <w:rsid w:val="00396585"/>
    <w:rsid w:val="003C7A3D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0565C"/>
    <w:rsid w:val="00553C9D"/>
    <w:rsid w:val="00562A66"/>
    <w:rsid w:val="005B064E"/>
    <w:rsid w:val="005C5284"/>
    <w:rsid w:val="005D51AE"/>
    <w:rsid w:val="00601996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37E1"/>
    <w:rsid w:val="00865572"/>
    <w:rsid w:val="00874BBC"/>
    <w:rsid w:val="00892135"/>
    <w:rsid w:val="00895449"/>
    <w:rsid w:val="00897879"/>
    <w:rsid w:val="008A6870"/>
    <w:rsid w:val="008C0AC9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32F6C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32E64"/>
    <w:rsid w:val="00A443CF"/>
    <w:rsid w:val="00A501CD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77F8"/>
    <w:rsid w:val="00CE7E23"/>
    <w:rsid w:val="00CF1AA2"/>
    <w:rsid w:val="00D17774"/>
    <w:rsid w:val="00D63620"/>
    <w:rsid w:val="00D8410D"/>
    <w:rsid w:val="00D867D7"/>
    <w:rsid w:val="00DA4BBF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65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0565C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50565C"/>
    <w:rPr>
      <w:sz w:val="36"/>
      <w:szCs w:val="52"/>
    </w:rPr>
  </w:style>
  <w:style w:type="paragraph" w:customStyle="1" w:styleId="Cover3-Haknesset">
    <w:name w:val="Cover 3-Haknesset"/>
    <w:basedOn w:val="Cover1-Reshumot"/>
    <w:rsid w:val="0050565C"/>
    <w:rPr>
      <w:b/>
      <w:bCs/>
      <w:spacing w:val="60"/>
    </w:rPr>
  </w:style>
  <w:style w:type="paragraph" w:customStyle="1" w:styleId="Cover4-Date">
    <w:name w:val="Cover 4-Date"/>
    <w:basedOn w:val="a"/>
    <w:rsid w:val="0050565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0565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50565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50565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0565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0565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50565C"/>
  </w:style>
  <w:style w:type="paragraph" w:customStyle="1" w:styleId="TableBlock">
    <w:name w:val="Table Block"/>
    <w:basedOn w:val="TableText"/>
    <w:rsid w:val="0050565C"/>
    <w:pPr>
      <w:ind w:right="0"/>
      <w:jc w:val="both"/>
    </w:pPr>
  </w:style>
  <w:style w:type="paragraph" w:customStyle="1" w:styleId="TableHead">
    <w:name w:val="Table Head"/>
    <w:basedOn w:val="TableText"/>
    <w:rsid w:val="0050565C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0565C"/>
  </w:style>
  <w:style w:type="paragraph" w:customStyle="1" w:styleId="Hesber">
    <w:name w:val="Hesber"/>
    <w:basedOn w:val="a"/>
    <w:rsid w:val="0050565C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50565C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0565C"/>
    <w:rPr>
      <w:vertAlign w:val="superscript"/>
    </w:rPr>
  </w:style>
  <w:style w:type="paragraph" w:customStyle="1" w:styleId="HesberHeading">
    <w:name w:val="Hesber Heading"/>
    <w:basedOn w:val="Hesber"/>
    <w:rsid w:val="0050565C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50565C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50565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0565C"/>
    <w:rPr>
      <w:vertAlign w:val="superscript"/>
    </w:rPr>
  </w:style>
  <w:style w:type="paragraph" w:customStyle="1" w:styleId="TableBlockOutdent">
    <w:name w:val="Table BlockOutdent"/>
    <w:basedOn w:val="TableBlock"/>
    <w:rsid w:val="0050565C"/>
    <w:pPr>
      <w:ind w:left="624" w:hanging="624"/>
    </w:pPr>
  </w:style>
  <w:style w:type="paragraph" w:styleId="a7">
    <w:name w:val="header"/>
    <w:basedOn w:val="a"/>
    <w:rsid w:val="0050565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0565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0565C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0565C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50565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ad">
    <w:name w:val="Revision"/>
    <w:hidden/>
    <w:uiPriority w:val="99"/>
    <w:semiHidden/>
    <w:rsid w:val="002D2B29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EDE16-FC0D-45CE-9F4C-D8FBAF69D0C9}"/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8550D-141D-4FED-A3E7-AEE9A94C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דיקלה טקו</cp:lastModifiedBy>
  <cp:revision>2</cp:revision>
  <cp:lastPrinted>2017-07-24T14:57:00Z</cp:lastPrinted>
  <dcterms:created xsi:type="dcterms:W3CDTF">2018-04-15T09:22:00Z</dcterms:created>
  <dcterms:modified xsi:type="dcterms:W3CDTF">2018-04-15T09:22:00Z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88</vt:r8>
  </property>
  <property fmtid="{D5CDD505-2E9C-101B-9397-08002B2CF9AE}" pid="5" name="SanhedrinItemID">
    <vt:r8>2068130</vt:r8>
  </property>
</Properties>
</file>