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bookmarkStart w:id="0" w:name="_GoBack"/>
      <w:bookmarkEnd w:id="0"/>
      <w:r w:rsidRPr="0000131B">
        <w:rPr>
          <w:rFonts w:hint="cs"/>
          <w:b w:val="0"/>
          <w:bCs w:val="0"/>
          <w:szCs w:val="20"/>
          <w:rtl/>
        </w:rPr>
        <w:t xml:space="preserve">מספר פנימי: </w:t>
      </w:r>
      <w:bookmarkStart w:id="1" w:name="LGS_Internal_ID"/>
      <w:r>
        <w:rPr>
          <w:rFonts w:hint="cs"/>
          <w:b w:val="0"/>
          <w:bCs w:val="0"/>
          <w:szCs w:val="20"/>
          <w:rtl/>
        </w:rPr>
        <w:t>2015817</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w:t>
      </w:r>
      <w:bookmarkEnd w:id="2"/>
    </w:p>
    <w:p w14:paraId="7F6961A3" w14:textId="77777777" w:rsidR="00E13C27" w:rsidRPr="00F67051" w:rsidRDefault="00E13C27" w:rsidP="00E13C27">
      <w:pPr>
        <w:rPr>
          <w:rFonts w:cs="David"/>
          <w:b/>
          <w:bCs/>
          <w:sz w:val="26"/>
          <w:szCs w:val="26"/>
          <w:rtl/>
        </w:rPr>
      </w:pPr>
    </w:p>
    <w:p w14:paraId="7F6961AA" w14:textId="695B7C75" w:rsidR="00E13C27" w:rsidRPr="00CF1AA2" w:rsidRDefault="008F6665" w:rsidP="00F67A64">
      <w:pPr>
        <w:pStyle w:val="David"/>
        <w:spacing w:line="360" w:lineRule="auto"/>
        <w:ind w:left="3544"/>
        <w:rPr>
          <w:b/>
          <w:bCs/>
          <w:sz w:val="16"/>
          <w:szCs w:val="16"/>
          <w:rtl/>
        </w:rPr>
      </w:pPr>
      <w:bookmarkStart w:id="3" w:name="LGS_Initiators_List"/>
      <w:r>
        <w:rPr>
          <w:b/>
          <w:bCs/>
          <w:rtl/>
        </w:rPr>
        <w:t>יוזמים:      חברי הכנסת</w:t>
      </w:r>
      <w:bookmarkEnd w:id="3"/>
      <w:r w:rsidR="00B35784" w:rsidRPr="00F67051">
        <w:rPr>
          <w:b/>
          <w:bCs/>
        </w:rPr>
        <w:tab/>
      </w:r>
      <w:bookmarkStart w:id="4" w:name="LGS_PM_Names"/>
      <w:r>
        <w:rPr>
          <w:rFonts w:hint="cs"/>
          <w:b/>
          <w:bCs/>
          <w:rtl/>
        </w:rPr>
        <w:t>מיכל רוזין</w:t>
      </w:r>
      <w:r>
        <w:br/>
      </w:r>
      <w:r>
        <w:rPr>
          <w:rFonts w:hint="cs"/>
          <w:b/>
          <w:bCs/>
          <w:rtl/>
        </w:rPr>
        <w:t xml:space="preserve"> </w:t>
      </w:r>
      <w:r>
        <w:tab/>
      </w:r>
      <w:r>
        <w:tab/>
      </w:r>
      <w:r>
        <w:tab/>
      </w:r>
      <w:r>
        <w:tab/>
      </w:r>
      <w:r>
        <w:rPr>
          <w:rFonts w:hint="cs"/>
          <w:b/>
          <w:bCs/>
          <w:rtl/>
        </w:rPr>
        <w:t>יוסי יונה</w:t>
      </w:r>
      <w:r>
        <w:br/>
      </w:r>
      <w:r>
        <w:rPr>
          <w:rFonts w:hint="cs"/>
          <w:b/>
          <w:bCs/>
          <w:rtl/>
        </w:rPr>
        <w:t xml:space="preserve"> </w:t>
      </w:r>
      <w:r>
        <w:tab/>
      </w:r>
      <w:r>
        <w:tab/>
      </w:r>
      <w:r>
        <w:tab/>
      </w:r>
      <w:r>
        <w:tab/>
      </w:r>
      <w:r>
        <w:rPr>
          <w:rFonts w:hint="cs"/>
          <w:b/>
          <w:bCs/>
          <w:rtl/>
        </w:rPr>
        <w:t>דוד ביטן</w:t>
      </w:r>
      <w:r>
        <w:br/>
      </w:r>
      <w:r>
        <w:rPr>
          <w:rFonts w:hint="cs"/>
          <w:b/>
          <w:bCs/>
          <w:rtl/>
        </w:rPr>
        <w:t xml:space="preserve"> </w:t>
      </w:r>
      <w:r>
        <w:tab/>
      </w:r>
      <w:r>
        <w:tab/>
      </w:r>
      <w:r>
        <w:tab/>
      </w:r>
      <w:r>
        <w:tab/>
      </w:r>
      <w:r>
        <w:rPr>
          <w:rFonts w:hint="cs"/>
          <w:b/>
          <w:bCs/>
          <w:rtl/>
        </w:rPr>
        <w:t>טלי פלוסקוב</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אלעזר שטרן</w:t>
      </w:r>
      <w:r>
        <w:br/>
      </w:r>
      <w:r>
        <w:rPr>
          <w:rFonts w:hint="cs"/>
          <w:b/>
          <w:bCs/>
          <w:rtl/>
        </w:rPr>
        <w:t xml:space="preserve"> </w:t>
      </w:r>
      <w:r>
        <w:tab/>
      </w:r>
      <w:r>
        <w:tab/>
      </w:r>
      <w:r>
        <w:tab/>
      </w:r>
      <w:r>
        <w:tab/>
      </w:r>
      <w:r>
        <w:rPr>
          <w:rFonts w:hint="cs"/>
          <w:b/>
          <w:bCs/>
          <w:rtl/>
        </w:rPr>
        <w:t>איל בן ראובן</w:t>
      </w:r>
      <w:r>
        <w:br/>
      </w:r>
      <w:r>
        <w:rPr>
          <w:rFonts w:hint="cs"/>
          <w:b/>
          <w:bCs/>
          <w:rtl/>
        </w:rPr>
        <w:t xml:space="preserve"> </w:t>
      </w:r>
      <w:r>
        <w:tab/>
      </w:r>
      <w:r>
        <w:tab/>
      </w:r>
      <w:r>
        <w:tab/>
      </w:r>
      <w:r>
        <w:tab/>
      </w:r>
      <w:r>
        <w:rPr>
          <w:rFonts w:hint="cs"/>
          <w:b/>
          <w:bCs/>
          <w:rtl/>
        </w:rPr>
        <w:t>אוסאמה סעדי</w:t>
      </w:r>
      <w:r>
        <w:br/>
      </w:r>
      <w:r>
        <w:rPr>
          <w:rFonts w:hint="cs"/>
          <w:b/>
          <w:bCs/>
          <w:rtl/>
        </w:rPr>
        <w:t xml:space="preserve"> </w:t>
      </w:r>
      <w:r>
        <w:tab/>
      </w:r>
      <w:r>
        <w:tab/>
      </w:r>
      <w:r>
        <w:tab/>
      </w:r>
      <w:r>
        <w:tab/>
      </w:r>
      <w:r>
        <w:rPr>
          <w:rFonts w:hint="cs"/>
          <w:b/>
          <w:bCs/>
          <w:rtl/>
        </w:rPr>
        <w:t>נחמן שי</w:t>
      </w:r>
      <w:r>
        <w:br/>
      </w:r>
      <w:r>
        <w:rPr>
          <w:rFonts w:hint="cs"/>
          <w:b/>
          <w:bCs/>
          <w:rtl/>
        </w:rPr>
        <w:t xml:space="preserve"> </w:t>
      </w:r>
      <w:r>
        <w:tab/>
      </w:r>
      <w:r>
        <w:tab/>
      </w:r>
      <w:r>
        <w:tab/>
      </w:r>
      <w:r>
        <w:tab/>
      </w:r>
      <w:r>
        <w:rPr>
          <w:rFonts w:hint="cs"/>
          <w:b/>
          <w:bCs/>
          <w:rtl/>
        </w:rPr>
        <w:t>דב חנין</w:t>
      </w:r>
      <w:bookmarkStart w:id="5" w:name="LGS_Join_List"/>
      <w:bookmarkEnd w:id="4"/>
      <w:r w:rsidR="007D585A">
        <w:rPr>
          <w:rtl/>
        </w:rPr>
        <w:t xml:space="preserve"> </w:t>
      </w:r>
      <w:bookmarkEnd w:id="5"/>
      <w:r w:rsidR="002200A1" w:rsidRPr="00CF1AA2">
        <w:rPr>
          <w:rFonts w:hint="cs"/>
          <w:rtl/>
        </w:rPr>
        <w:tab/>
      </w:r>
      <w:bookmarkStart w:id="6" w:name="LGS_PM_NamesJoin"/>
      <w:r w:rsidR="007D585A">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פ/4198/20</w:t>
      </w:r>
      <w:bookmarkEnd w:id="7"/>
    </w:p>
    <w:p w14:paraId="7F6961AC" w14:textId="77777777" w:rsidR="00E13C27" w:rsidRDefault="00E13C27" w:rsidP="00E13C27">
      <w:pPr>
        <w:spacing w:before="0" w:line="360" w:lineRule="auto"/>
        <w:ind w:left="2880" w:firstLine="720"/>
        <w:rPr>
          <w:rFonts w:cs="David"/>
          <w:sz w:val="26"/>
          <w:szCs w:val="26"/>
          <w:rtl/>
        </w:rPr>
      </w:pPr>
    </w:p>
    <w:p w14:paraId="7F6961AD" w14:textId="60185911" w:rsidR="00E13C27" w:rsidRDefault="00D02698" w:rsidP="007948F5">
      <w:pPr>
        <w:pStyle w:val="HeadHatzaotHok"/>
        <w:spacing w:line="240" w:lineRule="auto"/>
        <w:rPr>
          <w:rtl/>
        </w:rPr>
      </w:pPr>
      <w:bookmarkStart w:id="8" w:name="LGS_Subject"/>
      <w:r>
        <w:rPr>
          <w:rFonts w:hint="cs"/>
          <w:rtl/>
        </w:rPr>
        <w:t xml:space="preserve">הצעת חוק שירותי תיירות (תיקון – היתר הדרכה למומחים), </w:t>
      </w:r>
      <w:proofErr w:type="spellStart"/>
      <w:r>
        <w:rPr>
          <w:rFonts w:hint="cs"/>
          <w:rtl/>
        </w:rPr>
        <w:t>התשע"ז</w:t>
      </w:r>
      <w:proofErr w:type="spellEnd"/>
      <w:r>
        <w:rPr>
          <w:rFonts w:hint="cs"/>
          <w:rtl/>
        </w:rPr>
        <w:t>–2017</w:t>
      </w:r>
      <w:bookmarkEnd w:id="8"/>
    </w:p>
    <w:p w14:paraId="0D2BC22F" w14:textId="77777777" w:rsidR="007948F5" w:rsidRDefault="007948F5" w:rsidP="007948F5">
      <w:pPr>
        <w:pStyle w:val="HeadHatzaotHok"/>
        <w:spacing w:line="240" w:lineRule="auto"/>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244EB2" w:rsidRPr="005269AD" w14:paraId="5FEEFA51" w14:textId="77777777" w:rsidTr="007948F5">
        <w:trPr>
          <w:cantSplit/>
          <w:trHeight w:val="60"/>
        </w:trPr>
        <w:tc>
          <w:tcPr>
            <w:tcW w:w="1871" w:type="dxa"/>
          </w:tcPr>
          <w:p w14:paraId="43E7D941" w14:textId="6A34C2E6" w:rsidR="00244EB2" w:rsidRPr="00244EB2" w:rsidRDefault="00244EB2" w:rsidP="003E2774">
            <w:pPr>
              <w:pStyle w:val="TableSideHeading"/>
              <w:keepLines w:val="0"/>
            </w:pPr>
            <w:r w:rsidRPr="00244EB2">
              <w:rPr>
                <w:rFonts w:hint="cs"/>
                <w:rtl/>
              </w:rPr>
              <w:t xml:space="preserve">תיקון סעיף </w:t>
            </w:r>
            <w:r w:rsidR="003E2774">
              <w:rPr>
                <w:rFonts w:hint="cs"/>
                <w:rtl/>
              </w:rPr>
              <w:t>3</w:t>
            </w:r>
          </w:p>
        </w:tc>
        <w:tc>
          <w:tcPr>
            <w:tcW w:w="624" w:type="dxa"/>
          </w:tcPr>
          <w:p w14:paraId="30865AC5" w14:textId="6AA5B785" w:rsidR="00244EB2" w:rsidRPr="00244EB2" w:rsidRDefault="0079232A" w:rsidP="00B62F0B">
            <w:pPr>
              <w:pStyle w:val="TableText"/>
              <w:keepLines w:val="0"/>
            </w:pPr>
            <w:r>
              <w:rPr>
                <w:rFonts w:hint="cs"/>
                <w:rtl/>
              </w:rPr>
              <w:t>1.</w:t>
            </w:r>
          </w:p>
        </w:tc>
        <w:tc>
          <w:tcPr>
            <w:tcW w:w="7146" w:type="dxa"/>
          </w:tcPr>
          <w:p w14:paraId="16CA0A04" w14:textId="20AEB41D" w:rsidR="00244EB2" w:rsidRPr="007F1307" w:rsidRDefault="00244EB2" w:rsidP="008F6AFC">
            <w:pPr>
              <w:pStyle w:val="TableBlock"/>
            </w:pPr>
            <w:r w:rsidRPr="007F1307">
              <w:rPr>
                <w:rFonts w:hint="cs"/>
                <w:rtl/>
              </w:rPr>
              <w:t xml:space="preserve">בחוק שירותי תיירות, </w:t>
            </w:r>
            <w:proofErr w:type="spellStart"/>
            <w:r w:rsidR="004F0D0C" w:rsidRPr="007F1307">
              <w:rPr>
                <w:rFonts w:hint="cs"/>
                <w:rtl/>
              </w:rPr>
              <w:t>ה</w:t>
            </w:r>
            <w:r w:rsidRPr="007F1307">
              <w:rPr>
                <w:rFonts w:hint="cs"/>
                <w:rtl/>
              </w:rPr>
              <w:t>תשל"ו</w:t>
            </w:r>
            <w:proofErr w:type="spellEnd"/>
            <w:r w:rsidR="004F0D0C" w:rsidRPr="007F1307">
              <w:rPr>
                <w:rFonts w:hint="eastAsia"/>
                <w:rtl/>
              </w:rPr>
              <w:t>–</w:t>
            </w:r>
            <w:r w:rsidRPr="007F1307">
              <w:rPr>
                <w:rFonts w:hint="cs"/>
                <w:rtl/>
              </w:rPr>
              <w:t>1976</w:t>
            </w:r>
            <w:r w:rsidR="004F0D0C" w:rsidRPr="00130099">
              <w:rPr>
                <w:szCs w:val="20"/>
                <w:rtl/>
              </w:rPr>
              <w:footnoteReference w:id="2"/>
            </w:r>
            <w:r w:rsidR="007F1307">
              <w:rPr>
                <w:rFonts w:hint="cs"/>
                <w:rtl/>
              </w:rPr>
              <w:t xml:space="preserve">, בסעיף </w:t>
            </w:r>
            <w:r w:rsidR="00D02698">
              <w:rPr>
                <w:rFonts w:hint="cs"/>
                <w:rtl/>
              </w:rPr>
              <w:t>3</w:t>
            </w:r>
            <w:r w:rsidR="007F1307">
              <w:rPr>
                <w:rFonts w:hint="cs"/>
                <w:rtl/>
              </w:rPr>
              <w:t>, אחרי פסקה</w:t>
            </w:r>
            <w:r w:rsidRPr="007F1307">
              <w:rPr>
                <w:rFonts w:hint="cs"/>
                <w:rtl/>
              </w:rPr>
              <w:t xml:space="preserve"> (</w:t>
            </w:r>
            <w:r w:rsidR="0079232A">
              <w:rPr>
                <w:rFonts w:hint="cs"/>
                <w:rtl/>
              </w:rPr>
              <w:t>1</w:t>
            </w:r>
            <w:r w:rsidRPr="007F1307">
              <w:rPr>
                <w:rFonts w:hint="cs"/>
                <w:rtl/>
              </w:rPr>
              <w:t>)</w:t>
            </w:r>
            <w:r w:rsidR="00D02698">
              <w:rPr>
                <w:rFonts w:hint="cs"/>
                <w:rtl/>
              </w:rPr>
              <w:t xml:space="preserve"> </w:t>
            </w:r>
            <w:r w:rsidRPr="007F1307">
              <w:rPr>
                <w:rFonts w:hint="cs"/>
                <w:rtl/>
              </w:rPr>
              <w:t>יבוא:</w:t>
            </w:r>
          </w:p>
        </w:tc>
      </w:tr>
      <w:tr w:rsidR="002F1D80" w14:paraId="035EEF3D" w14:textId="77777777" w:rsidTr="007948F5">
        <w:trPr>
          <w:cantSplit/>
          <w:trHeight w:val="60"/>
        </w:trPr>
        <w:tc>
          <w:tcPr>
            <w:tcW w:w="1871" w:type="dxa"/>
          </w:tcPr>
          <w:p w14:paraId="3863FF98" w14:textId="77777777" w:rsidR="002F1D80" w:rsidRPr="00244EB2" w:rsidRDefault="002F1D80" w:rsidP="002C3041">
            <w:pPr>
              <w:pStyle w:val="TableSideHeading"/>
              <w:keepLines w:val="0"/>
            </w:pPr>
          </w:p>
        </w:tc>
        <w:tc>
          <w:tcPr>
            <w:tcW w:w="624" w:type="dxa"/>
          </w:tcPr>
          <w:p w14:paraId="6F513EF6" w14:textId="77777777" w:rsidR="002F1D80" w:rsidRDefault="002F1D80" w:rsidP="002C3041">
            <w:pPr>
              <w:pStyle w:val="TableText"/>
              <w:keepLines w:val="0"/>
            </w:pPr>
          </w:p>
        </w:tc>
        <w:tc>
          <w:tcPr>
            <w:tcW w:w="7146" w:type="dxa"/>
          </w:tcPr>
          <w:p w14:paraId="1AE94DEB" w14:textId="3FB9C7E7" w:rsidR="002F1D80" w:rsidRPr="00C34DE2" w:rsidRDefault="003E2774" w:rsidP="00130099">
            <w:pPr>
              <w:pStyle w:val="TableBlock"/>
            </w:pPr>
            <w:r>
              <w:rPr>
                <w:rFonts w:hint="cs"/>
                <w:rtl/>
              </w:rPr>
              <w:t>"</w:t>
            </w:r>
            <w:r w:rsidR="00A4708A">
              <w:rPr>
                <w:rFonts w:hint="cs"/>
                <w:rtl/>
              </w:rPr>
              <w:t>(1א)</w:t>
            </w:r>
            <w:r w:rsidR="00A4708A">
              <w:rPr>
                <w:rtl/>
              </w:rPr>
              <w:tab/>
            </w:r>
            <w:r w:rsidR="00D02698">
              <w:rPr>
                <w:rFonts w:hint="cs"/>
                <w:rtl/>
              </w:rPr>
              <w:t>הוראות לעניין פטור מחובת רישוי לפי חוק זה ל</w:t>
            </w:r>
            <w:r w:rsidR="007F1307" w:rsidRPr="007F1307">
              <w:rPr>
                <w:rFonts w:hint="cs"/>
                <w:rtl/>
              </w:rPr>
              <w:t>מומחים</w:t>
            </w:r>
            <w:r w:rsidR="00D02698">
              <w:rPr>
                <w:rFonts w:hint="cs"/>
                <w:rtl/>
              </w:rPr>
              <w:t xml:space="preserve"> המבקשים להדריך בתחום מומחיותם</w:t>
            </w:r>
            <w:r w:rsidR="00293FD3">
              <w:rPr>
                <w:rFonts w:hint="cs"/>
                <w:rtl/>
              </w:rPr>
              <w:t>, ובכלל זה ה</w:t>
            </w:r>
            <w:r w:rsidR="00D02698">
              <w:rPr>
                <w:rFonts w:hint="cs"/>
                <w:rtl/>
              </w:rPr>
              <w:t xml:space="preserve">וראות לעניין </w:t>
            </w:r>
            <w:r w:rsidR="00293FD3">
              <w:rPr>
                <w:rFonts w:hint="cs"/>
                <w:rtl/>
              </w:rPr>
              <w:t xml:space="preserve">הכשרה וכשירות </w:t>
            </w:r>
            <w:r w:rsidR="00D02698">
              <w:rPr>
                <w:rFonts w:hint="cs"/>
                <w:rtl/>
              </w:rPr>
              <w:t>של מומחים כאמור ומתן היתר הדרכה</w:t>
            </w:r>
            <w:r>
              <w:rPr>
                <w:rFonts w:hint="cs"/>
                <w:rtl/>
              </w:rPr>
              <w:t xml:space="preserve"> לאותם מומחים</w:t>
            </w:r>
            <w:r w:rsidR="007F1307" w:rsidRPr="007F1307">
              <w:rPr>
                <w:rFonts w:hint="cs"/>
                <w:rtl/>
              </w:rPr>
              <w:t>.</w:t>
            </w:r>
            <w:r w:rsidR="0079232A">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207F366D" w14:textId="61D92FCE" w:rsidR="0079232A" w:rsidRDefault="00D02698" w:rsidP="00F67A64">
      <w:pPr>
        <w:pStyle w:val="Hesber"/>
        <w:rPr>
          <w:rtl/>
        </w:rPr>
      </w:pPr>
      <w:r>
        <w:rPr>
          <w:rtl/>
        </w:rPr>
        <w:t xml:space="preserve">חוק שירותי </w:t>
      </w:r>
      <w:r w:rsidR="00244EB2" w:rsidRPr="00130099">
        <w:rPr>
          <w:rtl/>
        </w:rPr>
        <w:t>תיירות</w:t>
      </w:r>
      <w:r w:rsidR="003E2774">
        <w:rPr>
          <w:rFonts w:hint="cs"/>
          <w:rtl/>
        </w:rPr>
        <w:t>,</w:t>
      </w:r>
      <w:r>
        <w:rPr>
          <w:rFonts w:hint="cs"/>
          <w:rtl/>
        </w:rPr>
        <w:t xml:space="preserve"> </w:t>
      </w:r>
      <w:proofErr w:type="spellStart"/>
      <w:r>
        <w:rPr>
          <w:rFonts w:hint="cs"/>
          <w:rtl/>
        </w:rPr>
        <w:t>התשל"ו</w:t>
      </w:r>
      <w:proofErr w:type="spellEnd"/>
      <w:r>
        <w:rPr>
          <w:rFonts w:hint="eastAsia"/>
          <w:rtl/>
        </w:rPr>
        <w:t>–1976</w:t>
      </w:r>
      <w:r w:rsidR="00F67A64">
        <w:rPr>
          <w:rFonts w:hint="cs"/>
          <w:rtl/>
        </w:rPr>
        <w:t xml:space="preserve"> (להלן </w:t>
      </w:r>
      <w:r w:rsidR="00F67A64">
        <w:rPr>
          <w:rFonts w:hint="eastAsia"/>
          <w:rtl/>
        </w:rPr>
        <w:t>–</w:t>
      </w:r>
      <w:r w:rsidR="00F67A64">
        <w:rPr>
          <w:rFonts w:hint="cs"/>
          <w:rtl/>
        </w:rPr>
        <w:t xml:space="preserve"> החוק)</w:t>
      </w:r>
      <w:r w:rsidR="00342EE5">
        <w:rPr>
          <w:rFonts w:hint="cs"/>
          <w:rtl/>
        </w:rPr>
        <w:t>,</w:t>
      </w:r>
      <w:r w:rsidR="00F67A64">
        <w:rPr>
          <w:rFonts w:hint="cs"/>
          <w:rtl/>
        </w:rPr>
        <w:t xml:space="preserve"> </w:t>
      </w:r>
      <w:r w:rsidR="00244EB2" w:rsidRPr="00130099">
        <w:rPr>
          <w:rtl/>
        </w:rPr>
        <w:t>נחקק בשנת 1976</w:t>
      </w:r>
      <w:r w:rsidR="003E2774">
        <w:rPr>
          <w:rFonts w:hint="cs"/>
          <w:rtl/>
        </w:rPr>
        <w:t>,</w:t>
      </w:r>
      <w:r w:rsidR="00244EB2" w:rsidRPr="00130099">
        <w:rPr>
          <w:rtl/>
        </w:rPr>
        <w:t xml:space="preserve"> ואין ב</w:t>
      </w:r>
      <w:r w:rsidR="003E2774">
        <w:rPr>
          <w:rFonts w:hint="cs"/>
          <w:rtl/>
        </w:rPr>
        <w:t>נ</w:t>
      </w:r>
      <w:r w:rsidR="00244EB2" w:rsidRPr="00130099">
        <w:rPr>
          <w:rtl/>
        </w:rPr>
        <w:t>ו</w:t>
      </w:r>
      <w:r w:rsidR="003E2774">
        <w:rPr>
          <w:rFonts w:hint="cs"/>
          <w:rtl/>
        </w:rPr>
        <w:t>סחו הנוכחי</w:t>
      </w:r>
      <w:r w:rsidR="00244EB2" w:rsidRPr="00130099">
        <w:rPr>
          <w:rtl/>
        </w:rPr>
        <w:t xml:space="preserve"> כל התייחסות להתפתחות </w:t>
      </w:r>
      <w:r w:rsidR="0079232A" w:rsidRPr="00130099">
        <w:rPr>
          <w:rtl/>
        </w:rPr>
        <w:t>הע</w:t>
      </w:r>
      <w:r w:rsidR="0079232A">
        <w:rPr>
          <w:rFonts w:hint="cs"/>
          <w:rtl/>
        </w:rPr>
        <w:t>נפה</w:t>
      </w:r>
      <w:r w:rsidR="0079232A" w:rsidRPr="00130099">
        <w:rPr>
          <w:rtl/>
        </w:rPr>
        <w:t xml:space="preserve"> </w:t>
      </w:r>
      <w:r w:rsidR="00244EB2" w:rsidRPr="00130099">
        <w:rPr>
          <w:rtl/>
        </w:rPr>
        <w:t xml:space="preserve">שחלה בתחום </w:t>
      </w:r>
      <w:r>
        <w:rPr>
          <w:rFonts w:hint="cs"/>
          <w:rtl/>
        </w:rPr>
        <w:t xml:space="preserve">התיירות </w:t>
      </w:r>
      <w:r w:rsidR="00244EB2" w:rsidRPr="00130099">
        <w:rPr>
          <w:rtl/>
        </w:rPr>
        <w:t xml:space="preserve">בעשרות השנים האחרונות. </w:t>
      </w:r>
    </w:p>
    <w:p w14:paraId="55DE54F3" w14:textId="3EC8E222" w:rsidR="00244EB2" w:rsidRPr="00130099" w:rsidRDefault="00A4708A" w:rsidP="00130099">
      <w:pPr>
        <w:pStyle w:val="Hesber"/>
        <w:rPr>
          <w:rtl/>
        </w:rPr>
      </w:pPr>
      <w:r>
        <w:rPr>
          <w:rtl/>
        </w:rPr>
        <w:t>מסלול ההכשרה של מורי דרך</w:t>
      </w:r>
      <w:r w:rsidR="0079232A">
        <w:rPr>
          <w:rFonts w:hint="cs"/>
          <w:rtl/>
        </w:rPr>
        <w:t xml:space="preserve">, </w:t>
      </w:r>
      <w:r w:rsidR="00B719CB">
        <w:rPr>
          <w:rFonts w:hint="cs"/>
          <w:rtl/>
        </w:rPr>
        <w:t>לפי</w:t>
      </w:r>
      <w:r w:rsidR="0079232A">
        <w:rPr>
          <w:rFonts w:hint="cs"/>
          <w:rtl/>
        </w:rPr>
        <w:t xml:space="preserve"> תקנות שירותי תיירות (מורי דרך), </w:t>
      </w:r>
      <w:proofErr w:type="spellStart"/>
      <w:r w:rsidR="0079232A">
        <w:rPr>
          <w:rFonts w:hint="cs"/>
          <w:rtl/>
        </w:rPr>
        <w:t>התשכ"ז</w:t>
      </w:r>
      <w:proofErr w:type="spellEnd"/>
      <w:r w:rsidR="0079232A">
        <w:rPr>
          <w:rFonts w:hint="eastAsia"/>
          <w:rtl/>
        </w:rPr>
        <w:t>–1967</w:t>
      </w:r>
      <w:r w:rsidR="0079232A">
        <w:rPr>
          <w:rFonts w:hint="cs"/>
          <w:rtl/>
        </w:rPr>
        <w:t>,</w:t>
      </w:r>
      <w:r w:rsidR="00244EB2" w:rsidRPr="00130099">
        <w:rPr>
          <w:rtl/>
        </w:rPr>
        <w:t xml:space="preserve"> ו</w:t>
      </w:r>
      <w:r w:rsidR="009F0688">
        <w:rPr>
          <w:rFonts w:hint="cs"/>
          <w:rtl/>
        </w:rPr>
        <w:t xml:space="preserve">התניית </w:t>
      </w:r>
      <w:r>
        <w:rPr>
          <w:rFonts w:hint="cs"/>
          <w:rtl/>
        </w:rPr>
        <w:t xml:space="preserve">חידוש </w:t>
      </w:r>
      <w:r w:rsidR="0079232A">
        <w:rPr>
          <w:rFonts w:hint="cs"/>
          <w:rtl/>
        </w:rPr>
        <w:lastRenderedPageBreak/>
        <w:t>רישיון</w:t>
      </w:r>
      <w:r w:rsidR="00F67A64">
        <w:rPr>
          <w:rFonts w:hint="cs"/>
          <w:rtl/>
        </w:rPr>
        <w:t xml:space="preserve"> מורה דרך</w:t>
      </w:r>
      <w:r w:rsidR="0079232A">
        <w:rPr>
          <w:rFonts w:hint="cs"/>
          <w:rtl/>
        </w:rPr>
        <w:t xml:space="preserve"> בקורסים ובהשתלמויות, </w:t>
      </w:r>
      <w:r w:rsidR="00244EB2" w:rsidRPr="00130099">
        <w:rPr>
          <w:rtl/>
        </w:rPr>
        <w:t>מעניק ל</w:t>
      </w:r>
      <w:r w:rsidR="0079232A">
        <w:rPr>
          <w:rFonts w:hint="cs"/>
          <w:rtl/>
        </w:rPr>
        <w:t>מורה הדרך י</w:t>
      </w:r>
      <w:r w:rsidR="00244EB2" w:rsidRPr="00130099">
        <w:rPr>
          <w:rtl/>
        </w:rPr>
        <w:t xml:space="preserve">דע </w:t>
      </w:r>
      <w:r w:rsidR="0079232A" w:rsidRPr="00130099">
        <w:rPr>
          <w:rtl/>
        </w:rPr>
        <w:t>ו</w:t>
      </w:r>
      <w:r w:rsidR="0079232A">
        <w:rPr>
          <w:rFonts w:hint="cs"/>
          <w:rtl/>
        </w:rPr>
        <w:t>כשירות</w:t>
      </w:r>
      <w:r w:rsidR="0079232A" w:rsidRPr="00130099">
        <w:rPr>
          <w:rtl/>
        </w:rPr>
        <w:t xml:space="preserve"> </w:t>
      </w:r>
      <w:r w:rsidR="00244EB2" w:rsidRPr="00130099">
        <w:rPr>
          <w:rtl/>
        </w:rPr>
        <w:t xml:space="preserve">להדריך כל קבוצת מטיילים, בכל נושא ובכל מקום ואתר בישראל. נוסח החוק אינו מתייחס כלל להדרכת מומחים, בתחום התמחותם, באתרים ובנושאים בהם העמיקו חקר ופרסמו ידע מקורי שמסייע בין השאר, לעמיתיהם מורי הדרך. </w:t>
      </w:r>
    </w:p>
    <w:p w14:paraId="4D6DDEAB" w14:textId="2D8EBB91" w:rsidR="00244EB2" w:rsidRPr="00130099" w:rsidRDefault="00244EB2" w:rsidP="00F67A64">
      <w:pPr>
        <w:pStyle w:val="Hesber"/>
        <w:rPr>
          <w:rtl/>
        </w:rPr>
      </w:pPr>
      <w:r w:rsidRPr="00130099">
        <w:rPr>
          <w:rtl/>
        </w:rPr>
        <w:t>מזה שנים רבות מתקיימת בישראל פעילות תרבותית מבורכת של סיורים המתמקדים בנושאים מתחומי התרבות היצירה והמורשת הישראלית. מדריכי הסיורים הללו הם מומחים</w:t>
      </w:r>
      <w:r w:rsidR="0079232A">
        <w:rPr>
          <w:rFonts w:hint="cs"/>
          <w:rtl/>
        </w:rPr>
        <w:t xml:space="preserve"> במגוון תחומים </w:t>
      </w:r>
      <w:r w:rsidR="00F67A64">
        <w:rPr>
          <w:rFonts w:hint="cs"/>
          <w:rtl/>
        </w:rPr>
        <w:t>כגון</w:t>
      </w:r>
      <w:r w:rsidRPr="00130099">
        <w:rPr>
          <w:rtl/>
        </w:rPr>
        <w:t xml:space="preserve"> היסטוריונים,</w:t>
      </w:r>
      <w:r w:rsidR="00F67A64">
        <w:rPr>
          <w:rtl/>
        </w:rPr>
        <w:t xml:space="preserve"> סופרים, אדריכלים, ארכיאולוגים</w:t>
      </w:r>
      <w:r w:rsidR="00F67A64">
        <w:rPr>
          <w:rFonts w:hint="cs"/>
          <w:rtl/>
        </w:rPr>
        <w:t xml:space="preserve"> ו</w:t>
      </w:r>
      <w:r w:rsidRPr="00130099">
        <w:rPr>
          <w:rtl/>
        </w:rPr>
        <w:t xml:space="preserve">אנשי רוח </w:t>
      </w:r>
      <w:r w:rsidR="0079232A">
        <w:rPr>
          <w:rFonts w:hint="cs"/>
          <w:rtl/>
        </w:rPr>
        <w:t>א</w:t>
      </w:r>
      <w:r w:rsidRPr="00130099">
        <w:rPr>
          <w:rtl/>
        </w:rPr>
        <w:t>ו</w:t>
      </w:r>
      <w:r w:rsidR="0079232A">
        <w:rPr>
          <w:rFonts w:hint="cs"/>
          <w:rtl/>
        </w:rPr>
        <w:t xml:space="preserve"> </w:t>
      </w:r>
      <w:r w:rsidRPr="00130099">
        <w:rPr>
          <w:rtl/>
        </w:rPr>
        <w:t xml:space="preserve">יוצרים. </w:t>
      </w:r>
    </w:p>
    <w:p w14:paraId="0B0431A6" w14:textId="60D6F7EF" w:rsidR="00244EB2" w:rsidRPr="00130099" w:rsidRDefault="00244EB2" w:rsidP="00130099">
      <w:pPr>
        <w:pStyle w:val="Hesber"/>
        <w:rPr>
          <w:rtl/>
        </w:rPr>
      </w:pPr>
      <w:r w:rsidRPr="00130099">
        <w:rPr>
          <w:rtl/>
        </w:rPr>
        <w:t xml:space="preserve">החוק בנוסחו </w:t>
      </w:r>
      <w:r w:rsidR="00D02698">
        <w:rPr>
          <w:rFonts w:hint="cs"/>
          <w:rtl/>
        </w:rPr>
        <w:t>הנוכחי</w:t>
      </w:r>
      <w:r w:rsidRPr="00130099">
        <w:rPr>
          <w:rtl/>
        </w:rPr>
        <w:t xml:space="preserve"> מונע מארכיאולוגים להדריך באתרים אותם חקרו, מסופרים להוביל מטיילים בעקבות ספריהם </w:t>
      </w:r>
      <w:r w:rsidR="00D02698">
        <w:rPr>
          <w:rtl/>
        </w:rPr>
        <w:t xml:space="preserve">ואדריכלים בעקבות מבנים לשימור. </w:t>
      </w:r>
      <w:r w:rsidRPr="00130099">
        <w:rPr>
          <w:rtl/>
        </w:rPr>
        <w:t xml:space="preserve">מומחים </w:t>
      </w:r>
      <w:r w:rsidR="00D02698">
        <w:rPr>
          <w:rFonts w:hint="cs"/>
          <w:rtl/>
        </w:rPr>
        <w:t>אלה</w:t>
      </w:r>
      <w:r w:rsidRPr="00130099">
        <w:rPr>
          <w:rtl/>
        </w:rPr>
        <w:t xml:space="preserve"> אינם מעוניינים ואינם מתיימרים להדריך במקומות שאינם בתחום התמחותם</w:t>
      </w:r>
      <w:r w:rsidR="00D02698">
        <w:rPr>
          <w:rFonts w:hint="cs"/>
          <w:rtl/>
        </w:rPr>
        <w:t>,</w:t>
      </w:r>
      <w:r w:rsidRPr="00130099">
        <w:rPr>
          <w:rtl/>
        </w:rPr>
        <w:t xml:space="preserve"> ובשל העדר התייחסות נאותה בחוק, הם הופכים לעבריינים בעל כור</w:t>
      </w:r>
      <w:r w:rsidR="00D02698">
        <w:rPr>
          <w:rFonts w:hint="cs"/>
          <w:rtl/>
        </w:rPr>
        <w:t>ח</w:t>
      </w:r>
      <w:r w:rsidRPr="00130099">
        <w:rPr>
          <w:rtl/>
        </w:rPr>
        <w:t xml:space="preserve">ם כאשר הם מנחילים את הידע שברשותם. </w:t>
      </w:r>
    </w:p>
    <w:p w14:paraId="571DE138" w14:textId="3EFF7C35" w:rsidR="00244EB2" w:rsidRPr="00130099" w:rsidRDefault="00244EB2" w:rsidP="00130099">
      <w:pPr>
        <w:pStyle w:val="Hesber"/>
        <w:rPr>
          <w:rtl/>
        </w:rPr>
      </w:pPr>
      <w:r w:rsidRPr="00130099">
        <w:rPr>
          <w:rtl/>
        </w:rPr>
        <w:t xml:space="preserve">יצוין </w:t>
      </w:r>
      <w:r w:rsidR="00B719CB">
        <w:rPr>
          <w:rFonts w:hint="cs"/>
          <w:rtl/>
        </w:rPr>
        <w:t xml:space="preserve">כי </w:t>
      </w:r>
      <w:r w:rsidRPr="00130099">
        <w:rPr>
          <w:rtl/>
        </w:rPr>
        <w:t>הדרכתם של מומחים אינה פוגעת כלל וכלל במורי הדרך בעלי הרישיון, אלא ההפך הוא הנכון. מדריכים רבים מס</w:t>
      </w:r>
      <w:r w:rsidR="0079232A">
        <w:rPr>
          <w:rFonts w:hint="cs"/>
          <w:rtl/>
        </w:rPr>
        <w:t>ת</w:t>
      </w:r>
      <w:r w:rsidR="00F67A64">
        <w:rPr>
          <w:rtl/>
        </w:rPr>
        <w:t>ייעים</w:t>
      </w:r>
      <w:r w:rsidRPr="00130099">
        <w:rPr>
          <w:rtl/>
        </w:rPr>
        <w:t xml:space="preserve"> בספרים, במחקרים ובמאמרים אשר נכתבו על ידי אותם חוקרים המומחים בתחומם. </w:t>
      </w:r>
    </w:p>
    <w:p w14:paraId="3055FB42" w14:textId="02E82376" w:rsidR="00244EB2" w:rsidRPr="00130099" w:rsidRDefault="00244EB2" w:rsidP="00130099">
      <w:pPr>
        <w:pStyle w:val="Hesber"/>
        <w:rPr>
          <w:rtl/>
        </w:rPr>
      </w:pPr>
      <w:r w:rsidRPr="00130099">
        <w:rPr>
          <w:rtl/>
        </w:rPr>
        <w:t>לצערנו</w:t>
      </w:r>
      <w:r w:rsidR="00B719CB">
        <w:rPr>
          <w:rFonts w:hint="cs"/>
          <w:rtl/>
        </w:rPr>
        <w:t>,</w:t>
      </w:r>
      <w:r w:rsidRPr="00130099">
        <w:rPr>
          <w:rtl/>
        </w:rPr>
        <w:t xml:space="preserve"> </w:t>
      </w:r>
      <w:r w:rsidR="00D02698">
        <w:rPr>
          <w:rFonts w:hint="cs"/>
          <w:rtl/>
        </w:rPr>
        <w:t>המצב הקיים</w:t>
      </w:r>
      <w:r w:rsidR="00130099">
        <w:rPr>
          <w:rFonts w:hint="cs"/>
          <w:rtl/>
        </w:rPr>
        <w:t xml:space="preserve">, המונע ממומחים להדריך בתחום מומחיותם, עלול </w:t>
      </w:r>
      <w:r w:rsidRPr="00130099">
        <w:rPr>
          <w:rtl/>
        </w:rPr>
        <w:t xml:space="preserve">להמיט מכה על המפעל החשוב של הנחלת הידע לרבים. </w:t>
      </w:r>
    </w:p>
    <w:p w14:paraId="7F6961CB" w14:textId="3760725B" w:rsidR="00E13C27" w:rsidRDefault="00293FD3" w:rsidP="00A4708A">
      <w:pPr>
        <w:pStyle w:val="Hesber"/>
        <w:rPr>
          <w:rtl/>
        </w:rPr>
      </w:pPr>
      <w:r>
        <w:rPr>
          <w:rFonts w:hint="cs"/>
          <w:rtl/>
        </w:rPr>
        <w:t>בהצעת חוק</w:t>
      </w:r>
      <w:r w:rsidR="00A4708A">
        <w:rPr>
          <w:rFonts w:hint="cs"/>
          <w:rtl/>
        </w:rPr>
        <w:t xml:space="preserve"> זו</w:t>
      </w:r>
      <w:r>
        <w:rPr>
          <w:rFonts w:hint="cs"/>
          <w:rtl/>
        </w:rPr>
        <w:t xml:space="preserve"> מוצע</w:t>
      </w:r>
      <w:r w:rsidR="0079232A">
        <w:rPr>
          <w:rFonts w:hint="cs"/>
          <w:rtl/>
        </w:rPr>
        <w:t xml:space="preserve"> לאפשר</w:t>
      </w:r>
      <w:r w:rsidR="004B6321" w:rsidRPr="0079232A">
        <w:rPr>
          <w:rtl/>
        </w:rPr>
        <w:t xml:space="preserve"> </w:t>
      </w:r>
      <w:r w:rsidR="0079232A">
        <w:rPr>
          <w:rFonts w:hint="cs"/>
          <w:rtl/>
        </w:rPr>
        <w:t>ל</w:t>
      </w:r>
      <w:r w:rsidR="004B6321" w:rsidRPr="0079232A">
        <w:rPr>
          <w:rFonts w:hint="eastAsia"/>
          <w:rtl/>
        </w:rPr>
        <w:t>מומחים</w:t>
      </w:r>
      <w:r w:rsidR="004B6321" w:rsidRPr="0079232A">
        <w:rPr>
          <w:rtl/>
        </w:rPr>
        <w:t xml:space="preserve"> אשר </w:t>
      </w:r>
      <w:r w:rsidR="00B719CB">
        <w:rPr>
          <w:rFonts w:hint="cs"/>
          <w:rtl/>
        </w:rPr>
        <w:t>חפצים</w:t>
      </w:r>
      <w:r w:rsidR="004B6321" w:rsidRPr="0079232A">
        <w:rPr>
          <w:rtl/>
        </w:rPr>
        <w:t xml:space="preserve"> להדריך בתחום התמחותם</w:t>
      </w:r>
      <w:r w:rsidR="00B719CB">
        <w:rPr>
          <w:rFonts w:hint="cs"/>
          <w:rtl/>
        </w:rPr>
        <w:t>,</w:t>
      </w:r>
      <w:r w:rsidR="004B6321" w:rsidRPr="0079232A">
        <w:rPr>
          <w:rtl/>
        </w:rPr>
        <w:t xml:space="preserve"> </w:t>
      </w:r>
      <w:r w:rsidR="00B719CB">
        <w:rPr>
          <w:rFonts w:hint="cs"/>
          <w:rtl/>
        </w:rPr>
        <w:t>לקבל היתר מיוחד לכך</w:t>
      </w:r>
      <w:r w:rsidR="004B6321" w:rsidRPr="0079232A">
        <w:rPr>
          <w:rtl/>
        </w:rPr>
        <w:t xml:space="preserve"> בהתאם לתקנות אשר י</w:t>
      </w:r>
      <w:r w:rsidR="00A4708A">
        <w:rPr>
          <w:rFonts w:hint="cs"/>
          <w:rtl/>
        </w:rPr>
        <w:t>תקין</w:t>
      </w:r>
      <w:r w:rsidR="004B6321" w:rsidRPr="0079232A">
        <w:rPr>
          <w:rtl/>
        </w:rPr>
        <w:t xml:space="preserve"> שר התיירות, ללא צורך בקבלת ר</w:t>
      </w:r>
      <w:r w:rsidR="00B719CB">
        <w:rPr>
          <w:rFonts w:hint="cs"/>
          <w:rtl/>
        </w:rPr>
        <w:t>י</w:t>
      </w:r>
      <w:r w:rsidR="004B6321" w:rsidRPr="0079232A">
        <w:rPr>
          <w:rFonts w:hint="eastAsia"/>
          <w:rtl/>
        </w:rPr>
        <w:t>שיון</w:t>
      </w:r>
      <w:r w:rsidR="00130099">
        <w:rPr>
          <w:rtl/>
        </w:rPr>
        <w:t xml:space="preserve"> מור</w:t>
      </w:r>
      <w:r w:rsidR="00130099">
        <w:rPr>
          <w:rFonts w:hint="cs"/>
          <w:rtl/>
        </w:rPr>
        <w:t>ה</w:t>
      </w:r>
      <w:r w:rsidR="004B6321" w:rsidRPr="0079232A">
        <w:rPr>
          <w:rtl/>
        </w:rPr>
        <w:t xml:space="preserve"> </w:t>
      </w:r>
      <w:r w:rsidR="004B6321" w:rsidRPr="0079232A">
        <w:rPr>
          <w:rFonts w:hint="eastAsia"/>
          <w:rtl/>
        </w:rPr>
        <w:t>דרך</w:t>
      </w:r>
      <w:r w:rsidR="004B6321" w:rsidRPr="0079232A">
        <w:rPr>
          <w:rtl/>
        </w:rPr>
        <w:t>.</w:t>
      </w:r>
    </w:p>
    <w:p w14:paraId="666141A6" w14:textId="16C23A3D" w:rsidR="00F67A64" w:rsidRDefault="00F67A64" w:rsidP="00A4708A">
      <w:pPr>
        <w:pStyle w:val="Hesber"/>
        <w:rPr>
          <w:rtl/>
        </w:rPr>
      </w:pPr>
    </w:p>
    <w:p w14:paraId="4FEEC9D8" w14:textId="77777777" w:rsidR="00F67A64" w:rsidRDefault="00F67A64" w:rsidP="00A4708A">
      <w:pPr>
        <w:pStyle w:val="Hesber"/>
        <w:rPr>
          <w:rtl/>
        </w:rPr>
      </w:pPr>
    </w:p>
    <w:p w14:paraId="428C461D" w14:textId="7E6C5891" w:rsidR="00F67A64" w:rsidRDefault="00F67A64" w:rsidP="00A4708A">
      <w:pPr>
        <w:pStyle w:val="Hesber"/>
        <w:rPr>
          <w:rtl/>
        </w:rPr>
      </w:pPr>
    </w:p>
    <w:p w14:paraId="13B739AE" w14:textId="77777777" w:rsidR="00F67A64" w:rsidRPr="00D73212" w:rsidRDefault="00F67A64" w:rsidP="00F67A64">
      <w:pPr>
        <w:pStyle w:val="Hesber"/>
        <w:rPr>
          <w:color w:val="auto"/>
          <w:rtl/>
          <w:lang w:eastAsia="en-US"/>
        </w:rPr>
      </w:pPr>
      <w:r w:rsidRPr="00D73212">
        <w:rPr>
          <w:color w:val="auto"/>
          <w:rtl/>
          <w:lang w:eastAsia="en-US"/>
        </w:rPr>
        <w:t>---------------------------------</w:t>
      </w:r>
    </w:p>
    <w:p w14:paraId="772C91B6" w14:textId="77777777" w:rsidR="00F67A64" w:rsidRPr="00D73212" w:rsidRDefault="00F67A64" w:rsidP="00F67A64">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3DEFA97" w14:textId="77777777" w:rsidR="00F67A64" w:rsidRPr="00D73212" w:rsidRDefault="00F67A64" w:rsidP="00F67A64">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C4035EB" w14:textId="77777777" w:rsidR="00F67A64" w:rsidRPr="00317312" w:rsidRDefault="00F67A64" w:rsidP="00F67A64">
      <w:pPr>
        <w:pStyle w:val="Hesber"/>
      </w:pPr>
      <w:r>
        <w:rPr>
          <w:rFonts w:hint="cs"/>
          <w:color w:val="auto"/>
          <w:rtl/>
          <w:lang w:eastAsia="en-US"/>
        </w:rPr>
        <w:t>י"ב באייר</w:t>
      </w:r>
      <w:r w:rsidRPr="00D73212">
        <w:rPr>
          <w:color w:val="auto"/>
          <w:rtl/>
          <w:lang w:eastAsia="en-US"/>
        </w:rPr>
        <w:t xml:space="preserve"> </w:t>
      </w:r>
      <w:proofErr w:type="spellStart"/>
      <w:r w:rsidRPr="00D73212">
        <w:rPr>
          <w:rFonts w:hint="cs"/>
          <w:color w:val="auto"/>
          <w:rtl/>
          <w:lang w:eastAsia="en-US"/>
        </w:rPr>
        <w:t>התשע</w:t>
      </w:r>
      <w:r w:rsidRPr="00D73212">
        <w:rPr>
          <w:color w:val="auto"/>
          <w:rtl/>
          <w:lang w:eastAsia="en-US"/>
        </w:rPr>
        <w:t>"</w:t>
      </w:r>
      <w:r>
        <w:rPr>
          <w:rFonts w:hint="cs"/>
          <w:color w:val="auto"/>
          <w:rtl/>
          <w:lang w:eastAsia="en-US"/>
        </w:rPr>
        <w:t>ז</w:t>
      </w:r>
      <w:proofErr w:type="spellEnd"/>
      <w:r w:rsidRPr="00D73212">
        <w:rPr>
          <w:color w:val="auto"/>
          <w:rtl/>
          <w:lang w:eastAsia="en-US"/>
        </w:rPr>
        <w:t xml:space="preserve"> – </w:t>
      </w:r>
      <w:r>
        <w:rPr>
          <w:rFonts w:hint="cs"/>
          <w:color w:val="auto"/>
          <w:rtl/>
          <w:lang w:eastAsia="en-US"/>
        </w:rPr>
        <w:t>8.5</w:t>
      </w:r>
      <w:r w:rsidRPr="00D73212">
        <w:rPr>
          <w:color w:val="auto"/>
          <w:rtl/>
          <w:lang w:eastAsia="en-US"/>
        </w:rPr>
        <w:t>.</w:t>
      </w:r>
      <w:r>
        <w:rPr>
          <w:rFonts w:hint="cs"/>
          <w:color w:val="auto"/>
          <w:rtl/>
          <w:lang w:eastAsia="en-US"/>
        </w:rPr>
        <w:t>17</w:t>
      </w:r>
    </w:p>
    <w:p w14:paraId="6D841025" w14:textId="77777777" w:rsidR="00F67A64" w:rsidRPr="00F67A64" w:rsidRDefault="00F67A64" w:rsidP="00A4708A">
      <w:pPr>
        <w:pStyle w:val="Hesber"/>
        <w:rPr>
          <w:rtl/>
        </w:rPr>
      </w:pPr>
    </w:p>
    <w:p w14:paraId="13E70F93" w14:textId="77777777" w:rsidR="00F67A64" w:rsidRPr="0079232A" w:rsidRDefault="00F67A64" w:rsidP="00A4708A">
      <w:pPr>
        <w:pStyle w:val="Hesber"/>
        <w:rPr>
          <w:rtl/>
        </w:rPr>
      </w:pPr>
    </w:p>
    <w:sectPr w:rsidR="00F67A64" w:rsidRPr="0079232A"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DE842" w14:textId="77777777" w:rsidR="007C7A84" w:rsidRDefault="007C7A84">
      <w:r>
        <w:separator/>
      </w:r>
    </w:p>
  </w:endnote>
  <w:endnote w:type="continuationSeparator" w:id="0">
    <w:p w14:paraId="7D8615C2" w14:textId="77777777" w:rsidR="007C7A84" w:rsidRDefault="007C7A84">
      <w:r>
        <w:continuationSeparator/>
      </w:r>
    </w:p>
  </w:endnote>
  <w:endnote w:type="continuationNotice" w:id="1">
    <w:p w14:paraId="6EA0CEDB" w14:textId="77777777" w:rsidR="007C7A84" w:rsidRDefault="007C7A8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000"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D208F">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D122B" w14:textId="77777777" w:rsidR="007C7A84" w:rsidRDefault="007C7A84">
      <w:r>
        <w:separator/>
      </w:r>
    </w:p>
  </w:footnote>
  <w:footnote w:type="continuationSeparator" w:id="0">
    <w:p w14:paraId="7E68D658" w14:textId="77777777" w:rsidR="007C7A84" w:rsidRDefault="007C7A84">
      <w:r>
        <w:continuationSeparator/>
      </w:r>
    </w:p>
  </w:footnote>
  <w:footnote w:type="continuationNotice" w:id="1">
    <w:p w14:paraId="250536C1" w14:textId="77777777" w:rsidR="007C7A84" w:rsidRDefault="007C7A84"/>
  </w:footnote>
  <w:footnote w:id="2">
    <w:p w14:paraId="0023315F" w14:textId="486BD202" w:rsidR="004F0D0C" w:rsidRDefault="004F0D0C">
      <w:pPr>
        <w:pStyle w:val="a4"/>
      </w:pPr>
      <w:r>
        <w:rPr>
          <w:rStyle w:val="a5"/>
        </w:rPr>
        <w:footnoteRef/>
      </w:r>
      <w:r>
        <w:rPr>
          <w:rtl/>
        </w:rPr>
        <w:t xml:space="preserve"> </w:t>
      </w:r>
      <w:r>
        <w:rPr>
          <w:rFonts w:hint="cs"/>
          <w:rtl/>
        </w:rPr>
        <w:t xml:space="preserve">ס"ח </w:t>
      </w:r>
      <w:proofErr w:type="spellStart"/>
      <w:r>
        <w:rPr>
          <w:rFonts w:hint="cs"/>
          <w:rtl/>
        </w:rPr>
        <w:t>התשל"ו</w:t>
      </w:r>
      <w:proofErr w:type="spellEnd"/>
      <w:r>
        <w:rPr>
          <w:rFonts w:hint="cs"/>
          <w:rtl/>
        </w:rPr>
        <w:t>, עמ' 228.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30099"/>
    <w:rsid w:val="0014195F"/>
    <w:rsid w:val="00152609"/>
    <w:rsid w:val="00153E1B"/>
    <w:rsid w:val="001A0623"/>
    <w:rsid w:val="001C23B0"/>
    <w:rsid w:val="001D7AAF"/>
    <w:rsid w:val="00203A7F"/>
    <w:rsid w:val="0021633A"/>
    <w:rsid w:val="002200A1"/>
    <w:rsid w:val="002362BF"/>
    <w:rsid w:val="00241B97"/>
    <w:rsid w:val="002425D1"/>
    <w:rsid w:val="00244EB2"/>
    <w:rsid w:val="00246756"/>
    <w:rsid w:val="00251E58"/>
    <w:rsid w:val="00254605"/>
    <w:rsid w:val="00266D86"/>
    <w:rsid w:val="002728B4"/>
    <w:rsid w:val="0027600C"/>
    <w:rsid w:val="00292712"/>
    <w:rsid w:val="00293FD3"/>
    <w:rsid w:val="002A487D"/>
    <w:rsid w:val="002C2E29"/>
    <w:rsid w:val="002C3041"/>
    <w:rsid w:val="002D1EE3"/>
    <w:rsid w:val="002F1D80"/>
    <w:rsid w:val="003232A2"/>
    <w:rsid w:val="00325C14"/>
    <w:rsid w:val="00342EE5"/>
    <w:rsid w:val="0036422C"/>
    <w:rsid w:val="003710F6"/>
    <w:rsid w:val="00386E88"/>
    <w:rsid w:val="00396585"/>
    <w:rsid w:val="003D1DB7"/>
    <w:rsid w:val="003D6E38"/>
    <w:rsid w:val="003D74A0"/>
    <w:rsid w:val="003E2774"/>
    <w:rsid w:val="004033D8"/>
    <w:rsid w:val="004073F0"/>
    <w:rsid w:val="00412A7D"/>
    <w:rsid w:val="00416B4D"/>
    <w:rsid w:val="00417CFC"/>
    <w:rsid w:val="00436CF8"/>
    <w:rsid w:val="004A06DC"/>
    <w:rsid w:val="004B24ED"/>
    <w:rsid w:val="004B6321"/>
    <w:rsid w:val="004B6625"/>
    <w:rsid w:val="004D2D82"/>
    <w:rsid w:val="004D3876"/>
    <w:rsid w:val="004E4552"/>
    <w:rsid w:val="004E6CDF"/>
    <w:rsid w:val="004F0D0C"/>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9232A"/>
    <w:rsid w:val="007948F5"/>
    <w:rsid w:val="007C3FA6"/>
    <w:rsid w:val="007C7A84"/>
    <w:rsid w:val="007D585A"/>
    <w:rsid w:val="007D5A12"/>
    <w:rsid w:val="007E59F9"/>
    <w:rsid w:val="007F1307"/>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8F6AFC"/>
    <w:rsid w:val="00904591"/>
    <w:rsid w:val="00905E5F"/>
    <w:rsid w:val="0091204F"/>
    <w:rsid w:val="009203DB"/>
    <w:rsid w:val="00923CD4"/>
    <w:rsid w:val="00930EFE"/>
    <w:rsid w:val="00943386"/>
    <w:rsid w:val="009456B6"/>
    <w:rsid w:val="00957589"/>
    <w:rsid w:val="00966D06"/>
    <w:rsid w:val="00974294"/>
    <w:rsid w:val="00982412"/>
    <w:rsid w:val="00983A8D"/>
    <w:rsid w:val="009A0DB8"/>
    <w:rsid w:val="009A7257"/>
    <w:rsid w:val="009D6E0A"/>
    <w:rsid w:val="009E1E33"/>
    <w:rsid w:val="009F0688"/>
    <w:rsid w:val="00A14672"/>
    <w:rsid w:val="00A26BD6"/>
    <w:rsid w:val="00A443CF"/>
    <w:rsid w:val="00A4708A"/>
    <w:rsid w:val="00A6611D"/>
    <w:rsid w:val="00A82CB7"/>
    <w:rsid w:val="00A942C1"/>
    <w:rsid w:val="00AA2F03"/>
    <w:rsid w:val="00AC36F7"/>
    <w:rsid w:val="00AC63A4"/>
    <w:rsid w:val="00AD239E"/>
    <w:rsid w:val="00B10265"/>
    <w:rsid w:val="00B16A99"/>
    <w:rsid w:val="00B21211"/>
    <w:rsid w:val="00B35784"/>
    <w:rsid w:val="00B719CB"/>
    <w:rsid w:val="00B733A7"/>
    <w:rsid w:val="00B75C91"/>
    <w:rsid w:val="00B975AD"/>
    <w:rsid w:val="00BC45FB"/>
    <w:rsid w:val="00BF148D"/>
    <w:rsid w:val="00C23B1A"/>
    <w:rsid w:val="00C310EB"/>
    <w:rsid w:val="00C9176A"/>
    <w:rsid w:val="00CF1AA2"/>
    <w:rsid w:val="00D02698"/>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208F"/>
    <w:rsid w:val="00ED4A6F"/>
    <w:rsid w:val="00EF3A3A"/>
    <w:rsid w:val="00F628D6"/>
    <w:rsid w:val="00F67051"/>
    <w:rsid w:val="00F67A64"/>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C3EA9-FAC2-40DC-8009-872B9AEDD0C6}"/>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0ACB0554-A386-4437-B8C2-F2ADDBD7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1884</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כוכי שבתאי</cp:lastModifiedBy>
  <cp:revision>2</cp:revision>
  <cp:lastPrinted>2017-05-03T11:28:00Z</cp:lastPrinted>
  <dcterms:created xsi:type="dcterms:W3CDTF">2018-03-05T10:12:00Z</dcterms:created>
  <dcterms:modified xsi:type="dcterms:W3CDTF">2018-03-05T10:12:00Z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88</vt:r8>
  </property>
  <property fmtid="{D5CDD505-2E9C-101B-9397-08002B2CF9AE}" pid="5" name="SanhedrinItemID">
    <vt:r8>2066529</vt:r8>
  </property>
</Properties>
</file>