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bookmarkStart w:id="0" w:name="_GoBack"/>
      <w:bookmarkEnd w:id="0"/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b w:val="0"/>
          <w:bCs w:val="0"/>
          <w:szCs w:val="20"/>
          <w:rtl/>
        </w:rPr>
        <w:t>575986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</w:t>
      </w:r>
      <w:bookmarkEnd w:id="2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2D4CEE">
      <w:pPr>
        <w:pStyle w:val="David"/>
        <w:spacing w:line="240" w:lineRule="auto"/>
        <w:ind w:left="3544"/>
        <w:rPr>
          <w:b/>
          <w:bCs/>
          <w:rtl/>
        </w:rPr>
      </w:pPr>
      <w:bookmarkStart w:id="3" w:name="LGS_Initiators_List"/>
      <w:r>
        <w:rPr>
          <w:b/>
          <w:bCs/>
          <w:rtl/>
        </w:rPr>
        <w:t>יוזמים:      חברי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טלי פלוסקוב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יפעת שאשא ביטון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ענת ברקו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נאוה בוקר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שרן השכל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רועי פולקמן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בצלאל סמוטריץ'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מכלוף</w:t>
      </w:r>
      <w:proofErr w:type="spellEnd"/>
      <w:r>
        <w:rPr>
          <w:rFonts w:hint="cs"/>
          <w:b/>
          <w:bCs/>
          <w:rtl/>
        </w:rPr>
        <w:t xml:space="preserve"> מיקי זוהר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רחל עזריה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ניסן סלומינסקי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אורן אסף חזן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יצחק וקנין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שולי מועלם-רפאלי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כהן</w:t>
      </w:r>
      <w:bookmarkEnd w:id="4"/>
    </w:p>
    <w:p w14:paraId="7F6961AA" w14:textId="39F9D96B" w:rsidR="00E13C27" w:rsidRPr="00CF1AA2" w:rsidRDefault="007D585A" w:rsidP="002D4CEE">
      <w:pPr>
        <w:pStyle w:val="David"/>
        <w:spacing w:before="0" w:line="240" w:lineRule="auto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rtl/>
        </w:rPr>
        <w:t>______________________________________________</w:t>
      </w:r>
      <w:r>
        <w:br/>
      </w:r>
      <w:r>
        <w:rPr>
          <w:rtl/>
        </w:rPr>
        <w:t>מצטרפים: חברי הכנסת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>
        <w:rPr>
          <w:rFonts w:hint="cs"/>
          <w:rtl/>
        </w:rPr>
        <w:t>יואל רזבוזוב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סופה לנדבר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אברהם דיכטר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מיכאל אורן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דוד ביטן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יואב קיש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אורי מקלב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יעקב מרגי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מיכל בירן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איילת נחמיאס ורבין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מאיר כהן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איתן ברושי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עליזה לביא</w:t>
      </w:r>
      <w:bookmarkEnd w:id="6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7" w:name="Private_Number"/>
      <w:r>
        <w:rPr>
          <w:rFonts w:hint="cs"/>
          <w:rtl/>
        </w:rPr>
        <w:t>פ/2736/20</w:t>
      </w:r>
      <w:bookmarkEnd w:id="7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 xml:space="preserve">הצעת חוק שירותי תיירות (תיקון – החמרת ענישה),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>–2016</w:t>
      </w:r>
      <w:bookmarkEnd w:id="8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19F039AA" w:rsidR="002F1D80" w:rsidRDefault="00E93A0E" w:rsidP="007B65A9">
            <w:pPr>
              <w:pStyle w:val="TableSideHeading"/>
              <w:ind w:right="0"/>
            </w:pPr>
            <w:r w:rsidRPr="007B65A9">
              <w:rPr>
                <w:rtl/>
              </w:rPr>
              <w:t>תיקון סעיף 13</w:t>
            </w:r>
          </w:p>
        </w:tc>
        <w:tc>
          <w:tcPr>
            <w:tcW w:w="624" w:type="dxa"/>
          </w:tcPr>
          <w:p w14:paraId="6F513EF6" w14:textId="3E706300" w:rsidR="002F1D80" w:rsidRPr="007B65A9" w:rsidRDefault="000840C5" w:rsidP="002710CB">
            <w:pPr>
              <w:pStyle w:val="TableBlock"/>
            </w:pPr>
            <w:r w:rsidRPr="007B65A9">
              <w:rPr>
                <w:rtl/>
              </w:rPr>
              <w:t>1.</w:t>
            </w:r>
          </w:p>
        </w:tc>
        <w:tc>
          <w:tcPr>
            <w:tcW w:w="7146" w:type="dxa"/>
          </w:tcPr>
          <w:p w14:paraId="1AE94DEB" w14:textId="2B84F3B2" w:rsidR="002F1D80" w:rsidRPr="007B65A9" w:rsidRDefault="00E93A0E" w:rsidP="007B65A9">
            <w:pPr>
              <w:pStyle w:val="TableBlock"/>
            </w:pPr>
            <w:r w:rsidRPr="007B65A9">
              <w:rPr>
                <w:rtl/>
              </w:rPr>
              <w:t>ב</w:t>
            </w:r>
            <w:r w:rsidR="000840C5" w:rsidRPr="007B65A9">
              <w:rPr>
                <w:rFonts w:hint="eastAsia"/>
                <w:rtl/>
              </w:rPr>
              <w:t>חוק</w:t>
            </w:r>
            <w:r w:rsidR="000840C5" w:rsidRPr="007B65A9">
              <w:rPr>
                <w:rtl/>
              </w:rPr>
              <w:t xml:space="preserve"> </w:t>
            </w:r>
            <w:r w:rsidR="000840C5" w:rsidRPr="007B65A9">
              <w:rPr>
                <w:rFonts w:hint="eastAsia"/>
                <w:rtl/>
              </w:rPr>
              <w:t>שירותי</w:t>
            </w:r>
            <w:r w:rsidR="000840C5" w:rsidRPr="007B65A9">
              <w:rPr>
                <w:rtl/>
              </w:rPr>
              <w:t xml:space="preserve"> </w:t>
            </w:r>
            <w:r w:rsidR="000840C5" w:rsidRPr="007B65A9">
              <w:rPr>
                <w:rFonts w:hint="eastAsia"/>
                <w:rtl/>
              </w:rPr>
              <w:t>תיירות</w:t>
            </w:r>
            <w:r w:rsidR="000840C5" w:rsidRPr="007B65A9">
              <w:rPr>
                <w:rtl/>
              </w:rPr>
              <w:t xml:space="preserve">, </w:t>
            </w:r>
            <w:proofErr w:type="spellStart"/>
            <w:r w:rsidR="000840C5" w:rsidRPr="007B65A9">
              <w:rPr>
                <w:rtl/>
              </w:rPr>
              <w:t>התשל"ו</w:t>
            </w:r>
            <w:proofErr w:type="spellEnd"/>
            <w:r w:rsidR="000840C5" w:rsidRPr="007B65A9">
              <w:rPr>
                <w:rFonts w:hint="eastAsia"/>
                <w:rtl/>
              </w:rPr>
              <w:t>–</w:t>
            </w:r>
            <w:r w:rsidR="000840C5" w:rsidRPr="007B65A9">
              <w:rPr>
                <w:rtl/>
              </w:rPr>
              <w:t xml:space="preserve">1976, </w:t>
            </w:r>
            <w:r w:rsidR="000840C5" w:rsidRPr="007B65A9">
              <w:rPr>
                <w:rFonts w:hint="eastAsia"/>
                <w:rtl/>
              </w:rPr>
              <w:t>ב</w:t>
            </w:r>
            <w:r w:rsidRPr="007B65A9">
              <w:rPr>
                <w:rtl/>
              </w:rPr>
              <w:t>סעיף 13</w:t>
            </w:r>
            <w:r w:rsidR="000840C5" w:rsidRPr="007B65A9">
              <w:rPr>
                <w:rtl/>
              </w:rPr>
              <w:t>(</w:t>
            </w:r>
            <w:r w:rsidRPr="007B65A9">
              <w:rPr>
                <w:rtl/>
              </w:rPr>
              <w:t>ב</w:t>
            </w:r>
            <w:r w:rsidR="000840C5" w:rsidRPr="007B65A9">
              <w:rPr>
                <w:rtl/>
              </w:rPr>
              <w:t xml:space="preserve">) </w:t>
            </w:r>
            <w:r w:rsidR="000840C5" w:rsidRPr="007B65A9">
              <w:rPr>
                <w:rFonts w:hint="eastAsia"/>
                <w:rtl/>
              </w:rPr>
              <w:t>–</w:t>
            </w:r>
            <w:r w:rsidRPr="007B65A9">
              <w:rPr>
                <w:rtl/>
              </w:rPr>
              <w:t xml:space="preserve"> </w:t>
            </w:r>
          </w:p>
        </w:tc>
      </w:tr>
      <w:tr w:rsidR="000840C5" w14:paraId="55DA2FC4" w14:textId="77777777" w:rsidTr="002C3041">
        <w:trPr>
          <w:cantSplit/>
          <w:trHeight w:val="60"/>
        </w:trPr>
        <w:tc>
          <w:tcPr>
            <w:tcW w:w="1871" w:type="dxa"/>
          </w:tcPr>
          <w:p w14:paraId="1D53A972" w14:textId="77777777" w:rsidR="000840C5" w:rsidRDefault="000840C5" w:rsidP="002C3041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2D984E2F" w14:textId="77777777" w:rsidR="000840C5" w:rsidRDefault="000840C5" w:rsidP="007B65A9">
            <w:pPr>
              <w:pStyle w:val="TableText"/>
              <w:keepLines w:val="0"/>
              <w:ind w:left="360"/>
            </w:pPr>
          </w:p>
        </w:tc>
        <w:tc>
          <w:tcPr>
            <w:tcW w:w="7146" w:type="dxa"/>
          </w:tcPr>
          <w:p w14:paraId="46FC3DC3" w14:textId="537EE9BF" w:rsidR="000840C5" w:rsidRDefault="000840C5" w:rsidP="007B65A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"20,000 לירות" יבוא "5,000 שקלים חדשים";</w:t>
            </w:r>
          </w:p>
        </w:tc>
      </w:tr>
      <w:tr w:rsidR="000840C5" w14:paraId="4B1C6F86" w14:textId="77777777" w:rsidTr="002C3041">
        <w:trPr>
          <w:cantSplit/>
          <w:trHeight w:val="60"/>
        </w:trPr>
        <w:tc>
          <w:tcPr>
            <w:tcW w:w="1871" w:type="dxa"/>
          </w:tcPr>
          <w:p w14:paraId="64B6EC7B" w14:textId="77777777" w:rsidR="000840C5" w:rsidRDefault="000840C5" w:rsidP="002C3041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589B29E9" w14:textId="77777777" w:rsidR="000840C5" w:rsidRDefault="000840C5" w:rsidP="007B65A9">
            <w:pPr>
              <w:pStyle w:val="TableText"/>
            </w:pPr>
          </w:p>
        </w:tc>
        <w:tc>
          <w:tcPr>
            <w:tcW w:w="7146" w:type="dxa"/>
          </w:tcPr>
          <w:p w14:paraId="53A3B9D1" w14:textId="766E711B" w:rsidR="000840C5" w:rsidRDefault="000840C5" w:rsidP="000840C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"מאסר שישה חודשים" יבוא "מאסר שנה";</w:t>
            </w:r>
          </w:p>
        </w:tc>
      </w:tr>
      <w:tr w:rsidR="000840C5" w14:paraId="2DE6E040" w14:textId="77777777" w:rsidTr="002C3041">
        <w:trPr>
          <w:cantSplit/>
          <w:trHeight w:val="60"/>
        </w:trPr>
        <w:tc>
          <w:tcPr>
            <w:tcW w:w="1871" w:type="dxa"/>
          </w:tcPr>
          <w:p w14:paraId="148C499F" w14:textId="77777777" w:rsidR="000840C5" w:rsidRDefault="000840C5" w:rsidP="002C3041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64F12077" w14:textId="77777777" w:rsidR="000840C5" w:rsidRDefault="000840C5" w:rsidP="007B65A9">
            <w:pPr>
              <w:pStyle w:val="TableText"/>
            </w:pPr>
          </w:p>
        </w:tc>
        <w:tc>
          <w:tcPr>
            <w:tcW w:w="7146" w:type="dxa"/>
          </w:tcPr>
          <w:p w14:paraId="11776EEB" w14:textId="61531181" w:rsidR="000840C5" w:rsidRDefault="000840C5" w:rsidP="000840C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"80,000 לירות" יבוא "50,000 שקלים חדשים";</w:t>
            </w:r>
          </w:p>
        </w:tc>
      </w:tr>
      <w:tr w:rsidR="000840C5" w14:paraId="3D1CF6A0" w14:textId="77777777" w:rsidTr="002C3041">
        <w:trPr>
          <w:cantSplit/>
          <w:trHeight w:val="60"/>
        </w:trPr>
        <w:tc>
          <w:tcPr>
            <w:tcW w:w="1871" w:type="dxa"/>
          </w:tcPr>
          <w:p w14:paraId="4502EB00" w14:textId="77777777" w:rsidR="000840C5" w:rsidRDefault="000840C5" w:rsidP="002C3041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1BFE3FBC" w14:textId="77777777" w:rsidR="000840C5" w:rsidRDefault="000840C5" w:rsidP="007B65A9">
            <w:pPr>
              <w:pStyle w:val="TableText"/>
            </w:pPr>
          </w:p>
        </w:tc>
        <w:tc>
          <w:tcPr>
            <w:tcW w:w="7146" w:type="dxa"/>
          </w:tcPr>
          <w:p w14:paraId="03DFD5E2" w14:textId="7E8BAD43" w:rsidR="000840C5" w:rsidRDefault="000840C5" w:rsidP="000840C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"1,000 לירות" יבוא "500 שקלים חדשים";</w:t>
            </w:r>
          </w:p>
        </w:tc>
      </w:tr>
      <w:tr w:rsidR="000840C5" w14:paraId="16C8DA1E" w14:textId="77777777" w:rsidTr="002C3041">
        <w:trPr>
          <w:cantSplit/>
          <w:trHeight w:val="60"/>
        </w:trPr>
        <w:tc>
          <w:tcPr>
            <w:tcW w:w="1871" w:type="dxa"/>
          </w:tcPr>
          <w:p w14:paraId="503F3782" w14:textId="77777777" w:rsidR="000840C5" w:rsidRDefault="000840C5" w:rsidP="002C3041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24" w:type="dxa"/>
          </w:tcPr>
          <w:p w14:paraId="244154F0" w14:textId="77777777" w:rsidR="000840C5" w:rsidRDefault="000840C5" w:rsidP="007B65A9">
            <w:pPr>
              <w:pStyle w:val="TableText"/>
            </w:pPr>
          </w:p>
        </w:tc>
        <w:tc>
          <w:tcPr>
            <w:tcW w:w="7146" w:type="dxa"/>
          </w:tcPr>
          <w:p w14:paraId="79644570" w14:textId="04F7D40E" w:rsidR="000840C5" w:rsidRDefault="000840C5" w:rsidP="000840C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(5)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"4,000 לירות" יבוא "1,000 שקלים חדשים".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FAB6723" w14:textId="618009F7" w:rsidR="00E93A0E" w:rsidRPr="007B65A9" w:rsidRDefault="002D4CEE" w:rsidP="007B65A9">
      <w:pPr>
        <w:pStyle w:val="Hesber"/>
        <w:rPr>
          <w:rtl/>
        </w:rPr>
      </w:pPr>
      <w:r>
        <w:rPr>
          <w:rtl/>
        </w:rPr>
        <w:t xml:space="preserve">בישראל </w:t>
      </w:r>
      <w:r w:rsidR="00E93A0E" w:rsidRPr="007B65A9">
        <w:rPr>
          <w:rtl/>
        </w:rPr>
        <w:t>פועלים כיום כ-</w:t>
      </w:r>
      <w:r w:rsidR="000840C5" w:rsidRPr="007B65A9">
        <w:rPr>
          <w:rtl/>
        </w:rPr>
        <w:t xml:space="preserve">6000 </w:t>
      </w:r>
      <w:r w:rsidR="00E93A0E" w:rsidRPr="007B65A9">
        <w:rPr>
          <w:rtl/>
        </w:rPr>
        <w:t xml:space="preserve">מורי דרך מוסמכים. </w:t>
      </w:r>
      <w:r w:rsidR="007B65A9">
        <w:rPr>
          <w:rFonts w:hint="cs"/>
          <w:rtl/>
        </w:rPr>
        <w:t>ב</w:t>
      </w:r>
      <w:r w:rsidR="000840C5" w:rsidRPr="007B65A9">
        <w:rPr>
          <w:rtl/>
        </w:rPr>
        <w:t xml:space="preserve">תקנות </w:t>
      </w:r>
      <w:r w:rsidR="00E93A0E" w:rsidRPr="007B65A9">
        <w:rPr>
          <w:rtl/>
        </w:rPr>
        <w:t>שירותי תיירות</w:t>
      </w:r>
      <w:r w:rsidR="000840C5" w:rsidRPr="007B65A9">
        <w:rPr>
          <w:rtl/>
        </w:rPr>
        <w:t xml:space="preserve"> (מורי דרך), </w:t>
      </w:r>
      <w:proofErr w:type="spellStart"/>
      <w:r w:rsidR="000840C5" w:rsidRPr="007B65A9">
        <w:rPr>
          <w:rtl/>
        </w:rPr>
        <w:t>התשכ"ז</w:t>
      </w:r>
      <w:proofErr w:type="spellEnd"/>
      <w:r w:rsidR="000840C5" w:rsidRPr="007B65A9">
        <w:rPr>
          <w:rFonts w:hint="eastAsia"/>
          <w:rtl/>
        </w:rPr>
        <w:t>–</w:t>
      </w:r>
      <w:r w:rsidR="000840C5" w:rsidRPr="007B65A9">
        <w:rPr>
          <w:rtl/>
        </w:rPr>
        <w:t>1967,</w:t>
      </w:r>
      <w:r w:rsidR="00E93A0E" w:rsidRPr="007B65A9">
        <w:rPr>
          <w:rtl/>
        </w:rPr>
        <w:t xml:space="preserve"> </w:t>
      </w:r>
      <w:r w:rsidR="007B65A9">
        <w:rPr>
          <w:rFonts w:hint="cs"/>
          <w:rtl/>
        </w:rPr>
        <w:t>נקבע</w:t>
      </w:r>
      <w:r w:rsidR="007B65A9" w:rsidRPr="007B65A9">
        <w:rPr>
          <w:rtl/>
        </w:rPr>
        <w:t xml:space="preserve"> </w:t>
      </w:r>
      <w:r w:rsidR="00E93A0E" w:rsidRPr="007B65A9">
        <w:rPr>
          <w:rtl/>
        </w:rPr>
        <w:t>כי בישראל יפעלו אך ורק מורי דרך בעלי רישיון</w:t>
      </w:r>
      <w:r w:rsidR="000840C5" w:rsidRPr="007B65A9">
        <w:rPr>
          <w:rtl/>
        </w:rPr>
        <w:t>.</w:t>
      </w:r>
      <w:r w:rsidR="00E93A0E" w:rsidRPr="007B65A9">
        <w:rPr>
          <w:rtl/>
        </w:rPr>
        <w:t xml:space="preserve"> קבלת רישיון</w:t>
      </w:r>
      <w:r w:rsidR="007B65A9" w:rsidRPr="007B65A9">
        <w:rPr>
          <w:rtl/>
        </w:rPr>
        <w:t xml:space="preserve"> </w:t>
      </w:r>
      <w:r w:rsidR="00E93A0E" w:rsidRPr="007B65A9">
        <w:rPr>
          <w:rtl/>
        </w:rPr>
        <w:t>מחייבת השתתפות בקורס בפיקוח משרד התיירות</w:t>
      </w:r>
      <w:r w:rsidR="007B65A9">
        <w:rPr>
          <w:rFonts w:hint="cs"/>
          <w:rtl/>
        </w:rPr>
        <w:t>,</w:t>
      </w:r>
      <w:r w:rsidR="00E93A0E" w:rsidRPr="007B65A9">
        <w:rPr>
          <w:rtl/>
        </w:rPr>
        <w:t xml:space="preserve"> אשר בסיומו נדרשים המועמדים לעבור בחינות הסמכה.</w:t>
      </w:r>
    </w:p>
    <w:p w14:paraId="5DA068F4" w14:textId="1783976E" w:rsidR="00E93A0E" w:rsidRPr="007B65A9" w:rsidRDefault="00E93A0E" w:rsidP="007B65A9">
      <w:pPr>
        <w:pStyle w:val="Hesber"/>
        <w:rPr>
          <w:rtl/>
        </w:rPr>
      </w:pPr>
      <w:r w:rsidRPr="007B65A9">
        <w:rPr>
          <w:rtl/>
        </w:rPr>
        <w:t xml:space="preserve">למצער, בשנים האחרונות אנו עדים לתופעה רחבה של מתחזים למורי דרך </w:t>
      </w:r>
      <w:r w:rsidR="000840C5" w:rsidRPr="007B65A9">
        <w:rPr>
          <w:rFonts w:hint="eastAsia"/>
          <w:rtl/>
        </w:rPr>
        <w:t>–</w:t>
      </w:r>
      <w:r w:rsidRPr="007B65A9">
        <w:rPr>
          <w:rtl/>
        </w:rPr>
        <w:t xml:space="preserve"> אנשים הפועלים בניגוד לחוק </w:t>
      </w:r>
      <w:r w:rsidR="000840C5" w:rsidRPr="007B65A9">
        <w:rPr>
          <w:rtl/>
        </w:rPr>
        <w:t>ו</w:t>
      </w:r>
      <w:r w:rsidR="002D4CEE">
        <w:rPr>
          <w:rtl/>
        </w:rPr>
        <w:t xml:space="preserve">מתחזים למורי דרך </w:t>
      </w:r>
      <w:r w:rsidRPr="007B65A9">
        <w:rPr>
          <w:rtl/>
        </w:rPr>
        <w:t xml:space="preserve">בלי שהוסמכו לכך, </w:t>
      </w:r>
      <w:r w:rsidR="007B65A9">
        <w:rPr>
          <w:rFonts w:hint="cs"/>
          <w:rtl/>
        </w:rPr>
        <w:t>ובלי שיש להם</w:t>
      </w:r>
      <w:r w:rsidRPr="007B65A9">
        <w:rPr>
          <w:rtl/>
        </w:rPr>
        <w:t xml:space="preserve"> ידע מקצועי כנדרש בהתאם לחוק. </w:t>
      </w:r>
      <w:r w:rsidR="005C0CAC" w:rsidRPr="007B65A9">
        <w:rPr>
          <w:rtl/>
        </w:rPr>
        <w:t xml:space="preserve">תופעה זו </w:t>
      </w:r>
      <w:r w:rsidR="00915BA8" w:rsidRPr="007B65A9">
        <w:rPr>
          <w:rtl/>
        </w:rPr>
        <w:t>גורמת לפגיעה תדמיתית בישראל ואף מנוצלת על ידי גורמים שונים</w:t>
      </w:r>
      <w:r w:rsidR="005C0CAC" w:rsidRPr="007B65A9">
        <w:rPr>
          <w:rtl/>
        </w:rPr>
        <w:t xml:space="preserve"> להסברה אנטי-ישראלית</w:t>
      </w:r>
      <w:r w:rsidR="00915BA8" w:rsidRPr="007B65A9">
        <w:rPr>
          <w:rtl/>
        </w:rPr>
        <w:t>.</w:t>
      </w:r>
      <w:r w:rsidR="00717323" w:rsidRPr="007B65A9">
        <w:rPr>
          <w:rtl/>
        </w:rPr>
        <w:t xml:space="preserve"> </w:t>
      </w:r>
      <w:r w:rsidR="00915BA8" w:rsidRPr="007B65A9">
        <w:rPr>
          <w:rtl/>
        </w:rPr>
        <w:t xml:space="preserve">כמו </w:t>
      </w:r>
      <w:r w:rsidR="00717323" w:rsidRPr="007B65A9">
        <w:rPr>
          <w:rtl/>
        </w:rPr>
        <w:t>כן</w:t>
      </w:r>
      <w:r w:rsidR="000840C5" w:rsidRPr="007B65A9">
        <w:rPr>
          <w:rtl/>
        </w:rPr>
        <w:t>,</w:t>
      </w:r>
      <w:r w:rsidRPr="007B65A9">
        <w:rPr>
          <w:rtl/>
        </w:rPr>
        <w:t xml:space="preserve"> </w:t>
      </w:r>
      <w:r w:rsidR="00915BA8" w:rsidRPr="007B65A9">
        <w:rPr>
          <w:rtl/>
        </w:rPr>
        <w:t>רמת הדרכה בלתי מקצועית גו</w:t>
      </w:r>
      <w:r w:rsidR="00717323" w:rsidRPr="007B65A9">
        <w:rPr>
          <w:rtl/>
        </w:rPr>
        <w:t xml:space="preserve">רמת </w:t>
      </w:r>
      <w:r w:rsidR="00915BA8" w:rsidRPr="007B65A9">
        <w:rPr>
          <w:rtl/>
        </w:rPr>
        <w:t xml:space="preserve">לפגיעה </w:t>
      </w:r>
      <w:r w:rsidRPr="007B65A9">
        <w:rPr>
          <w:rtl/>
        </w:rPr>
        <w:t>בתיירות ככלל</w:t>
      </w:r>
      <w:r w:rsidR="00915BA8" w:rsidRPr="007B65A9">
        <w:rPr>
          <w:rtl/>
        </w:rPr>
        <w:t xml:space="preserve">, </w:t>
      </w:r>
      <w:r w:rsidRPr="007B65A9">
        <w:rPr>
          <w:rtl/>
        </w:rPr>
        <w:t xml:space="preserve">בתיירות הפנים בישראל בפרט, בייחודו של מקצוע מורי הדרך ובכלכלת ישראל. </w:t>
      </w:r>
    </w:p>
    <w:p w14:paraId="6DE73E2A" w14:textId="3FBF0B54" w:rsidR="00E93A0E" w:rsidRPr="007B65A9" w:rsidRDefault="002D4CEE" w:rsidP="007B65A9">
      <w:pPr>
        <w:pStyle w:val="Hesber"/>
      </w:pPr>
      <w:r>
        <w:rPr>
          <w:rtl/>
        </w:rPr>
        <w:t xml:space="preserve">מנתוני האכיפה </w:t>
      </w:r>
      <w:r w:rsidR="00E93A0E" w:rsidRPr="007B65A9">
        <w:rPr>
          <w:rtl/>
        </w:rPr>
        <w:t>נגד הדרכה בלתי חוקית שפרסם לאחרונה משרד התיירות, עולה כי חלה עלייה במספר המדריכים אשר עובדים ללא רישיון מורה דרך מוסמך. הנתונים מתייחסים לרבעון הראשון של שנת 2014.</w:t>
      </w:r>
    </w:p>
    <w:p w14:paraId="5B48D62E" w14:textId="70ACBD18" w:rsidR="00E93A0E" w:rsidRPr="007B65A9" w:rsidRDefault="00E93A0E" w:rsidP="007B65A9">
      <w:pPr>
        <w:pStyle w:val="Hesber"/>
        <w:rPr>
          <w:rtl/>
        </w:rPr>
      </w:pPr>
      <w:r w:rsidRPr="007B65A9">
        <w:rPr>
          <w:rtl/>
        </w:rPr>
        <w:t>נכון להיום</w:t>
      </w:r>
      <w:r w:rsidR="005C1D1B">
        <w:rPr>
          <w:rFonts w:hint="cs"/>
          <w:rtl/>
        </w:rPr>
        <w:t>,</w:t>
      </w:r>
      <w:r w:rsidRPr="007B65A9">
        <w:rPr>
          <w:rtl/>
        </w:rPr>
        <w:t xml:space="preserve"> משרד התיירות מתמודד עם התופעה באמצעות מבצעי אכיפה, </w:t>
      </w:r>
      <w:r w:rsidR="002D4CEE">
        <w:rPr>
          <w:rFonts w:hint="cs"/>
          <w:rtl/>
        </w:rPr>
        <w:t>ש</w:t>
      </w:r>
      <w:r w:rsidRPr="007B65A9">
        <w:rPr>
          <w:rtl/>
        </w:rPr>
        <w:t xml:space="preserve">בהם נבדקות תעודות מורי דרך מחשש לזיוף. למצער, לאחרונה נתגלו תעודות הדרכה מזויפות </w:t>
      </w:r>
      <w:r w:rsidR="005C1D1B">
        <w:rPr>
          <w:rFonts w:hint="cs"/>
          <w:rtl/>
        </w:rPr>
        <w:t>והמחזיקים בהן</w:t>
      </w:r>
      <w:r w:rsidRPr="007B65A9">
        <w:rPr>
          <w:rtl/>
        </w:rPr>
        <w:t xml:space="preserve"> צפויים לכתבי אי</w:t>
      </w:r>
      <w:r w:rsidR="002D4CEE">
        <w:rPr>
          <w:rtl/>
        </w:rPr>
        <w:t xml:space="preserve">שום פליליים. כך למשל, זה מכבר, </w:t>
      </w:r>
      <w:r w:rsidRPr="007B65A9">
        <w:rPr>
          <w:rtl/>
        </w:rPr>
        <w:t xml:space="preserve">נתפסו מדריכה יוונייה </w:t>
      </w:r>
      <w:r w:rsidR="005C1D1B">
        <w:rPr>
          <w:rFonts w:hint="cs"/>
          <w:rtl/>
        </w:rPr>
        <w:t>ש</w:t>
      </w:r>
      <w:r w:rsidRPr="007B65A9">
        <w:rPr>
          <w:rtl/>
        </w:rPr>
        <w:t>עבדה מספר שנים</w:t>
      </w:r>
      <w:r w:rsidR="005C1D1B">
        <w:rPr>
          <w:rFonts w:hint="cs"/>
          <w:rtl/>
        </w:rPr>
        <w:t xml:space="preserve"> בארץ במהלך מבצע בשער יפו</w:t>
      </w:r>
      <w:r w:rsidRPr="007B65A9">
        <w:rPr>
          <w:rtl/>
        </w:rPr>
        <w:t>, מדריך קוריאני שעבד מספר שנים בארץ במהלך מבצע בנצרת ו</w:t>
      </w:r>
      <w:r w:rsidR="007B65A9">
        <w:rPr>
          <w:rFonts w:hint="cs"/>
          <w:rtl/>
        </w:rPr>
        <w:t xml:space="preserve">בני </w:t>
      </w:r>
      <w:r w:rsidRPr="007B65A9">
        <w:rPr>
          <w:rtl/>
        </w:rPr>
        <w:t>משפחה מרוסיה</w:t>
      </w:r>
      <w:r w:rsidR="005C1D1B">
        <w:rPr>
          <w:rFonts w:hint="cs"/>
          <w:rtl/>
        </w:rPr>
        <w:t>,</w:t>
      </w:r>
      <w:r w:rsidRPr="007B65A9">
        <w:rPr>
          <w:rtl/>
        </w:rPr>
        <w:t xml:space="preserve"> שעבדו כמדריכים ללא אשרה.</w:t>
      </w:r>
    </w:p>
    <w:p w14:paraId="144D8565" w14:textId="5A3EA02F" w:rsidR="00E93A0E" w:rsidRPr="007B65A9" w:rsidRDefault="002D4CEE" w:rsidP="007B65A9">
      <w:pPr>
        <w:pStyle w:val="Hesber"/>
        <w:rPr>
          <w:rtl/>
        </w:rPr>
      </w:pPr>
      <w:r>
        <w:rPr>
          <w:rtl/>
        </w:rPr>
        <w:t>מטרת הצעת החוק הי</w:t>
      </w:r>
      <w:r>
        <w:rPr>
          <w:rFonts w:hint="cs"/>
          <w:rtl/>
        </w:rPr>
        <w:t>א</w:t>
      </w:r>
      <w:r w:rsidR="00E93A0E" w:rsidRPr="007B65A9">
        <w:rPr>
          <w:rtl/>
        </w:rPr>
        <w:t xml:space="preserve"> להחמי</w:t>
      </w:r>
      <w:r>
        <w:rPr>
          <w:rtl/>
        </w:rPr>
        <w:t xml:space="preserve">ר את הענישה במקרים אלו, </w:t>
      </w:r>
      <w:r w:rsidR="00E93A0E" w:rsidRPr="007B65A9">
        <w:rPr>
          <w:rtl/>
        </w:rPr>
        <w:t xml:space="preserve">כדי להרתיע את המתחזים מלפעול כך. </w:t>
      </w:r>
      <w:r w:rsidR="005C1D1B">
        <w:rPr>
          <w:rFonts w:hint="cs"/>
          <w:rtl/>
        </w:rPr>
        <w:t>לפיכך</w:t>
      </w:r>
      <w:r w:rsidR="00E93A0E" w:rsidRPr="007B65A9">
        <w:rPr>
          <w:rtl/>
        </w:rPr>
        <w:t xml:space="preserve">, מוצע כי שיעור הקנס בגין </w:t>
      </w:r>
      <w:r w:rsidR="007B65A9">
        <w:rPr>
          <w:rFonts w:hint="cs"/>
          <w:rtl/>
        </w:rPr>
        <w:t>הפעלת שירותי תיירות ללא רישיון</w:t>
      </w:r>
      <w:r w:rsidR="007B65A9" w:rsidRPr="007B65A9">
        <w:rPr>
          <w:rtl/>
        </w:rPr>
        <w:t xml:space="preserve"> </w:t>
      </w:r>
      <w:r w:rsidR="00E93A0E" w:rsidRPr="007B65A9">
        <w:rPr>
          <w:rtl/>
        </w:rPr>
        <w:t>כקבוע בחוק, יוגדל לעומת שיעורו כיום ויעמוד על 5,000 ש</w:t>
      </w:r>
      <w:r w:rsidR="005C1D1B">
        <w:rPr>
          <w:rFonts w:hint="cs"/>
          <w:rtl/>
        </w:rPr>
        <w:t>קלים חדשים</w:t>
      </w:r>
      <w:r w:rsidR="00E93A0E" w:rsidRPr="007B65A9">
        <w:rPr>
          <w:rtl/>
        </w:rPr>
        <w:t xml:space="preserve"> למפר פרטי</w:t>
      </w:r>
      <w:r w:rsidR="007B65A9">
        <w:rPr>
          <w:rFonts w:hint="cs"/>
          <w:rtl/>
        </w:rPr>
        <w:t>,</w:t>
      </w:r>
      <w:r w:rsidR="00E93A0E" w:rsidRPr="007B65A9">
        <w:rPr>
          <w:rtl/>
        </w:rPr>
        <w:t xml:space="preserve"> ועל </w:t>
      </w:r>
      <w:r w:rsidR="00CF12AD" w:rsidRPr="007B65A9">
        <w:rPr>
          <w:rtl/>
        </w:rPr>
        <w:t>5</w:t>
      </w:r>
      <w:r w:rsidR="00E93A0E" w:rsidRPr="007B65A9">
        <w:rPr>
          <w:rtl/>
        </w:rPr>
        <w:t>0,000 ש</w:t>
      </w:r>
      <w:r w:rsidR="005C1D1B">
        <w:rPr>
          <w:rFonts w:hint="cs"/>
          <w:rtl/>
        </w:rPr>
        <w:t>קלים חדשים</w:t>
      </w:r>
      <w:r w:rsidR="00E93A0E" w:rsidRPr="007B65A9">
        <w:rPr>
          <w:rtl/>
        </w:rPr>
        <w:t xml:space="preserve"> לתאגיד. כמו כן, יוכפל משך זמן המאסר הקבוע בחוק ויעמוד על שנת מאסר.  </w:t>
      </w:r>
    </w:p>
    <w:p w14:paraId="7D032FA1" w14:textId="2F941B3E" w:rsidR="00E93A0E" w:rsidRPr="007B65A9" w:rsidRDefault="00E93A0E" w:rsidP="007B65A9">
      <w:pPr>
        <w:pStyle w:val="Hesber"/>
        <w:rPr>
          <w:rtl/>
        </w:rPr>
      </w:pPr>
      <w:r w:rsidRPr="007B65A9">
        <w:rPr>
          <w:rtl/>
        </w:rPr>
        <w:t xml:space="preserve">זאת ועוד, נוכח העובדה כי לשון הסעיף אינה תואמת את זמננו והעונשים הכספיים </w:t>
      </w:r>
      <w:r w:rsidR="002D4CEE">
        <w:rPr>
          <w:rFonts w:hint="cs"/>
          <w:rtl/>
        </w:rPr>
        <w:t>ש</w:t>
      </w:r>
      <w:r w:rsidRPr="007B65A9">
        <w:rPr>
          <w:rtl/>
        </w:rPr>
        <w:t xml:space="preserve">בה מנוסחים במטבע מסוג לירה, ראוי, אף מבחינה זו, לתקן את הסעיף ולהתאימו למציאות הקיימת. </w:t>
      </w:r>
    </w:p>
    <w:p w14:paraId="7E473FAD" w14:textId="4EB1FE09" w:rsidR="00E93A0E" w:rsidRPr="007B65A9" w:rsidRDefault="00E93A0E" w:rsidP="002D4CEE">
      <w:pPr>
        <w:pStyle w:val="Hesber"/>
        <w:rPr>
          <w:rtl/>
        </w:rPr>
      </w:pPr>
      <w:r w:rsidRPr="007B65A9">
        <w:rPr>
          <w:rtl/>
        </w:rPr>
        <w:lastRenderedPageBreak/>
        <w:t>יודגש</w:t>
      </w:r>
      <w:r w:rsidR="005C1D1B">
        <w:rPr>
          <w:rFonts w:hint="cs"/>
          <w:rtl/>
        </w:rPr>
        <w:t xml:space="preserve"> כי</w:t>
      </w:r>
      <w:r w:rsidRPr="007B65A9">
        <w:rPr>
          <w:rtl/>
        </w:rPr>
        <w:t xml:space="preserve"> מורי הדרך מלווים את התייר </w:t>
      </w:r>
      <w:r w:rsidR="002D4CEE">
        <w:rPr>
          <w:rFonts w:hint="cs"/>
          <w:rtl/>
        </w:rPr>
        <w:t>במשך</w:t>
      </w:r>
      <w:r w:rsidRPr="007B65A9">
        <w:rPr>
          <w:rtl/>
        </w:rPr>
        <w:t xml:space="preserve"> כל ביקורו בארץ ועל כן מחויבים במקצועיות, הכרת הארץ, אתריה ומורשתה והסברת פנים לתייר –  כל אלה נלמדים במסגרת הקורסים שמשרד התיירות, האמון על הכשרתם והסמכתם של מורי הדרך</w:t>
      </w:r>
      <w:r w:rsidR="005C1D1B">
        <w:rPr>
          <w:rFonts w:hint="cs"/>
          <w:rtl/>
        </w:rPr>
        <w:t xml:space="preserve">, </w:t>
      </w:r>
      <w:r w:rsidR="007B65A9">
        <w:rPr>
          <w:rFonts w:hint="cs"/>
          <w:rtl/>
        </w:rPr>
        <w:t>ו</w:t>
      </w:r>
      <w:r w:rsidR="005C1D1B">
        <w:rPr>
          <w:rFonts w:hint="cs"/>
          <w:rtl/>
        </w:rPr>
        <w:t>מפקח עליהם</w:t>
      </w:r>
      <w:r w:rsidR="002D4CEE">
        <w:rPr>
          <w:rtl/>
        </w:rPr>
        <w:t>. הדרכה שאינה מוסמכת הי</w:t>
      </w:r>
      <w:r w:rsidR="002D4CEE">
        <w:rPr>
          <w:rFonts w:hint="cs"/>
          <w:rtl/>
        </w:rPr>
        <w:t>א</w:t>
      </w:r>
      <w:r w:rsidRPr="007B65A9">
        <w:rPr>
          <w:rtl/>
        </w:rPr>
        <w:t xml:space="preserve"> התחזות הפוגעת באיכות המוצר התיירות</w:t>
      </w:r>
      <w:r w:rsidR="002D4CEE">
        <w:rPr>
          <w:rtl/>
        </w:rPr>
        <w:t>י ובהכנסה של המדריך המוסמך והי</w:t>
      </w:r>
      <w:r w:rsidR="002D4CEE">
        <w:rPr>
          <w:rFonts w:hint="cs"/>
          <w:rtl/>
        </w:rPr>
        <w:t>א</w:t>
      </w:r>
      <w:r w:rsidRPr="007B65A9">
        <w:rPr>
          <w:rtl/>
        </w:rPr>
        <w:t xml:space="preserve"> עבירה על החוק. כמו כן, הצל</w:t>
      </w:r>
      <w:r w:rsidR="002D4CEE">
        <w:rPr>
          <w:rtl/>
        </w:rPr>
        <w:t>חת המפגש בין מורה הדרך לתייר ה</w:t>
      </w:r>
      <w:r w:rsidRPr="007B65A9">
        <w:rPr>
          <w:rtl/>
        </w:rPr>
        <w:t>ו</w:t>
      </w:r>
      <w:r w:rsidR="002D4CEE">
        <w:rPr>
          <w:rFonts w:hint="cs"/>
          <w:rtl/>
        </w:rPr>
        <w:t>א</w:t>
      </w:r>
      <w:r w:rsidRPr="007B65A9">
        <w:rPr>
          <w:rtl/>
        </w:rPr>
        <w:t xml:space="preserve"> אחד הגורמים המשפיעים על החלטתו של התייר לשוב ולבקר בארץ וזו הסיבה להקפיד ביתר שאת על הכשרתם והסמכתם של מורי הדרך בהתאם לחוק. </w:t>
      </w:r>
    </w:p>
    <w:p w14:paraId="7BC8C647" w14:textId="77777777" w:rsidR="002D4CEE" w:rsidRPr="00D73212" w:rsidRDefault="002D4CEE" w:rsidP="002D4CEE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06B7D50" w14:textId="77777777" w:rsidR="002D4CEE" w:rsidRPr="00D73212" w:rsidRDefault="002D4CEE" w:rsidP="002D4CEE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6B35915" w14:textId="77777777" w:rsidR="002D4CEE" w:rsidRPr="00D73212" w:rsidRDefault="002D4CEE" w:rsidP="002D4CEE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96D2722" w14:textId="6BE4DED9" w:rsidR="002D4CEE" w:rsidRPr="00317312" w:rsidRDefault="00732069" w:rsidP="00732069">
      <w:pPr>
        <w:pStyle w:val="Hesber"/>
      </w:pPr>
      <w:r>
        <w:rPr>
          <w:rFonts w:hint="cs"/>
          <w:color w:val="auto"/>
          <w:rtl/>
          <w:lang w:eastAsia="en-US"/>
        </w:rPr>
        <w:t>כ"ז</w:t>
      </w:r>
      <w:r w:rsidR="002D4CEE">
        <w:rPr>
          <w:rFonts w:hint="cs"/>
          <w:color w:val="auto"/>
          <w:rtl/>
          <w:lang w:eastAsia="en-US"/>
        </w:rPr>
        <w:t xml:space="preserve"> באדר א'</w:t>
      </w:r>
      <w:r w:rsidR="002D4CEE" w:rsidRPr="00D73212">
        <w:rPr>
          <w:color w:val="auto"/>
          <w:rtl/>
          <w:lang w:eastAsia="en-US"/>
        </w:rPr>
        <w:t xml:space="preserve"> </w:t>
      </w:r>
      <w:proofErr w:type="spellStart"/>
      <w:r w:rsidR="002D4CEE" w:rsidRPr="00D73212">
        <w:rPr>
          <w:rFonts w:hint="cs"/>
          <w:color w:val="auto"/>
          <w:rtl/>
          <w:lang w:eastAsia="en-US"/>
        </w:rPr>
        <w:t>התשע</w:t>
      </w:r>
      <w:r w:rsidR="002D4CEE" w:rsidRPr="00D73212">
        <w:rPr>
          <w:color w:val="auto"/>
          <w:rtl/>
          <w:lang w:eastAsia="en-US"/>
        </w:rPr>
        <w:t>"</w:t>
      </w:r>
      <w:r w:rsidR="002D4CEE">
        <w:rPr>
          <w:rFonts w:hint="cs"/>
          <w:color w:val="auto"/>
          <w:rtl/>
          <w:lang w:eastAsia="en-US"/>
        </w:rPr>
        <w:t>ו</w:t>
      </w:r>
      <w:proofErr w:type="spellEnd"/>
      <w:r w:rsidR="002D4CEE"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7</w:t>
      </w:r>
      <w:r w:rsidR="002D4CEE"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3</w:t>
      </w:r>
      <w:r w:rsidR="002D4CEE" w:rsidRPr="00D73212">
        <w:rPr>
          <w:color w:val="auto"/>
          <w:rtl/>
          <w:lang w:eastAsia="en-US"/>
        </w:rPr>
        <w:t>.1</w:t>
      </w:r>
      <w:r w:rsidR="002D4CEE">
        <w:rPr>
          <w:rFonts w:hint="cs"/>
          <w:color w:val="auto"/>
          <w:rtl/>
          <w:lang w:eastAsia="en-US"/>
        </w:rPr>
        <w:t>6</w:t>
      </w:r>
    </w:p>
    <w:p w14:paraId="7F6961CB" w14:textId="77777777" w:rsidR="00E13C27" w:rsidRPr="002D4CEE" w:rsidRDefault="00E13C27" w:rsidP="00E13C27">
      <w:pPr>
        <w:pStyle w:val="Hesber"/>
        <w:rPr>
          <w:rtl/>
        </w:rPr>
      </w:pPr>
    </w:p>
    <w:sectPr w:rsidR="00E13C27" w:rsidRPr="002D4CEE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91858" w14:textId="77777777" w:rsidR="00301E4E" w:rsidRDefault="00301E4E">
      <w:r>
        <w:separator/>
      </w:r>
    </w:p>
  </w:endnote>
  <w:endnote w:type="continuationSeparator" w:id="0">
    <w:p w14:paraId="4D4A394D" w14:textId="77777777" w:rsidR="00301E4E" w:rsidRDefault="00301E4E">
      <w:r>
        <w:continuationSeparator/>
      </w:r>
    </w:p>
  </w:endnote>
  <w:endnote w:type="continuationNotice" w:id="1">
    <w:p w14:paraId="16F59421" w14:textId="77777777" w:rsidR="00301E4E" w:rsidRDefault="00301E4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74653">
      <w:rPr>
        <w:rStyle w:val="aa"/>
        <w:noProof/>
        <w:rtl/>
      </w:rPr>
      <w:t>3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45B3C" w14:textId="77777777" w:rsidR="00301E4E" w:rsidRDefault="00301E4E">
      <w:r>
        <w:separator/>
      </w:r>
    </w:p>
  </w:footnote>
  <w:footnote w:type="continuationSeparator" w:id="0">
    <w:p w14:paraId="1EC81FD6" w14:textId="77777777" w:rsidR="00301E4E" w:rsidRDefault="00301E4E">
      <w:r>
        <w:continuationSeparator/>
      </w:r>
    </w:p>
  </w:footnote>
  <w:footnote w:type="continuationNotice" w:id="1">
    <w:p w14:paraId="2D79FCE9" w14:textId="77777777" w:rsidR="00301E4E" w:rsidRDefault="00301E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309F7"/>
    <w:multiLevelType w:val="hybridMultilevel"/>
    <w:tmpl w:val="F712183A"/>
    <w:lvl w:ilvl="0" w:tplc="D3166E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840C5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776DE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10CB"/>
    <w:rsid w:val="002728B4"/>
    <w:rsid w:val="0027600C"/>
    <w:rsid w:val="00292712"/>
    <w:rsid w:val="002A487D"/>
    <w:rsid w:val="002C2E29"/>
    <w:rsid w:val="002C3041"/>
    <w:rsid w:val="002D1EE3"/>
    <w:rsid w:val="002D4CEE"/>
    <w:rsid w:val="002F1D80"/>
    <w:rsid w:val="00301E4E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66696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74653"/>
    <w:rsid w:val="005B064E"/>
    <w:rsid w:val="005C0CAC"/>
    <w:rsid w:val="005C1D1B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17323"/>
    <w:rsid w:val="00732069"/>
    <w:rsid w:val="00735FE9"/>
    <w:rsid w:val="00763CAA"/>
    <w:rsid w:val="00765F66"/>
    <w:rsid w:val="0078664F"/>
    <w:rsid w:val="007B65A9"/>
    <w:rsid w:val="007C3FA6"/>
    <w:rsid w:val="007D585A"/>
    <w:rsid w:val="007D5A12"/>
    <w:rsid w:val="007E59F9"/>
    <w:rsid w:val="00810BCD"/>
    <w:rsid w:val="00812C98"/>
    <w:rsid w:val="00814D92"/>
    <w:rsid w:val="008166E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15BA8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2AD"/>
    <w:rsid w:val="00CF1AA2"/>
    <w:rsid w:val="00D17774"/>
    <w:rsid w:val="00D63620"/>
    <w:rsid w:val="00D8410D"/>
    <w:rsid w:val="00D867D7"/>
    <w:rsid w:val="00D95F3E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93A0E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B7E9F71-E3CA-412A-B18B-868584DB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E373-A2E4-42A4-A2B1-B9BBF6B9162F}"/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882AE-FC6F-4DE1-A1F7-A338850C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כוכי שבתאי</cp:lastModifiedBy>
  <cp:revision>2</cp:revision>
  <cp:lastPrinted>2016-03-03T11:39:00Z</cp:lastPrinted>
  <dcterms:created xsi:type="dcterms:W3CDTF">2018-03-05T10:10:00Z</dcterms:created>
  <dcterms:modified xsi:type="dcterms:W3CDTF">2018-03-05T10:10:00Z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88</vt:r8>
  </property>
  <property fmtid="{D5CDD505-2E9C-101B-9397-08002B2CF9AE}" pid="5" name="SanhedrinItemID">
    <vt:r8>2066529</vt:r8>
  </property>
</Properties>
</file>