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92" w:rsidRDefault="00DC6692" w:rsidP="00DC6692">
      <w:pPr>
        <w:rPr>
          <w:rtl/>
        </w:rPr>
      </w:pPr>
      <w:bookmarkStart w:id="0" w:name="_GoBack"/>
      <w:bookmarkEnd w:id="0"/>
      <w:r>
        <w:rPr>
          <w:rFonts w:hint="cs"/>
          <w:rtl/>
        </w:rPr>
        <w:t>הצעות שבדקו לאחר ההחלטה בדבר דיון מחדש:</w:t>
      </w:r>
    </w:p>
    <w:p w:rsidR="00DC6692" w:rsidRDefault="00DC6692" w:rsidP="00DC6692">
      <w:pPr>
        <w:pStyle w:val="a3"/>
        <w:numPr>
          <w:ilvl w:val="0"/>
          <w:numId w:val="1"/>
        </w:numPr>
      </w:pPr>
      <w:r>
        <w:rPr>
          <w:rFonts w:hint="cs"/>
          <w:rtl/>
        </w:rPr>
        <w:t>להוסיף לסעיף 78טו</w:t>
      </w: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625"/>
        <w:gridCol w:w="625"/>
        <w:gridCol w:w="624"/>
        <w:gridCol w:w="624"/>
        <w:gridCol w:w="595"/>
        <w:gridCol w:w="4679"/>
      </w:tblGrid>
      <w:tr w:rsidR="00DC6692" w:rsidRPr="00D579D0" w:rsidTr="0000020A">
        <w:trPr>
          <w:cantSplit/>
        </w:trPr>
        <w:tc>
          <w:tcPr>
            <w:tcW w:w="187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9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7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000C62" w:rsidRDefault="00DC6692" w:rsidP="0000020A">
            <w:pPr>
              <w:pStyle w:val="TableBlock"/>
              <w:rPr>
                <w:sz w:val="26"/>
                <w:u w:val="single"/>
                <w:rtl/>
              </w:rPr>
            </w:pPr>
            <w:r w:rsidRPr="00000C62">
              <w:rPr>
                <w:rFonts w:hint="cs"/>
                <w:sz w:val="26"/>
                <w:u w:val="single"/>
                <w:rtl/>
              </w:rPr>
              <w:t>(ח1)</w:t>
            </w:r>
            <w:r w:rsidRPr="00000C62">
              <w:rPr>
                <w:sz w:val="26"/>
                <w:u w:val="single"/>
                <w:rtl/>
              </w:rPr>
              <w:tab/>
            </w:r>
            <w:r w:rsidRPr="00000C62">
              <w:rPr>
                <w:rFonts w:hint="cs"/>
                <w:sz w:val="26"/>
                <w:u w:val="single"/>
                <w:rtl/>
              </w:rPr>
              <w:t xml:space="preserve">חל שינוי בזכויות העמיתים בקרן עקב שינוי בחקיקה או שינוי בתקנון האחיד, </w:t>
            </w:r>
            <w:r w:rsidRPr="00000C62">
              <w:rPr>
                <w:rFonts w:hint="eastAsia"/>
                <w:sz w:val="26"/>
                <w:u w:val="single"/>
                <w:rtl/>
              </w:rPr>
              <w:t>למעט</w:t>
            </w:r>
            <w:r w:rsidRPr="00000C62">
              <w:rPr>
                <w:sz w:val="26"/>
                <w:u w:val="single"/>
                <w:rtl/>
              </w:rPr>
              <w:t xml:space="preserve"> שינוי  בשל מנגנון האיזון האקטוארי,</w:t>
            </w:r>
            <w:r w:rsidRPr="00000C62">
              <w:rPr>
                <w:rFonts w:hint="cs"/>
                <w:sz w:val="26"/>
                <w:u w:val="single"/>
                <w:rtl/>
              </w:rPr>
              <w:t xml:space="preserve"> יחושב הסכום כאמור בסעיף קטן (ג), לכל ענין הנוגע לסעיף זה,  כאילו לא חל שינוי כאמור.</w:t>
            </w:r>
          </w:p>
        </w:tc>
      </w:tr>
    </w:tbl>
    <w:p w:rsidR="008456EE" w:rsidRDefault="008456EE">
      <w:pPr>
        <w:rPr>
          <w:rtl/>
        </w:rPr>
      </w:pPr>
    </w:p>
    <w:p w:rsidR="00DC6692" w:rsidRDefault="00DC6692" w:rsidP="0004507E">
      <w:pPr>
        <w:pStyle w:val="a3"/>
        <w:numPr>
          <w:ilvl w:val="0"/>
          <w:numId w:val="1"/>
        </w:numPr>
      </w:pPr>
      <w:r>
        <w:rPr>
          <w:rFonts w:hint="cs"/>
          <w:rtl/>
        </w:rPr>
        <w:t>ל</w:t>
      </w:r>
      <w:r w:rsidR="00000C62">
        <w:rPr>
          <w:rFonts w:hint="cs"/>
          <w:rtl/>
        </w:rPr>
        <w:t>ערו</w:t>
      </w:r>
      <w:r w:rsidR="0004507E">
        <w:rPr>
          <w:rFonts w:hint="cs"/>
          <w:rtl/>
        </w:rPr>
        <w:t>ך</w:t>
      </w:r>
      <w:r w:rsidR="00000C62">
        <w:rPr>
          <w:rFonts w:hint="cs"/>
          <w:rtl/>
        </w:rPr>
        <w:t xml:space="preserve"> את התיקונים </w:t>
      </w:r>
      <w:r w:rsidR="00000C62" w:rsidRPr="00000C62">
        <w:rPr>
          <w:rFonts w:hint="cs"/>
          <w:highlight w:val="yellow"/>
          <w:rtl/>
        </w:rPr>
        <w:t>המודגשים</w:t>
      </w:r>
      <w:r w:rsidR="00000C62">
        <w:rPr>
          <w:rFonts w:hint="cs"/>
          <w:rtl/>
        </w:rPr>
        <w:t xml:space="preserve"> ב</w:t>
      </w:r>
      <w:r>
        <w:rPr>
          <w:rFonts w:hint="cs"/>
          <w:rtl/>
        </w:rPr>
        <w:t>הגדרה "עקום הריבית" שבסעיף 78טו(ט):</w:t>
      </w:r>
    </w:p>
    <w:tbl>
      <w:tblPr>
        <w:bidiVisual/>
        <w:tblW w:w="777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624"/>
        <w:gridCol w:w="595"/>
        <w:gridCol w:w="653"/>
        <w:gridCol w:w="4026"/>
      </w:tblGrid>
      <w:tr w:rsidR="0004507E" w:rsidRPr="00D579D0" w:rsidTr="0004507E">
        <w:trPr>
          <w:cantSplit/>
        </w:trPr>
        <w:tc>
          <w:tcPr>
            <w:tcW w:w="187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4507E" w:rsidRPr="00D579D0" w:rsidRDefault="0004507E" w:rsidP="0000020A">
            <w:pPr>
              <w:pStyle w:val="TableSideHeading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הצעה של אלן </w:t>
            </w:r>
            <w:proofErr w:type="spellStart"/>
            <w:r>
              <w:rPr>
                <w:rFonts w:hint="cs"/>
                <w:sz w:val="26"/>
                <w:rtl/>
              </w:rPr>
              <w:t>פפרמן</w:t>
            </w:r>
            <w:proofErr w:type="spellEnd"/>
            <w:r>
              <w:rPr>
                <w:rFonts w:hint="cs"/>
                <w:sz w:val="26"/>
                <w:rtl/>
              </w:rPr>
              <w:t xml:space="preserve"> שעלתה בפגישה: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4507E" w:rsidRPr="00D579D0" w:rsidRDefault="0004507E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9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4507E" w:rsidRPr="00D579D0" w:rsidRDefault="0004507E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4507E" w:rsidRPr="00D579D0" w:rsidRDefault="0004507E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6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04507E" w:rsidRPr="00D579D0" w:rsidRDefault="0004507E" w:rsidP="00DC6692">
            <w:pPr>
              <w:pStyle w:val="TableBlockOutdent"/>
              <w:rPr>
                <w:sz w:val="26"/>
                <w:rtl/>
              </w:rPr>
            </w:pPr>
            <w:r w:rsidRPr="00D579D0">
              <w:rPr>
                <w:sz w:val="26"/>
                <w:rtl/>
              </w:rPr>
              <w:t>"</w:t>
            </w:r>
            <w:r w:rsidRPr="00D579D0">
              <w:rPr>
                <w:rFonts w:hint="eastAsia"/>
                <w:sz w:val="26"/>
                <w:rtl/>
              </w:rPr>
              <w:t>עקום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הריבית</w:t>
            </w:r>
            <w:r w:rsidRPr="00D579D0">
              <w:rPr>
                <w:sz w:val="26"/>
                <w:rtl/>
              </w:rPr>
              <w:t xml:space="preserve">" </w:t>
            </w:r>
            <w:r>
              <w:rPr>
                <w:sz w:val="26"/>
                <w:rtl/>
              </w:rPr>
              <w:t>–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שיעורי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ריבית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000C62">
              <w:rPr>
                <w:rFonts w:hint="cs"/>
                <w:strike/>
                <w:sz w:val="26"/>
                <w:highlight w:val="yellow"/>
                <w:rtl/>
              </w:rPr>
              <w:t>צפויים</w:t>
            </w:r>
            <w:r w:rsidRPr="00D579D0">
              <w:rPr>
                <w:sz w:val="26"/>
                <w:rtl/>
              </w:rPr>
              <w:t xml:space="preserve">, </w:t>
            </w:r>
            <w:r w:rsidRPr="00D579D0">
              <w:rPr>
                <w:rFonts w:hint="eastAsia"/>
                <w:sz w:val="26"/>
                <w:rtl/>
              </w:rPr>
              <w:t>שלפיהם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חושבו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ההתחייבויות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של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הקרן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במאזן</w:t>
            </w:r>
            <w:r w:rsidRPr="00D579D0">
              <w:rPr>
                <w:sz w:val="26"/>
                <w:rtl/>
              </w:rPr>
              <w:t xml:space="preserve"> </w:t>
            </w:r>
            <w:r w:rsidRPr="00D579D0">
              <w:rPr>
                <w:rFonts w:hint="eastAsia"/>
                <w:sz w:val="26"/>
                <w:rtl/>
              </w:rPr>
              <w:t>הקרן</w:t>
            </w:r>
            <w:r w:rsidRPr="00D579D0">
              <w:rPr>
                <w:sz w:val="26"/>
                <w:rtl/>
              </w:rPr>
              <w:t>;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ואולם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,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השר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באישור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ועדת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העב</w:t>
            </w:r>
            <w:r w:rsidRPr="00DC6692">
              <w:rPr>
                <w:rFonts w:hint="cs"/>
                <w:sz w:val="26"/>
                <w:highlight w:val="yellow"/>
                <w:u w:val="single"/>
                <w:rtl/>
              </w:rPr>
              <w:t>ו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דה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הרווחה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והבריאות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של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הכנסת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, רשאי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לקבוע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כי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עקום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הריבית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יחושב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לפי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שיעורי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ריבית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צפויים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אחרים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, </w:t>
            </w:r>
            <w:r w:rsidRPr="00DC6692">
              <w:rPr>
                <w:rFonts w:hint="cs"/>
                <w:sz w:val="26"/>
                <w:highlight w:val="yellow"/>
                <w:u w:val="single"/>
                <w:rtl/>
              </w:rPr>
              <w:t xml:space="preserve">אם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חל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שינוי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בהנחיות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הממונה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לעניין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שיעורי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הריבית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הצפויים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שלפיהם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מחושבות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proofErr w:type="spellStart"/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התחיבויות</w:t>
            </w:r>
            <w:proofErr w:type="spellEnd"/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במאזן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קרן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,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באופן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המשנה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את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שיעורי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</w:t>
            </w:r>
            <w:r w:rsidRPr="00DC6692">
              <w:rPr>
                <w:rFonts w:hint="eastAsia"/>
                <w:sz w:val="26"/>
                <w:highlight w:val="yellow"/>
                <w:u w:val="single"/>
                <w:rtl/>
              </w:rPr>
              <w:t>הריבית</w:t>
            </w:r>
            <w:r w:rsidRPr="00DC6692">
              <w:rPr>
                <w:sz w:val="26"/>
                <w:highlight w:val="yellow"/>
                <w:u w:val="single"/>
                <w:rtl/>
              </w:rPr>
              <w:t xml:space="preserve"> לעומת שיעוריהם ערב תיקון מס' 33;</w:t>
            </w:r>
          </w:p>
        </w:tc>
      </w:tr>
    </w:tbl>
    <w:p w:rsidR="00DC6692" w:rsidRDefault="00DC6692" w:rsidP="00DC6692">
      <w:pPr>
        <w:pStyle w:val="a3"/>
        <w:numPr>
          <w:ilvl w:val="0"/>
          <w:numId w:val="1"/>
        </w:numPr>
      </w:pPr>
      <w:r>
        <w:rPr>
          <w:rFonts w:hint="cs"/>
          <w:rtl/>
        </w:rPr>
        <w:t>להחזיר לסעיף 78כא את ההגדרה שיעור ריבית רעיוני:</w:t>
      </w: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625"/>
        <w:gridCol w:w="625"/>
        <w:gridCol w:w="624"/>
        <w:gridCol w:w="624"/>
        <w:gridCol w:w="595"/>
        <w:gridCol w:w="4679"/>
      </w:tblGrid>
      <w:tr w:rsidR="00DC6692" w:rsidRPr="00F869D6" w:rsidTr="0000020A">
        <w:trPr>
          <w:cantSplit/>
        </w:trPr>
        <w:tc>
          <w:tcPr>
            <w:tcW w:w="187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9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79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000C62" w:rsidRDefault="00DC6692" w:rsidP="0000020A">
            <w:pPr>
              <w:pStyle w:val="TableBlockOutdent"/>
              <w:rPr>
                <w:u w:val="single"/>
                <w:rtl/>
              </w:rPr>
            </w:pPr>
            <w:r w:rsidRPr="00000C62">
              <w:rPr>
                <w:rFonts w:hint="cs"/>
                <w:u w:val="single"/>
                <w:rtl/>
              </w:rPr>
              <w:t xml:space="preserve">"שיעור ריבית רעיוני לשנת 2011" </w:t>
            </w:r>
            <w:r w:rsidRPr="00000C62">
              <w:rPr>
                <w:rFonts w:hint="eastAsia"/>
                <w:u w:val="single"/>
                <w:rtl/>
              </w:rPr>
              <w:t>–</w:t>
            </w:r>
            <w:r w:rsidRPr="00000C62">
              <w:rPr>
                <w:rFonts w:hint="cs"/>
                <w:u w:val="single"/>
                <w:rtl/>
              </w:rPr>
              <w:t xml:space="preserve"> שיעור ריבית רעיוני, אשר תוצאת חישוב ערך התחייבויות הקרן במאזן הקרן לשנת 2011 לפיו זהה לתוצאת חישוב ערך </w:t>
            </w:r>
            <w:proofErr w:type="spellStart"/>
            <w:r w:rsidRPr="00000C62">
              <w:rPr>
                <w:rFonts w:hint="cs"/>
                <w:u w:val="single"/>
                <w:rtl/>
              </w:rPr>
              <w:t>התחיבויות</w:t>
            </w:r>
            <w:proofErr w:type="spellEnd"/>
            <w:r w:rsidRPr="00000C62">
              <w:rPr>
                <w:rFonts w:hint="cs"/>
                <w:u w:val="single"/>
                <w:rtl/>
              </w:rPr>
              <w:t xml:space="preserve"> הקרן כפי שהופיעה במאזן הקרן לשנת 2011;</w:t>
            </w:r>
          </w:p>
        </w:tc>
      </w:tr>
    </w:tbl>
    <w:p w:rsidR="00DC6692" w:rsidRDefault="00DC6692" w:rsidP="00DC6692">
      <w:pPr>
        <w:pStyle w:val="a3"/>
        <w:ind w:left="700" w:firstLine="0"/>
      </w:pPr>
    </w:p>
    <w:p w:rsidR="00DC6692" w:rsidRDefault="00DC6692" w:rsidP="00DC6692">
      <w:pPr>
        <w:pStyle w:val="a3"/>
        <w:numPr>
          <w:ilvl w:val="0"/>
          <w:numId w:val="1"/>
        </w:numPr>
      </w:pPr>
      <w:r>
        <w:rPr>
          <w:rFonts w:hint="cs"/>
          <w:rtl/>
        </w:rPr>
        <w:t>לתקן בהגדרה תקרת כרית מעודכנת שבסעיף 78כא את המילים ה</w:t>
      </w:r>
      <w:r w:rsidRPr="00000C62">
        <w:rPr>
          <w:rFonts w:hint="cs"/>
          <w:highlight w:val="yellow"/>
          <w:rtl/>
        </w:rPr>
        <w:t>מודגשות</w:t>
      </w:r>
      <w:r>
        <w:rPr>
          <w:rFonts w:hint="cs"/>
          <w:rtl/>
        </w:rPr>
        <w:t>:</w:t>
      </w: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625"/>
        <w:gridCol w:w="625"/>
        <w:gridCol w:w="624"/>
        <w:gridCol w:w="624"/>
        <w:gridCol w:w="595"/>
        <w:gridCol w:w="653"/>
        <w:gridCol w:w="4026"/>
      </w:tblGrid>
      <w:tr w:rsidR="00DC6692" w:rsidRPr="00F877B7" w:rsidTr="0000020A">
        <w:trPr>
          <w:cantSplit/>
        </w:trPr>
        <w:tc>
          <w:tcPr>
            <w:tcW w:w="187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CB55DD" w:rsidRDefault="00DC6692" w:rsidP="0000020A">
            <w:pPr>
              <w:pStyle w:val="TableSideHeading"/>
              <w:rPr>
                <w:rFonts w:cs="Guttman Yad-Brush"/>
                <w:sz w:val="18"/>
                <w:szCs w:val="18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567EFB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9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567EFB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679" w:type="dxa"/>
            <w:gridSpan w:val="2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F877B7" w:rsidRDefault="00DC6692" w:rsidP="0000020A">
            <w:pPr>
              <w:pStyle w:val="TableBlockOutdent"/>
              <w:rPr>
                <w:sz w:val="26"/>
                <w:rtl/>
              </w:rPr>
            </w:pPr>
            <w:r w:rsidRPr="00F877B7">
              <w:rPr>
                <w:sz w:val="26"/>
                <w:rtl/>
              </w:rPr>
              <w:t>"</w:t>
            </w:r>
            <w:r w:rsidRPr="00F877B7">
              <w:rPr>
                <w:rFonts w:hint="eastAsia"/>
                <w:sz w:val="26"/>
                <w:rtl/>
              </w:rPr>
              <w:t>תקרת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כרית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מעודכנת</w:t>
            </w:r>
            <w:r w:rsidRPr="00F877B7">
              <w:rPr>
                <w:sz w:val="26"/>
                <w:rtl/>
              </w:rPr>
              <w:t xml:space="preserve">" – </w:t>
            </w:r>
            <w:r w:rsidRPr="00F877B7">
              <w:rPr>
                <w:rFonts w:hint="eastAsia"/>
                <w:sz w:val="26"/>
                <w:rtl/>
              </w:rPr>
              <w:t>הנמוך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מבין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אלה</w:t>
            </w:r>
            <w:r w:rsidRPr="00F877B7">
              <w:rPr>
                <w:sz w:val="26"/>
                <w:rtl/>
              </w:rPr>
              <w:t xml:space="preserve">: </w:t>
            </w:r>
          </w:p>
        </w:tc>
      </w:tr>
      <w:tr w:rsidR="00DC6692" w:rsidRPr="00F877B7" w:rsidTr="0000020A">
        <w:trPr>
          <w:cantSplit/>
        </w:trPr>
        <w:tc>
          <w:tcPr>
            <w:tcW w:w="187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9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6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F877B7" w:rsidRDefault="00DC6692" w:rsidP="0000020A">
            <w:pPr>
              <w:pStyle w:val="TableBlock"/>
              <w:rPr>
                <w:sz w:val="26"/>
                <w:rtl/>
              </w:rPr>
            </w:pPr>
            <w:r w:rsidRPr="00F877B7">
              <w:rPr>
                <w:sz w:val="26"/>
                <w:rtl/>
              </w:rPr>
              <w:t>(1)</w:t>
            </w:r>
            <w:r w:rsidRPr="00F877B7">
              <w:rPr>
                <w:sz w:val="26"/>
                <w:rtl/>
              </w:rPr>
              <w:tab/>
            </w:r>
            <w:r w:rsidRPr="00F877B7">
              <w:rPr>
                <w:rFonts w:hint="eastAsia"/>
                <w:sz w:val="26"/>
                <w:rtl/>
              </w:rPr>
              <w:t>שיעור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הכרית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כשהוא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מוכפל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בהפרש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שבין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ערך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התחייבויות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הקרן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לפי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מאזן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הקרן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בשל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השנה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שקדמה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לשנה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הקובעת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כשהוא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מחושב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לפי</w:t>
            </w:r>
            <w:r w:rsidRPr="00F877B7">
              <w:rPr>
                <w:sz w:val="26"/>
                <w:rtl/>
              </w:rPr>
              <w:t xml:space="preserve"> </w:t>
            </w:r>
            <w:r w:rsidRPr="00DC6692">
              <w:rPr>
                <w:rFonts w:hint="cs"/>
                <w:strike/>
                <w:sz w:val="26"/>
                <w:highlight w:val="yellow"/>
                <w:rtl/>
              </w:rPr>
              <w:t>עקום הריבית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DC6692">
              <w:rPr>
                <w:rFonts w:hint="cs"/>
                <w:sz w:val="26"/>
                <w:highlight w:val="yellow"/>
                <w:u w:val="single"/>
                <w:rtl/>
              </w:rPr>
              <w:t>שיעור ריבית רעיוני לשנת 2011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cs"/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לבין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ערך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התחייבויות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הקרן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cs"/>
                <w:sz w:val="26"/>
                <w:rtl/>
              </w:rPr>
              <w:t xml:space="preserve">לפי מאזן הקרן </w:t>
            </w:r>
            <w:r w:rsidRPr="00F877B7">
              <w:rPr>
                <w:rFonts w:hint="eastAsia"/>
                <w:sz w:val="26"/>
                <w:rtl/>
              </w:rPr>
              <w:t>בשל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</w:t>
            </w:r>
            <w:r w:rsidRPr="00F877B7">
              <w:rPr>
                <w:rFonts w:hint="cs"/>
                <w:sz w:val="26"/>
                <w:rtl/>
              </w:rPr>
              <w:t xml:space="preserve">שנה שקדמה לשנה הקובעת </w:t>
            </w:r>
            <w:r w:rsidRPr="00F877B7">
              <w:rPr>
                <w:rFonts w:hint="eastAsia"/>
                <w:sz w:val="26"/>
                <w:rtl/>
              </w:rPr>
              <w:t>כשהוא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מחושב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לפי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שיעור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ריבית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של</w:t>
            </w:r>
            <w:r w:rsidRPr="00F877B7">
              <w:rPr>
                <w:sz w:val="26"/>
                <w:rtl/>
              </w:rPr>
              <w:t xml:space="preserve"> 4%;</w:t>
            </w:r>
          </w:p>
        </w:tc>
      </w:tr>
      <w:tr w:rsidR="00DC6692" w:rsidRPr="00F877B7" w:rsidTr="0000020A">
        <w:trPr>
          <w:cantSplit/>
        </w:trPr>
        <w:tc>
          <w:tcPr>
            <w:tcW w:w="187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95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D579D0" w:rsidRDefault="00DC6692" w:rsidP="0000020A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4026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DC6692" w:rsidRPr="00F877B7" w:rsidRDefault="00DC6692" w:rsidP="0000020A">
            <w:pPr>
              <w:pStyle w:val="TableBlock"/>
              <w:rPr>
                <w:sz w:val="26"/>
                <w:rtl/>
              </w:rPr>
            </w:pPr>
            <w:r w:rsidRPr="00F877B7">
              <w:rPr>
                <w:sz w:val="26"/>
                <w:rtl/>
              </w:rPr>
              <w:t>(2)</w:t>
            </w:r>
            <w:r w:rsidRPr="00F877B7">
              <w:rPr>
                <w:sz w:val="26"/>
                <w:rtl/>
              </w:rPr>
              <w:tab/>
            </w:r>
            <w:r w:rsidRPr="00F877B7">
              <w:rPr>
                <w:rFonts w:hint="eastAsia"/>
                <w:sz w:val="26"/>
                <w:rtl/>
              </w:rPr>
              <w:t>הסכום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שנקבע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לקרן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לפי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תוספת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ראשונה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ב</w:t>
            </w:r>
            <w:r w:rsidRPr="00F877B7">
              <w:rPr>
                <w:sz w:val="26"/>
                <w:rtl/>
              </w:rPr>
              <w:t xml:space="preserve">', </w:t>
            </w:r>
            <w:r w:rsidRPr="00F877B7">
              <w:rPr>
                <w:rFonts w:hint="eastAsia"/>
                <w:sz w:val="26"/>
                <w:rtl/>
              </w:rPr>
              <w:t>בתוספת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שיעור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שינוי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cs"/>
                <w:sz w:val="26"/>
                <w:rtl/>
              </w:rPr>
              <w:t>ה</w:t>
            </w:r>
            <w:r w:rsidRPr="00F877B7">
              <w:rPr>
                <w:rFonts w:hint="eastAsia"/>
                <w:sz w:val="26"/>
                <w:rtl/>
              </w:rPr>
              <w:t>מדד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שלפיו</w:t>
            </w:r>
            <w:r w:rsidRPr="00F877B7">
              <w:rPr>
                <w:sz w:val="26"/>
                <w:rtl/>
              </w:rPr>
              <w:t xml:space="preserve"> חושב מאזן הקרן </w:t>
            </w:r>
            <w:r w:rsidRPr="00F877B7">
              <w:rPr>
                <w:rFonts w:hint="eastAsia"/>
                <w:sz w:val="26"/>
                <w:rtl/>
              </w:rPr>
              <w:t>בשל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השנה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שקדמה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לשנה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הקובעת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לעומת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מדד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חודש</w:t>
            </w:r>
            <w:r w:rsidRPr="00F877B7">
              <w:rPr>
                <w:sz w:val="26"/>
                <w:rtl/>
              </w:rPr>
              <w:t xml:space="preserve"> </w:t>
            </w:r>
            <w:r w:rsidRPr="00F877B7">
              <w:rPr>
                <w:rFonts w:hint="eastAsia"/>
                <w:sz w:val="26"/>
                <w:rtl/>
              </w:rPr>
              <w:t>דצמבר</w:t>
            </w:r>
            <w:r w:rsidRPr="00F877B7">
              <w:rPr>
                <w:sz w:val="26"/>
                <w:rtl/>
              </w:rPr>
              <w:t xml:space="preserve"> 2011.</w:t>
            </w:r>
          </w:p>
        </w:tc>
      </w:tr>
    </w:tbl>
    <w:p w:rsidR="00DC6692" w:rsidRDefault="00DC6692" w:rsidP="00DC6692">
      <w:pPr>
        <w:pStyle w:val="a3"/>
        <w:numPr>
          <w:ilvl w:val="0"/>
          <w:numId w:val="1"/>
        </w:numPr>
      </w:pPr>
      <w:r>
        <w:rPr>
          <w:rFonts w:hint="cs"/>
          <w:rtl/>
        </w:rPr>
        <w:t>להוסיף לסעיף 78כב סעיף קטן (י):</w:t>
      </w: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624"/>
        <w:gridCol w:w="624"/>
        <w:gridCol w:w="624"/>
        <w:gridCol w:w="624"/>
        <w:gridCol w:w="4652"/>
      </w:tblGrid>
      <w:tr w:rsidR="00DC6692" w:rsidTr="0000020A">
        <w:trPr>
          <w:cantSplit/>
          <w:trHeight w:val="60"/>
        </w:trPr>
        <w:tc>
          <w:tcPr>
            <w:tcW w:w="1871" w:type="dxa"/>
          </w:tcPr>
          <w:p w:rsidR="00DC6692" w:rsidRDefault="00DC6692" w:rsidP="0000020A">
            <w:pPr>
              <w:pStyle w:val="TableSideHeading"/>
            </w:pPr>
          </w:p>
        </w:tc>
        <w:tc>
          <w:tcPr>
            <w:tcW w:w="624" w:type="dxa"/>
          </w:tcPr>
          <w:p w:rsidR="00DC6692" w:rsidRDefault="00DC6692" w:rsidP="0000020A">
            <w:pPr>
              <w:pStyle w:val="TableText"/>
            </w:pPr>
          </w:p>
        </w:tc>
        <w:tc>
          <w:tcPr>
            <w:tcW w:w="624" w:type="dxa"/>
          </w:tcPr>
          <w:p w:rsidR="00DC6692" w:rsidRDefault="00DC6692" w:rsidP="0000020A">
            <w:pPr>
              <w:pStyle w:val="TableText"/>
            </w:pPr>
          </w:p>
        </w:tc>
        <w:tc>
          <w:tcPr>
            <w:tcW w:w="624" w:type="dxa"/>
          </w:tcPr>
          <w:p w:rsidR="00DC6692" w:rsidRDefault="00DC6692" w:rsidP="0000020A">
            <w:pPr>
              <w:pStyle w:val="TableText"/>
            </w:pPr>
          </w:p>
        </w:tc>
        <w:tc>
          <w:tcPr>
            <w:tcW w:w="624" w:type="dxa"/>
          </w:tcPr>
          <w:p w:rsidR="00DC6692" w:rsidRDefault="00DC6692" w:rsidP="0000020A">
            <w:pPr>
              <w:pStyle w:val="TableText"/>
            </w:pPr>
          </w:p>
        </w:tc>
        <w:tc>
          <w:tcPr>
            <w:tcW w:w="624" w:type="dxa"/>
          </w:tcPr>
          <w:p w:rsidR="00DC6692" w:rsidRDefault="00DC6692" w:rsidP="0000020A">
            <w:pPr>
              <w:pStyle w:val="TableText"/>
            </w:pPr>
          </w:p>
        </w:tc>
        <w:tc>
          <w:tcPr>
            <w:tcW w:w="4650" w:type="dxa"/>
          </w:tcPr>
          <w:p w:rsidR="00DC6692" w:rsidRPr="00000C62" w:rsidRDefault="00DC6692" w:rsidP="0000020A">
            <w:pPr>
              <w:pStyle w:val="TableBlock"/>
              <w:rPr>
                <w:u w:val="single"/>
              </w:rPr>
            </w:pPr>
            <w:r w:rsidRPr="00000C62">
              <w:rPr>
                <w:rFonts w:hint="cs"/>
                <w:sz w:val="26"/>
                <w:u w:val="single"/>
                <w:rtl/>
              </w:rPr>
              <w:t>(י)</w:t>
            </w:r>
            <w:r w:rsidRPr="00000C62">
              <w:rPr>
                <w:sz w:val="26"/>
                <w:u w:val="single"/>
                <w:rtl/>
              </w:rPr>
              <w:tab/>
            </w:r>
            <w:r w:rsidRPr="00000C62">
              <w:rPr>
                <w:rFonts w:hint="cs"/>
                <w:sz w:val="26"/>
                <w:u w:val="single"/>
                <w:rtl/>
              </w:rPr>
              <w:t xml:space="preserve">חל שינוי בזכויות העמיתים בקרן עקב שינוי בחקיקה או שינוי </w:t>
            </w:r>
            <w:r w:rsidRPr="00000C62">
              <w:rPr>
                <w:rFonts w:hint="eastAsia"/>
                <w:sz w:val="26"/>
                <w:u w:val="single"/>
                <w:rtl/>
              </w:rPr>
              <w:t>בתקנון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הקרן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שלא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ביוזמת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הקרן</w:t>
            </w:r>
            <w:r w:rsidRPr="00000C62">
              <w:rPr>
                <w:rFonts w:hint="cs"/>
                <w:sz w:val="26"/>
                <w:u w:val="single"/>
                <w:rtl/>
              </w:rPr>
              <w:t xml:space="preserve">, מעבר לשינויים שבתוספת הראשונה א', </w:t>
            </w:r>
            <w:r w:rsidRPr="00000C62">
              <w:rPr>
                <w:rFonts w:hint="eastAsia"/>
                <w:sz w:val="26"/>
                <w:u w:val="single"/>
                <w:rtl/>
              </w:rPr>
              <w:t>ולמעט</w:t>
            </w:r>
            <w:r w:rsidRPr="00000C62">
              <w:rPr>
                <w:sz w:val="26"/>
                <w:u w:val="single"/>
                <w:rtl/>
              </w:rPr>
              <w:t xml:space="preserve"> שינוי </w:t>
            </w:r>
            <w:r w:rsidRPr="00000C62">
              <w:rPr>
                <w:rFonts w:hint="eastAsia"/>
                <w:sz w:val="26"/>
                <w:u w:val="single"/>
                <w:rtl/>
              </w:rPr>
              <w:t>בשל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מנגנון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האיזון</w:t>
            </w:r>
            <w:r w:rsidRPr="00000C62">
              <w:rPr>
                <w:sz w:val="26"/>
                <w:u w:val="single"/>
                <w:rtl/>
              </w:rPr>
              <w:t xml:space="preserve"> </w:t>
            </w:r>
            <w:r w:rsidRPr="00000C62">
              <w:rPr>
                <w:rFonts w:hint="eastAsia"/>
                <w:sz w:val="26"/>
                <w:u w:val="single"/>
                <w:rtl/>
              </w:rPr>
              <w:t>האקטוארי</w:t>
            </w:r>
            <w:r w:rsidRPr="00000C62">
              <w:rPr>
                <w:rFonts w:hint="cs"/>
                <w:sz w:val="26"/>
                <w:u w:val="single"/>
                <w:rtl/>
              </w:rPr>
              <w:t>, יחושב הסכום כאמור בסעיף קטן (ד), לכל ענין הנוגע לפרק זה,  כאילו לא חל שינוי כאמור.</w:t>
            </w:r>
            <w:r w:rsidRPr="00000C62">
              <w:rPr>
                <w:rFonts w:hint="cs"/>
                <w:u w:val="single"/>
                <w:rtl/>
              </w:rPr>
              <w:t>"</w:t>
            </w:r>
          </w:p>
        </w:tc>
      </w:tr>
    </w:tbl>
    <w:p w:rsidR="00DC6692" w:rsidRPr="00DC6692" w:rsidRDefault="00DC6692" w:rsidP="00DC6692">
      <w:pPr>
        <w:pStyle w:val="a3"/>
        <w:ind w:left="700" w:firstLine="0"/>
      </w:pPr>
    </w:p>
    <w:sectPr w:rsidR="00DC6692" w:rsidRPr="00DC6692" w:rsidSect="001906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1544F"/>
    <w:multiLevelType w:val="hybridMultilevel"/>
    <w:tmpl w:val="63147524"/>
    <w:lvl w:ilvl="0" w:tplc="071E5A1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92"/>
    <w:rsid w:val="00000C62"/>
    <w:rsid w:val="00022ABB"/>
    <w:rsid w:val="0004507E"/>
    <w:rsid w:val="00051A76"/>
    <w:rsid w:val="000E506F"/>
    <w:rsid w:val="00190670"/>
    <w:rsid w:val="002751B0"/>
    <w:rsid w:val="0030124C"/>
    <w:rsid w:val="0047065C"/>
    <w:rsid w:val="004F7B3E"/>
    <w:rsid w:val="00510B81"/>
    <w:rsid w:val="005B1779"/>
    <w:rsid w:val="007A1F7F"/>
    <w:rsid w:val="00810BF0"/>
    <w:rsid w:val="008456EE"/>
    <w:rsid w:val="00862F98"/>
    <w:rsid w:val="008B458C"/>
    <w:rsid w:val="00A623A0"/>
    <w:rsid w:val="00B01F5E"/>
    <w:rsid w:val="00B03825"/>
    <w:rsid w:val="00B6120E"/>
    <w:rsid w:val="00C5562B"/>
    <w:rsid w:val="00CC27A1"/>
    <w:rsid w:val="00D143A0"/>
    <w:rsid w:val="00DC6692"/>
    <w:rsid w:val="00E75AF6"/>
    <w:rsid w:val="00EF569E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4FCC9-5EEF-4764-9ED7-3C32D8F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92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DC6692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DC6692"/>
    <w:pPr>
      <w:ind w:right="0"/>
      <w:jc w:val="both"/>
    </w:pPr>
  </w:style>
  <w:style w:type="paragraph" w:customStyle="1" w:styleId="TableSideHeading">
    <w:name w:val="Table SideHeading"/>
    <w:basedOn w:val="TableText"/>
    <w:rsid w:val="00DC6692"/>
  </w:style>
  <w:style w:type="paragraph" w:styleId="a3">
    <w:name w:val="List Paragraph"/>
    <w:basedOn w:val="a"/>
    <w:uiPriority w:val="34"/>
    <w:qFormat/>
    <w:rsid w:val="00DC6692"/>
    <w:pPr>
      <w:ind w:left="720"/>
      <w:contextualSpacing/>
    </w:pPr>
  </w:style>
  <w:style w:type="paragraph" w:customStyle="1" w:styleId="TableBlockOutdent">
    <w:name w:val="Table BlockOutdent"/>
    <w:basedOn w:val="TableBlock"/>
    <w:uiPriority w:val="99"/>
    <w:rsid w:val="00DC6692"/>
    <w:pPr>
      <w:ind w:left="624" w:hanging="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ED264-1F94-483E-8520-9BE295131847}"/>
</file>

<file path=customXml/itemProps2.xml><?xml version="1.0" encoding="utf-8"?>
<ds:datastoreItem xmlns:ds="http://schemas.openxmlformats.org/officeDocument/2006/customXml" ds:itemID="{F21A3461-369A-4557-A455-B9415E7024EE}"/>
</file>

<file path=customXml/itemProps3.xml><?xml version="1.0" encoding="utf-8"?>
<ds:datastoreItem xmlns:ds="http://schemas.openxmlformats.org/officeDocument/2006/customXml" ds:itemID="{356CAEBB-DB2D-4A9B-8FBB-1E12AE3CD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 of Israel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נעה בן שבת</dc:creator>
  <cp:keywords/>
  <dc:description/>
  <cp:lastModifiedBy>שי גרשון מאיר</cp:lastModifiedBy>
  <cp:revision>2</cp:revision>
  <dcterms:created xsi:type="dcterms:W3CDTF">2017-01-08T09:16:00Z</dcterms:created>
  <dcterms:modified xsi:type="dcterms:W3CDTF">2017-01-08T09:16:00Z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2011923</vt:r8>
  </property>
</Properties>
</file>