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563437</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ישראל אייכלר</w:t>
      </w:r>
      <w:bookmarkEnd w:id="4"/>
    </w:p>
    <w:p w14:paraId="7F6961AA" w14:textId="77777777" w:rsidR="00E13C27" w:rsidRPr="00CF1AA2" w:rsidRDefault="007D585A" w:rsidP="00CF1AA2">
      <w:pPr>
        <w:pStyle w:val="David"/>
        <w:ind w:left="3544"/>
        <w:rPr>
          <w:b/>
          <w:bCs/>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4E8C7" id="Freeform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7" w:name="Private_Number"/>
      <w:r>
        <w:rPr>
          <w:rFonts w:hint="cs"/>
          <w:rtl/>
        </w:rPr>
        <w:t>פ/500/20</w:t>
      </w:r>
      <w:bookmarkEnd w:id="7"/>
      <w:r w:rsidR="00E13C27" w:rsidRPr="00E06736">
        <w:rPr>
          <w:rFonts w:hint="cs"/>
          <w:rtl/>
        </w:rPr>
        <w:tab/>
      </w:r>
      <w:r w:rsidR="00E13C27" w:rsidRPr="00E06736">
        <w:rPr>
          <w:rFonts w:hint="cs"/>
          <w:rtl/>
        </w:rPr>
        <w:tab/>
      </w:r>
      <w:r w:rsidR="00E13C27" w:rsidRPr="00E06736">
        <w:rPr>
          <w:rFonts w:hint="cs"/>
          <w:rtl/>
        </w:rPr>
        <w:tab/>
      </w:r>
    </w:p>
    <w:p w14:paraId="7F551298" w14:textId="77777777" w:rsidR="00B20D2E" w:rsidRDefault="00B20D2E" w:rsidP="00A443CF">
      <w:pPr>
        <w:pStyle w:val="HeadHatzaotHok"/>
        <w:spacing w:line="240" w:lineRule="auto"/>
        <w:rPr>
          <w:rtl/>
        </w:rPr>
      </w:pPr>
      <w:bookmarkStart w:id="8" w:name="LGS_Subject"/>
    </w:p>
    <w:p w14:paraId="7F6961AD" w14:textId="619359B2" w:rsidR="00E13C27" w:rsidRPr="00F67051" w:rsidRDefault="00A443CF" w:rsidP="00A443CF">
      <w:pPr>
        <w:pStyle w:val="HeadHatzaotHok"/>
        <w:spacing w:line="240" w:lineRule="auto"/>
        <w:rPr>
          <w:rtl/>
        </w:rPr>
      </w:pPr>
      <w:r>
        <w:rPr>
          <w:rFonts w:hint="cs"/>
          <w:rtl/>
        </w:rPr>
        <w:t xml:space="preserve">הצעת חוק לתיקון פקודת הסטטיסטיקה (עונשין), </w:t>
      </w:r>
      <w:proofErr w:type="spellStart"/>
      <w:r>
        <w:rPr>
          <w:rFonts w:hint="cs"/>
          <w:rtl/>
        </w:rPr>
        <w:t>התשע"ה</w:t>
      </w:r>
      <w:proofErr w:type="spellEnd"/>
      <w:r>
        <w:rPr>
          <w:rFonts w:hint="cs"/>
          <w:rtl/>
        </w:rPr>
        <w:t>–2015</w:t>
      </w:r>
      <w:bookmarkEnd w:id="8"/>
    </w:p>
    <w:p w14:paraId="7F6961AE" w14:textId="77777777" w:rsidR="00E13C27" w:rsidRDefault="00E13C27" w:rsidP="0000131B">
      <w:pPr>
        <w:pStyle w:val="HeadDivreiHesber"/>
        <w:spacing w:before="0" w:after="0" w:line="240"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0D3975">
        <w:trPr>
          <w:cantSplit/>
          <w:trHeight w:val="60"/>
        </w:trPr>
        <w:tc>
          <w:tcPr>
            <w:tcW w:w="1871" w:type="dxa"/>
          </w:tcPr>
          <w:p w14:paraId="3863FF98" w14:textId="01B45DDA" w:rsidR="002F1D80" w:rsidRPr="005D34BC" w:rsidRDefault="002F48B2" w:rsidP="005D34BC">
            <w:pPr>
              <w:pStyle w:val="TableSideHeading"/>
              <w:ind w:right="0"/>
            </w:pPr>
            <w:r>
              <w:rPr>
                <w:rFonts w:hint="cs"/>
                <w:rtl/>
              </w:rPr>
              <w:t>תיקון סעיף 1</w:t>
            </w:r>
          </w:p>
        </w:tc>
        <w:tc>
          <w:tcPr>
            <w:tcW w:w="624" w:type="dxa"/>
          </w:tcPr>
          <w:p w14:paraId="6F513EF6" w14:textId="24D3FC0B" w:rsidR="002F1D80" w:rsidRPr="005D34BC" w:rsidRDefault="005D34BC" w:rsidP="005D34BC">
            <w:pPr>
              <w:pStyle w:val="TableText"/>
              <w:ind w:right="0"/>
              <w:jc w:val="both"/>
            </w:pPr>
            <w:r>
              <w:rPr>
                <w:rFonts w:hint="cs"/>
                <w:rtl/>
              </w:rPr>
              <w:t xml:space="preserve">1. </w:t>
            </w:r>
          </w:p>
        </w:tc>
        <w:tc>
          <w:tcPr>
            <w:tcW w:w="7146" w:type="dxa"/>
          </w:tcPr>
          <w:p w14:paraId="1AE94DEB" w14:textId="52BE5DFB" w:rsidR="002F1D80" w:rsidRPr="005D34BC" w:rsidRDefault="002F48B2" w:rsidP="00B20D2E">
            <w:pPr>
              <w:pStyle w:val="TableBlock"/>
            </w:pPr>
            <w:r>
              <w:rPr>
                <w:rFonts w:hint="cs"/>
                <w:rtl/>
              </w:rPr>
              <w:t xml:space="preserve">בפקודת הסטטיסטיקה </w:t>
            </w:r>
            <w:r w:rsidRPr="00946A7A">
              <w:rPr>
                <w:rtl/>
              </w:rPr>
              <w:t xml:space="preserve">[נוסח חדש], </w:t>
            </w:r>
            <w:proofErr w:type="spellStart"/>
            <w:r>
              <w:rPr>
                <w:rFonts w:hint="cs"/>
                <w:rtl/>
              </w:rPr>
              <w:t>ה</w:t>
            </w:r>
            <w:r w:rsidRPr="00946A7A">
              <w:rPr>
                <w:rtl/>
              </w:rPr>
              <w:t>תשל"ב</w:t>
            </w:r>
            <w:proofErr w:type="spellEnd"/>
            <w:r>
              <w:rPr>
                <w:rFonts w:hint="eastAsia"/>
                <w:rtl/>
              </w:rPr>
              <w:t>–</w:t>
            </w:r>
            <w:r w:rsidRPr="00946A7A">
              <w:rPr>
                <w:rtl/>
              </w:rPr>
              <w:t>1972</w:t>
            </w:r>
            <w:r>
              <w:rPr>
                <w:rStyle w:val="a6"/>
                <w:rtl/>
              </w:rPr>
              <w:footnoteReference w:id="2"/>
            </w:r>
            <w:r>
              <w:rPr>
                <w:rFonts w:hint="cs"/>
                <w:rtl/>
              </w:rPr>
              <w:t xml:space="preserve"> (להלן – </w:t>
            </w:r>
            <w:r w:rsidR="00B20D2E">
              <w:rPr>
                <w:rFonts w:hint="cs"/>
                <w:rtl/>
              </w:rPr>
              <w:t>הפקודה</w:t>
            </w:r>
            <w:r>
              <w:rPr>
                <w:rFonts w:hint="cs"/>
                <w:rtl/>
              </w:rPr>
              <w:t>), בסעיף 1, בהגדרה "צו מפקד", במקום "3" יבוא "6".</w:t>
            </w:r>
          </w:p>
        </w:tc>
      </w:tr>
      <w:tr w:rsidR="002F1D80" w14:paraId="3D9B61D1" w14:textId="77777777" w:rsidTr="000D3975">
        <w:trPr>
          <w:cantSplit/>
          <w:trHeight w:val="60"/>
        </w:trPr>
        <w:tc>
          <w:tcPr>
            <w:tcW w:w="1871" w:type="dxa"/>
          </w:tcPr>
          <w:p w14:paraId="6C0CB9D8" w14:textId="0DBD1AA5" w:rsidR="002F1D80" w:rsidRDefault="001440D4" w:rsidP="000D3975">
            <w:pPr>
              <w:pStyle w:val="TableSideHeading"/>
              <w:keepLines w:val="0"/>
            </w:pPr>
            <w:r>
              <w:rPr>
                <w:rFonts w:hint="cs"/>
                <w:rtl/>
              </w:rPr>
              <w:t>תיקון סעיף 21</w:t>
            </w:r>
          </w:p>
        </w:tc>
        <w:tc>
          <w:tcPr>
            <w:tcW w:w="624" w:type="dxa"/>
          </w:tcPr>
          <w:p w14:paraId="3F4286A2" w14:textId="21240C3D" w:rsidR="002F1D80" w:rsidRDefault="005D34BC" w:rsidP="000D3975">
            <w:pPr>
              <w:pStyle w:val="TableText"/>
              <w:keepLines w:val="0"/>
            </w:pPr>
            <w:r>
              <w:rPr>
                <w:rFonts w:hint="cs"/>
                <w:rtl/>
              </w:rPr>
              <w:t>2</w:t>
            </w:r>
            <w:r w:rsidR="001440D4">
              <w:rPr>
                <w:rFonts w:hint="cs"/>
                <w:rtl/>
              </w:rPr>
              <w:t>.</w:t>
            </w:r>
          </w:p>
        </w:tc>
        <w:tc>
          <w:tcPr>
            <w:tcW w:w="7146" w:type="dxa"/>
          </w:tcPr>
          <w:p w14:paraId="7633D5BB" w14:textId="7A3B41A8" w:rsidR="002F1D80" w:rsidRPr="00C34DE2" w:rsidRDefault="001440D4" w:rsidP="00B20D2E">
            <w:pPr>
              <w:pStyle w:val="TableBlock"/>
              <w:keepLines w:val="0"/>
            </w:pPr>
            <w:r w:rsidRPr="001440D4">
              <w:rPr>
                <w:rtl/>
              </w:rPr>
              <w:t>בסעיף 21</w:t>
            </w:r>
            <w:r w:rsidR="00B20D2E">
              <w:rPr>
                <w:rFonts w:hint="cs"/>
                <w:rtl/>
              </w:rPr>
              <w:t xml:space="preserve"> לפקודה</w:t>
            </w:r>
            <w:r w:rsidRPr="001440D4">
              <w:rPr>
                <w:rtl/>
              </w:rPr>
              <w:t>, בפסקה (2), בסופה יבוא "דינו – קנס 200 שקלים חדשים."</w:t>
            </w:r>
          </w:p>
        </w:tc>
      </w:tr>
    </w:tbl>
    <w:p w14:paraId="7F6961CA" w14:textId="77777777" w:rsidR="002D1EE3" w:rsidRDefault="002D1EE3" w:rsidP="00B20D2E">
      <w:pPr>
        <w:pStyle w:val="HeadDivreiHesber"/>
        <w:spacing w:line="312" w:lineRule="auto"/>
        <w:rPr>
          <w:rtl/>
        </w:rPr>
      </w:pPr>
      <w:r w:rsidRPr="0027450A">
        <w:rPr>
          <w:rFonts w:hint="cs"/>
          <w:rtl/>
        </w:rPr>
        <w:t>דברי הסבר</w:t>
      </w:r>
    </w:p>
    <w:p w14:paraId="4B085577" w14:textId="77777777" w:rsidR="001440D4" w:rsidRDefault="001440D4" w:rsidP="00B20D2E">
      <w:pPr>
        <w:pStyle w:val="Hesber"/>
        <w:spacing w:line="312" w:lineRule="auto"/>
        <w:rPr>
          <w:rtl/>
        </w:rPr>
      </w:pPr>
      <w:r>
        <w:rPr>
          <w:rtl/>
        </w:rPr>
        <w:t>הלשכה המרכזית לסטטיסטיקה עושה עבודה מקצועית בכל הקשור לאיסוף נתונים על מגוון החיים במדינת ישראל. שיתוף הפעולה של הציבור הוא חשוב ביותר, שהרי לפי הנתונים שנמסרים על ידי הציבור נקבעים מדדים חשובים בכלכלה ובחברה שלהם השפעה רבה על הפעילות הכלכלית והחברתית בישראל.</w:t>
      </w:r>
    </w:p>
    <w:p w14:paraId="19C393D2" w14:textId="4E52C6F0" w:rsidR="001440D4" w:rsidRDefault="001440D4" w:rsidP="00B20D2E">
      <w:pPr>
        <w:pStyle w:val="Hesber"/>
        <w:spacing w:line="312" w:lineRule="auto"/>
        <w:rPr>
          <w:rtl/>
        </w:rPr>
      </w:pPr>
      <w:r>
        <w:rPr>
          <w:rtl/>
        </w:rPr>
        <w:t>עם זאת, איום בעונש מאסר על אזרח שלא ימלא את השאלון הוא מוגזם ואינו משרת את האינטרס של הלשכה עצמה, ויש בו משום פגיעה בזכויות האדם הבסיסיות ביותר לשמור על סודיות הוצאותיו ואורחות חייו הפרטיים.</w:t>
      </w:r>
    </w:p>
    <w:p w14:paraId="7F0A8DBE" w14:textId="3CC874DA" w:rsidR="001440D4" w:rsidRDefault="001440D4" w:rsidP="00B20D2E">
      <w:pPr>
        <w:pStyle w:val="Hesber"/>
        <w:spacing w:line="312" w:lineRule="auto"/>
        <w:rPr>
          <w:rtl/>
        </w:rPr>
      </w:pPr>
      <w:r>
        <w:rPr>
          <w:rtl/>
        </w:rPr>
        <w:t>אשר על כן, מוצע לקבוע כי הסנקציה על אי-מילוי שא</w:t>
      </w:r>
      <w:r w:rsidR="00B20D2E">
        <w:rPr>
          <w:rtl/>
        </w:rPr>
        <w:t>לון תהיה קנס של 200 שקלים חדשים</w:t>
      </w:r>
      <w:r w:rsidR="00B20D2E">
        <w:rPr>
          <w:rFonts w:hint="cs"/>
          <w:rtl/>
        </w:rPr>
        <w:t>,</w:t>
      </w:r>
      <w:r w:rsidR="00B20D2E">
        <w:rPr>
          <w:rtl/>
        </w:rPr>
        <w:t xml:space="preserve"> ו</w:t>
      </w:r>
      <w:r>
        <w:rPr>
          <w:rtl/>
        </w:rPr>
        <w:t xml:space="preserve">כך ליצור איזון מחודש בהגדרת העבירה שבסעיף 21(2) לפקודה, ולהביא לשיתוף פעולה אזרחי בדרך של </w:t>
      </w:r>
      <w:proofErr w:type="spellStart"/>
      <w:r>
        <w:rPr>
          <w:rtl/>
        </w:rPr>
        <w:t>תמרוץ</w:t>
      </w:r>
      <w:proofErr w:type="spellEnd"/>
      <w:r>
        <w:rPr>
          <w:rtl/>
        </w:rPr>
        <w:t xml:space="preserve"> כלכלי בלי לנקוט באמצעי אכיפה דרקוניים.</w:t>
      </w:r>
    </w:p>
    <w:p w14:paraId="5DB55D46" w14:textId="28B2E385" w:rsidR="00AC33C2" w:rsidRDefault="00AC33C2" w:rsidP="00B20D2E">
      <w:pPr>
        <w:pStyle w:val="Hesber"/>
        <w:spacing w:line="312" w:lineRule="auto"/>
        <w:rPr>
          <w:rtl/>
        </w:rPr>
      </w:pPr>
      <w:r>
        <w:rPr>
          <w:rFonts w:hint="cs"/>
          <w:rtl/>
        </w:rPr>
        <w:t>סעיף 1 להצעה מבקש לתקן טעות טכנית ב</w:t>
      </w:r>
      <w:r w:rsidR="00257787">
        <w:rPr>
          <w:rFonts w:hint="cs"/>
          <w:rtl/>
        </w:rPr>
        <w:t>פקודה</w:t>
      </w:r>
      <w:r>
        <w:rPr>
          <w:rFonts w:hint="cs"/>
          <w:rtl/>
        </w:rPr>
        <w:t>.</w:t>
      </w:r>
    </w:p>
    <w:p w14:paraId="75987415" w14:textId="41716911" w:rsidR="002F48B2" w:rsidRDefault="002F48B2" w:rsidP="00B20D2E">
      <w:pPr>
        <w:pStyle w:val="Hesber"/>
        <w:spacing w:line="312" w:lineRule="auto"/>
        <w:rPr>
          <w:rtl/>
        </w:rPr>
      </w:pPr>
      <w:r>
        <w:rPr>
          <w:rtl/>
        </w:rPr>
        <w:t xml:space="preserve">הצעות חוק דומות בעיקרן הונחו </w:t>
      </w:r>
      <w:r>
        <w:rPr>
          <w:rFonts w:hint="cs"/>
          <w:rtl/>
        </w:rPr>
        <w:t xml:space="preserve">על שולחן הכנסת השש-עשרה על ידי חבר הכנסת אופיר פינס-פז (פ/2524), על ידי חברת הכנסת גילה פינקלשטיין (פ/3234) ועל ידי חבר הכנסת אחמד טיבי וקבוצת חברי הכנסת (פ/3679), על שולחן הכנסת </w:t>
      </w:r>
      <w:r w:rsidRPr="00B20D2E">
        <w:rPr>
          <w:rFonts w:hint="cs"/>
          <w:rtl/>
        </w:rPr>
        <w:t xml:space="preserve">השבע-עשרה על ידי חברת הכנסת אורית נוקד (פ/67/17), </w:t>
      </w:r>
      <w:r w:rsidRPr="00B20D2E">
        <w:rPr>
          <w:rtl/>
        </w:rPr>
        <w:t xml:space="preserve">על שולחן הכנסת השמונה-עשרה על ידי חבר הכנסת אופיר פינס-פז (פ/271/18), </w:t>
      </w:r>
      <w:r w:rsidRPr="00B20D2E">
        <w:rPr>
          <w:rFonts w:hint="eastAsia"/>
          <w:rtl/>
        </w:rPr>
        <w:t>על</w:t>
      </w:r>
      <w:r w:rsidRPr="00B20D2E">
        <w:rPr>
          <w:rtl/>
        </w:rPr>
        <w:t xml:space="preserve"> ידי חבר הכנסת דב חנין וקבוצת חברי הכנסת (פ/367/18) ו</w:t>
      </w:r>
      <w:r w:rsidRPr="00B20D2E">
        <w:rPr>
          <w:rFonts w:hint="eastAsia"/>
          <w:rtl/>
        </w:rPr>
        <w:t>על</w:t>
      </w:r>
      <w:r w:rsidRPr="00B20D2E">
        <w:rPr>
          <w:rtl/>
        </w:rPr>
        <w:t xml:space="preserve"> ידי חבר הכנסת אחמד טיבי וקבוצת חברי הכנסת (פ/1093/18)</w:t>
      </w:r>
      <w:r w:rsidRPr="00B20D2E">
        <w:rPr>
          <w:rFonts w:hint="cs"/>
          <w:rtl/>
        </w:rPr>
        <w:t>,</w:t>
      </w:r>
      <w:r w:rsidRPr="00B20D2E">
        <w:rPr>
          <w:rtl/>
        </w:rPr>
        <w:t xml:space="preserve"> על שולחן הכנסת התשע-עשרה על ידי חבר הכנסת דב חנין וקבוצת חברי הכנסת (פ/345/19), </w:t>
      </w:r>
      <w:r w:rsidRPr="00B20D2E">
        <w:rPr>
          <w:rFonts w:hint="eastAsia"/>
          <w:rtl/>
        </w:rPr>
        <w:t>על</w:t>
      </w:r>
      <w:r w:rsidRPr="00B20D2E">
        <w:rPr>
          <w:rtl/>
        </w:rPr>
        <w:t xml:space="preserve"> </w:t>
      </w:r>
      <w:r w:rsidRPr="00B20D2E">
        <w:rPr>
          <w:rFonts w:hint="eastAsia"/>
          <w:rtl/>
        </w:rPr>
        <w:t>ידי</w:t>
      </w:r>
      <w:r w:rsidRPr="00B20D2E">
        <w:rPr>
          <w:rtl/>
        </w:rPr>
        <w:t xml:space="preserve"> </w:t>
      </w:r>
      <w:r w:rsidRPr="00B20D2E">
        <w:rPr>
          <w:rFonts w:hint="eastAsia"/>
          <w:rtl/>
        </w:rPr>
        <w:t>חברת</w:t>
      </w:r>
      <w:r w:rsidRPr="00B20D2E">
        <w:rPr>
          <w:rtl/>
        </w:rPr>
        <w:t xml:space="preserve"> </w:t>
      </w:r>
      <w:r w:rsidRPr="00B20D2E">
        <w:rPr>
          <w:rFonts w:hint="eastAsia"/>
          <w:rtl/>
        </w:rPr>
        <w:t>הכנסת</w:t>
      </w:r>
      <w:r w:rsidRPr="00B20D2E">
        <w:rPr>
          <w:rtl/>
        </w:rPr>
        <w:t xml:space="preserve"> אורית סטרוק וקבוצת חברי </w:t>
      </w:r>
      <w:r w:rsidR="00B20D2E" w:rsidRPr="00B20D2E">
        <w:rPr>
          <w:rFonts w:hint="cs"/>
          <w:rtl/>
        </w:rPr>
        <w:t>ה</w:t>
      </w:r>
      <w:r w:rsidRPr="00B20D2E">
        <w:rPr>
          <w:rtl/>
        </w:rPr>
        <w:t>כנסת (פ/2090/19) ועל ידי חבר הכנסת ישראל אייכלר</w:t>
      </w:r>
      <w:r w:rsidRPr="00B20D2E">
        <w:rPr>
          <w:rFonts w:hint="cs"/>
          <w:rtl/>
        </w:rPr>
        <w:t xml:space="preserve"> (פ/2617/19) ועל שולחן הכנסת העשרים על ידי חבר הכנסת מיקי רוזנטל (</w:t>
      </w:r>
      <w:r w:rsidRPr="00B20D2E">
        <w:rPr>
          <w:rFonts w:hint="eastAsia"/>
          <w:rtl/>
        </w:rPr>
        <w:t>פ</w:t>
      </w:r>
      <w:r w:rsidRPr="00B20D2E">
        <w:rPr>
          <w:rtl/>
        </w:rPr>
        <w:t>/</w:t>
      </w:r>
      <w:r w:rsidR="00B20D2E" w:rsidRPr="00B20D2E">
        <w:rPr>
          <w:rFonts w:hint="cs"/>
          <w:rtl/>
        </w:rPr>
        <w:t>497/20</w:t>
      </w:r>
      <w:r w:rsidRPr="00B20D2E">
        <w:rPr>
          <w:rFonts w:hint="cs"/>
          <w:rtl/>
        </w:rPr>
        <w:t>), על ידי חבר הכנסת מיקי לוי (פ/</w:t>
      </w:r>
      <w:r w:rsidR="00B20D2E" w:rsidRPr="00B20D2E">
        <w:rPr>
          <w:rFonts w:hint="cs"/>
          <w:rtl/>
        </w:rPr>
        <w:t>498/20</w:t>
      </w:r>
      <w:r w:rsidRPr="00B20D2E">
        <w:rPr>
          <w:rFonts w:hint="cs"/>
          <w:rtl/>
        </w:rPr>
        <w:t>) ועל ידי חבר הכנסת דב חנין (</w:t>
      </w:r>
      <w:r w:rsidRPr="00B20D2E">
        <w:rPr>
          <w:rFonts w:hint="eastAsia"/>
          <w:rtl/>
        </w:rPr>
        <w:t>פ</w:t>
      </w:r>
      <w:r w:rsidRPr="00B20D2E">
        <w:rPr>
          <w:rtl/>
        </w:rPr>
        <w:t>/</w:t>
      </w:r>
      <w:r w:rsidR="00B20D2E" w:rsidRPr="00B20D2E">
        <w:rPr>
          <w:rFonts w:hint="cs"/>
          <w:rtl/>
        </w:rPr>
        <w:t>499/20</w:t>
      </w:r>
      <w:r w:rsidRPr="00B20D2E">
        <w:rPr>
          <w:rFonts w:hint="cs"/>
          <w:rtl/>
        </w:rPr>
        <w:t>).</w:t>
      </w:r>
    </w:p>
    <w:p w14:paraId="78F051CE" w14:textId="77777777" w:rsidR="00B20D2E" w:rsidRPr="00557D2C" w:rsidRDefault="00B20D2E" w:rsidP="00B20D2E">
      <w:pPr>
        <w:pStyle w:val="Hesber"/>
        <w:spacing w:line="276" w:lineRule="auto"/>
        <w:rPr>
          <w:rtl/>
        </w:rPr>
      </w:pPr>
      <w:r w:rsidRPr="00557D2C">
        <w:rPr>
          <w:rtl/>
        </w:rPr>
        <w:t>---------------------------------</w:t>
      </w:r>
    </w:p>
    <w:p w14:paraId="367F36AF" w14:textId="77777777" w:rsidR="00B20D2E" w:rsidRPr="00557D2C" w:rsidRDefault="00B20D2E" w:rsidP="00B20D2E">
      <w:pPr>
        <w:pStyle w:val="Hesber"/>
        <w:spacing w:line="276" w:lineRule="auto"/>
        <w:rPr>
          <w:rtl/>
        </w:rPr>
      </w:pPr>
      <w:r w:rsidRPr="00557D2C">
        <w:rPr>
          <w:rtl/>
        </w:rPr>
        <w:t>הוגשה ליו"ר הכנסת והסגנים</w:t>
      </w:r>
    </w:p>
    <w:p w14:paraId="4961B22A" w14:textId="77777777" w:rsidR="00B20D2E" w:rsidRPr="00557D2C" w:rsidRDefault="00B20D2E" w:rsidP="00B20D2E">
      <w:pPr>
        <w:pStyle w:val="Hesber"/>
        <w:spacing w:line="276" w:lineRule="auto"/>
        <w:rPr>
          <w:rtl/>
        </w:rPr>
      </w:pPr>
      <w:r w:rsidRPr="00557D2C">
        <w:rPr>
          <w:rtl/>
        </w:rPr>
        <w:t>והונחה על שולחן הכנסת ביום</w:t>
      </w:r>
    </w:p>
    <w:p w14:paraId="5B82BBF4" w14:textId="525A3E02" w:rsidR="00B20D2E" w:rsidRDefault="00B20D2E" w:rsidP="00B20D2E">
      <w:pPr>
        <w:pStyle w:val="Hesber"/>
        <w:spacing w:line="276" w:lineRule="auto"/>
        <w:rPr>
          <w:rtl/>
        </w:rPr>
      </w:pPr>
      <w:r>
        <w:rPr>
          <w:rFonts w:hint="cs"/>
          <w:rtl/>
        </w:rPr>
        <w:t>כ"ב</w:t>
      </w:r>
      <w:r w:rsidRPr="00557D2C">
        <w:rPr>
          <w:rFonts w:hint="cs"/>
          <w:rtl/>
        </w:rPr>
        <w:t xml:space="preserve"> באייר </w:t>
      </w:r>
      <w:proofErr w:type="spellStart"/>
      <w:r w:rsidRPr="00557D2C">
        <w:rPr>
          <w:rFonts w:hint="cs"/>
          <w:rtl/>
        </w:rPr>
        <w:t>התשע"ה</w:t>
      </w:r>
      <w:proofErr w:type="spellEnd"/>
      <w:r w:rsidRPr="00557D2C">
        <w:rPr>
          <w:rFonts w:hint="cs"/>
          <w:rtl/>
        </w:rPr>
        <w:t xml:space="preserve"> </w:t>
      </w:r>
      <w:r w:rsidRPr="00557D2C">
        <w:rPr>
          <w:rtl/>
        </w:rPr>
        <w:t>–</w:t>
      </w:r>
      <w:r>
        <w:rPr>
          <w:rFonts w:hint="cs"/>
          <w:rtl/>
        </w:rPr>
        <w:t xml:space="preserve"> 11.5.15</w:t>
      </w:r>
    </w:p>
    <w:sectPr w:rsidR="00B20D2E" w:rsidSect="00B20D2E">
      <w:footerReference w:type="even" r:id="rId11"/>
      <w:footerReference w:type="default" r:id="rId12"/>
      <w:pgSz w:w="11907" w:h="16840" w:code="9"/>
      <w:pgMar w:top="1134" w:right="1134" w:bottom="993"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8FE34" w14:textId="77777777" w:rsidR="005D34A2" w:rsidRDefault="005D34A2">
      <w:r>
        <w:separator/>
      </w:r>
    </w:p>
  </w:endnote>
  <w:endnote w:type="continuationSeparator" w:id="0">
    <w:p w14:paraId="6884ED26" w14:textId="77777777" w:rsidR="005D34A2" w:rsidRDefault="005D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20D2E">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9428E" w14:textId="77777777" w:rsidR="005D34A2" w:rsidRDefault="005D34A2">
      <w:r>
        <w:separator/>
      </w:r>
    </w:p>
  </w:footnote>
  <w:footnote w:type="continuationSeparator" w:id="0">
    <w:p w14:paraId="6D666A6D" w14:textId="77777777" w:rsidR="005D34A2" w:rsidRDefault="005D34A2">
      <w:r>
        <w:continuationSeparator/>
      </w:r>
    </w:p>
  </w:footnote>
  <w:footnote w:type="continuationNotice" w:id="1">
    <w:p w14:paraId="64A72177" w14:textId="77777777" w:rsidR="005D34A2" w:rsidRDefault="005D34A2"/>
  </w:footnote>
  <w:footnote w:id="2">
    <w:p w14:paraId="18912B4C" w14:textId="77777777" w:rsidR="002F48B2" w:rsidRDefault="002F48B2" w:rsidP="002F48B2">
      <w:pPr>
        <w:pStyle w:val="a4"/>
        <w:rPr>
          <w:rtl/>
        </w:rPr>
      </w:pPr>
      <w:r>
        <w:rPr>
          <w:rStyle w:val="a6"/>
        </w:rPr>
        <w:footnoteRef/>
      </w:r>
      <w:r>
        <w:rPr>
          <w:rtl/>
        </w:rPr>
        <w:t xml:space="preserve"> </w:t>
      </w:r>
      <w:r>
        <w:rPr>
          <w:rFonts w:hint="cs"/>
          <w:rtl/>
        </w:rPr>
        <w:t xml:space="preserve">דיני מדינת ישראל, נוסח חדש 24, </w:t>
      </w:r>
      <w:r w:rsidRPr="004F1B45">
        <w:rPr>
          <w:rFonts w:hint="cs"/>
          <w:rtl/>
        </w:rPr>
        <w:t>עמ' 500</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32C79"/>
    <w:rsid w:val="0007681A"/>
    <w:rsid w:val="000A542E"/>
    <w:rsid w:val="00102B6B"/>
    <w:rsid w:val="001052D4"/>
    <w:rsid w:val="0010644B"/>
    <w:rsid w:val="001207F8"/>
    <w:rsid w:val="00121924"/>
    <w:rsid w:val="001279A8"/>
    <w:rsid w:val="0014195F"/>
    <w:rsid w:val="001440D4"/>
    <w:rsid w:val="00152609"/>
    <w:rsid w:val="00153E1B"/>
    <w:rsid w:val="001A0623"/>
    <w:rsid w:val="001C23B0"/>
    <w:rsid w:val="00203A7F"/>
    <w:rsid w:val="002200A1"/>
    <w:rsid w:val="002362BF"/>
    <w:rsid w:val="00241B97"/>
    <w:rsid w:val="00246756"/>
    <w:rsid w:val="00251E58"/>
    <w:rsid w:val="00254605"/>
    <w:rsid w:val="00257787"/>
    <w:rsid w:val="002728B4"/>
    <w:rsid w:val="0027600C"/>
    <w:rsid w:val="00292712"/>
    <w:rsid w:val="002A487D"/>
    <w:rsid w:val="002C2E29"/>
    <w:rsid w:val="002D1EE3"/>
    <w:rsid w:val="002F1D80"/>
    <w:rsid w:val="002F48B2"/>
    <w:rsid w:val="003232A2"/>
    <w:rsid w:val="00325C14"/>
    <w:rsid w:val="003710F6"/>
    <w:rsid w:val="00386E88"/>
    <w:rsid w:val="00396585"/>
    <w:rsid w:val="003D74A0"/>
    <w:rsid w:val="004033D8"/>
    <w:rsid w:val="004073F0"/>
    <w:rsid w:val="00412A7D"/>
    <w:rsid w:val="00416B4D"/>
    <w:rsid w:val="00417CFC"/>
    <w:rsid w:val="004B24ED"/>
    <w:rsid w:val="004D2D82"/>
    <w:rsid w:val="004D3876"/>
    <w:rsid w:val="004E4552"/>
    <w:rsid w:val="00553C9D"/>
    <w:rsid w:val="00562A66"/>
    <w:rsid w:val="00583FF8"/>
    <w:rsid w:val="005B064E"/>
    <w:rsid w:val="005D34A2"/>
    <w:rsid w:val="005D34BC"/>
    <w:rsid w:val="005D51AE"/>
    <w:rsid w:val="0062674B"/>
    <w:rsid w:val="006363B2"/>
    <w:rsid w:val="00644940"/>
    <w:rsid w:val="006818A9"/>
    <w:rsid w:val="006A2D81"/>
    <w:rsid w:val="006C1D0D"/>
    <w:rsid w:val="0070601E"/>
    <w:rsid w:val="00712C72"/>
    <w:rsid w:val="00735FE9"/>
    <w:rsid w:val="00763CAA"/>
    <w:rsid w:val="00765F66"/>
    <w:rsid w:val="007900EA"/>
    <w:rsid w:val="007C3FA6"/>
    <w:rsid w:val="007D585A"/>
    <w:rsid w:val="007D5A12"/>
    <w:rsid w:val="007E59F9"/>
    <w:rsid w:val="00810BCD"/>
    <w:rsid w:val="00810D07"/>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4D43"/>
    <w:rsid w:val="00A6611D"/>
    <w:rsid w:val="00A82CB7"/>
    <w:rsid w:val="00AA2F03"/>
    <w:rsid w:val="00AC33C2"/>
    <w:rsid w:val="00AC36F7"/>
    <w:rsid w:val="00AC63A4"/>
    <w:rsid w:val="00AD239E"/>
    <w:rsid w:val="00B10265"/>
    <w:rsid w:val="00B20D2E"/>
    <w:rsid w:val="00B21211"/>
    <w:rsid w:val="00B35784"/>
    <w:rsid w:val="00B733A7"/>
    <w:rsid w:val="00B975AD"/>
    <w:rsid w:val="00BC45FB"/>
    <w:rsid w:val="00BF148D"/>
    <w:rsid w:val="00C23B1A"/>
    <w:rsid w:val="00C310EB"/>
    <w:rsid w:val="00C9176A"/>
    <w:rsid w:val="00CF1AA2"/>
    <w:rsid w:val="00D63513"/>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C02D6CD-0B7C-43CB-9A4C-DE37BD36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uiPriority w:val="99"/>
    <w:rsid w:val="002F48B2"/>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BB26-6761-4F27-8E4B-54CAF4FF82C3}"/>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C27CB-F99F-426D-8966-5A1588AF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1630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מעיין בן עמי</cp:lastModifiedBy>
  <cp:revision>2</cp:revision>
  <cp:lastPrinted>2015-05-05T12:50:00Z</cp:lastPrinted>
  <dcterms:created xsi:type="dcterms:W3CDTF">2016-12-28T09:14:00Z</dcterms:created>
  <dcterms:modified xsi:type="dcterms:W3CDTF">2016-12-28T09:14:00Z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0354fdee-f711-4d2a-9cf2-2d1c4d9ac92a</vt:lpwstr>
  </property>
  <property fmtid="{D5CDD505-2E9C-101B-9397-08002B2CF9AE}" pid="4" name="SanhedrinDocumentType">
    <vt:r8>88</vt:r8>
  </property>
  <property fmtid="{D5CDD505-2E9C-101B-9397-08002B2CF9AE}" pid="5" name="SanhedrinItemID">
    <vt:r8>2011531</vt:r8>
  </property>
</Properties>
</file>