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380A" w:rsidRPr="0060753A" w:rsidRDefault="004A380A" w:rsidP="004A380A">
      <w:pPr>
        <w:jc w:val="right"/>
        <w:rPr>
          <w:rFonts w:cs="David"/>
          <w:sz w:val="24"/>
          <w:szCs w:val="24"/>
          <w:rtl/>
        </w:rPr>
      </w:pPr>
      <w:r w:rsidRPr="0060753A">
        <w:rPr>
          <w:rFonts w:cs="David" w:hint="cs"/>
          <w:sz w:val="24"/>
          <w:szCs w:val="24"/>
          <w:rtl/>
        </w:rPr>
        <w:t>‏</w:t>
      </w:r>
      <w:r w:rsidRPr="0060753A">
        <w:rPr>
          <w:rFonts w:cs="David"/>
          <w:sz w:val="24"/>
          <w:szCs w:val="24"/>
          <w:rtl/>
        </w:rPr>
        <w:t xml:space="preserve">26 </w:t>
      </w:r>
      <w:r w:rsidRPr="0060753A">
        <w:rPr>
          <w:rFonts w:cs="David" w:hint="cs"/>
          <w:sz w:val="24"/>
          <w:szCs w:val="24"/>
          <w:rtl/>
        </w:rPr>
        <w:t>דצמבר</w:t>
      </w:r>
      <w:r w:rsidRPr="0060753A">
        <w:rPr>
          <w:rFonts w:cs="David"/>
          <w:sz w:val="24"/>
          <w:szCs w:val="24"/>
          <w:rtl/>
        </w:rPr>
        <w:t>, 2016</w:t>
      </w:r>
    </w:p>
    <w:p w:rsidR="002B399A" w:rsidRDefault="002B399A" w:rsidP="004A380A">
      <w:pPr>
        <w:rPr>
          <w:rFonts w:cs="David"/>
          <w:sz w:val="24"/>
          <w:szCs w:val="24"/>
          <w:rtl/>
        </w:rPr>
      </w:pPr>
    </w:p>
    <w:p w:rsidR="004A380A" w:rsidRPr="0060753A" w:rsidRDefault="004A380A" w:rsidP="004A380A">
      <w:pPr>
        <w:rPr>
          <w:rFonts w:cs="David"/>
          <w:sz w:val="24"/>
          <w:szCs w:val="24"/>
          <w:rtl/>
        </w:rPr>
      </w:pPr>
      <w:r w:rsidRPr="0060753A">
        <w:rPr>
          <w:rFonts w:cs="David" w:hint="cs"/>
          <w:sz w:val="24"/>
          <w:szCs w:val="24"/>
          <w:rtl/>
        </w:rPr>
        <w:t>אל: חברי ועדת הכנסת המשותפת ליישומים ביומטריים וועדת הכנסת המשותפת</w:t>
      </w:r>
      <w:r w:rsidRPr="0060753A">
        <w:rPr>
          <w:rFonts w:cs="David" w:hint="cs"/>
          <w:sz w:val="24"/>
          <w:szCs w:val="24"/>
          <w:rtl/>
        </w:rPr>
        <w:t xml:space="preserve"> </w:t>
      </w:r>
      <w:r w:rsidRPr="0060753A">
        <w:rPr>
          <w:rFonts w:cs="David" w:hint="cs"/>
          <w:sz w:val="24"/>
          <w:szCs w:val="24"/>
          <w:rtl/>
        </w:rPr>
        <w:t>לפי חוק הכללת אמצעי זיהוי ביומטריים ונתוני זיהוי ביומטריים במסמכי זיהוי ובמאגר מידע, תש"ע- 2009 (להלן- ועדת הכנסת המשותפת)</w:t>
      </w:r>
    </w:p>
    <w:p w:rsidR="004A380A" w:rsidRPr="0060753A" w:rsidRDefault="004A380A" w:rsidP="004A380A">
      <w:pPr>
        <w:rPr>
          <w:rFonts w:cs="David"/>
          <w:sz w:val="24"/>
          <w:szCs w:val="24"/>
          <w:rtl/>
        </w:rPr>
      </w:pPr>
      <w:r w:rsidRPr="0060753A">
        <w:rPr>
          <w:rFonts w:cs="David" w:hint="cs"/>
          <w:sz w:val="24"/>
          <w:szCs w:val="24"/>
          <w:rtl/>
        </w:rPr>
        <w:t>מאת: הייעוץ המשפטי לוועדה- עו"ד נירה לאמעי רכלבסקי</w:t>
      </w:r>
    </w:p>
    <w:p w:rsidR="0060753A" w:rsidRPr="0060753A" w:rsidRDefault="0060753A" w:rsidP="004A380A">
      <w:pPr>
        <w:rPr>
          <w:rFonts w:cs="David"/>
          <w:sz w:val="24"/>
          <w:szCs w:val="24"/>
          <w:rtl/>
        </w:rPr>
      </w:pPr>
    </w:p>
    <w:p w:rsidR="004A380A" w:rsidRPr="0060753A" w:rsidRDefault="004A380A" w:rsidP="004A380A">
      <w:pPr>
        <w:jc w:val="center"/>
        <w:rPr>
          <w:rFonts w:cs="David"/>
          <w:b/>
          <w:bCs/>
          <w:sz w:val="24"/>
          <w:szCs w:val="24"/>
          <w:u w:val="single"/>
          <w:rtl/>
        </w:rPr>
      </w:pPr>
      <w:r w:rsidRPr="0060753A">
        <w:rPr>
          <w:rFonts w:cs="David" w:hint="cs"/>
          <w:b/>
          <w:bCs/>
          <w:sz w:val="24"/>
          <w:szCs w:val="24"/>
          <w:u w:val="single"/>
          <w:rtl/>
        </w:rPr>
        <w:t>מסמך רקע לקראת דיון משותף של ועדת הכנסת המשותפת וועדת הכנסת המשותפת ליישומים ביומטריים לפי חוק הכללת אמצעי זיהוי ביומטריים ונתוני זיהוי ביומטריים במסמכי זיהוי ובמאגר מידע, תש"ע- 2009 (להלן- החוק) בצו שר הפנים לפי סעיף 41(5) לחוק</w:t>
      </w:r>
    </w:p>
    <w:p w:rsidR="00E1571D" w:rsidRPr="002B399A" w:rsidRDefault="002B399A" w:rsidP="002B399A">
      <w:pPr>
        <w:jc w:val="center"/>
        <w:rPr>
          <w:rFonts w:cs="David"/>
          <w:sz w:val="20"/>
          <w:szCs w:val="20"/>
          <w:rtl/>
        </w:rPr>
      </w:pPr>
      <w:r w:rsidRPr="002B399A">
        <w:rPr>
          <w:rFonts w:cs="David" w:hint="cs"/>
          <w:sz w:val="20"/>
          <w:szCs w:val="20"/>
          <w:rtl/>
        </w:rPr>
        <w:t>(למסמך זה מצורף מסמך רקע שהונח על שולחן הוועדה במרץ 2016 לקראת דיון בסיכום שנתיים ראשונות לתכנית המבחן והארכת הצו)</w:t>
      </w:r>
    </w:p>
    <w:p w:rsidR="002B399A" w:rsidRDefault="002B399A" w:rsidP="00610E44">
      <w:pPr>
        <w:jc w:val="both"/>
        <w:rPr>
          <w:rFonts w:cs="David"/>
          <w:b/>
          <w:bCs/>
          <w:sz w:val="24"/>
          <w:szCs w:val="24"/>
          <w:u w:val="single"/>
          <w:rtl/>
        </w:rPr>
      </w:pPr>
    </w:p>
    <w:p w:rsidR="0011158E" w:rsidRPr="0060753A" w:rsidRDefault="00E8763E" w:rsidP="00610E44">
      <w:pPr>
        <w:jc w:val="both"/>
        <w:rPr>
          <w:rFonts w:cs="David"/>
          <w:b/>
          <w:bCs/>
          <w:sz w:val="24"/>
          <w:szCs w:val="24"/>
          <w:u w:val="single"/>
          <w:rtl/>
        </w:rPr>
      </w:pPr>
      <w:r w:rsidRPr="0060753A">
        <w:rPr>
          <w:rFonts w:cs="David" w:hint="cs"/>
          <w:b/>
          <w:bCs/>
          <w:sz w:val="24"/>
          <w:szCs w:val="24"/>
          <w:u w:val="single"/>
          <w:rtl/>
        </w:rPr>
        <w:t>רקע</w:t>
      </w:r>
      <w:r w:rsidR="00871C50" w:rsidRPr="0060753A">
        <w:rPr>
          <w:rFonts w:cs="David" w:hint="cs"/>
          <w:b/>
          <w:bCs/>
          <w:sz w:val="24"/>
          <w:szCs w:val="24"/>
          <w:u w:val="single"/>
          <w:rtl/>
        </w:rPr>
        <w:t xml:space="preserve"> </w:t>
      </w:r>
      <w:r w:rsidR="00610E44" w:rsidRPr="0060753A">
        <w:rPr>
          <w:rFonts w:cs="David" w:hint="cs"/>
          <w:b/>
          <w:bCs/>
          <w:sz w:val="24"/>
          <w:szCs w:val="24"/>
          <w:u w:val="single"/>
          <w:rtl/>
        </w:rPr>
        <w:t>לקיום הדיון</w:t>
      </w:r>
    </w:p>
    <w:p w:rsidR="00610E44" w:rsidRPr="0060753A" w:rsidRDefault="007F173F" w:rsidP="0060753A">
      <w:pPr>
        <w:pStyle w:val="big-header"/>
        <w:keepNext w:val="0"/>
        <w:keepLines w:val="0"/>
        <w:spacing w:before="0" w:line="360" w:lineRule="auto"/>
        <w:ind w:left="0"/>
        <w:jc w:val="both"/>
        <w:rPr>
          <w:rFonts w:cs="David"/>
          <w:sz w:val="24"/>
          <w:szCs w:val="24"/>
          <w:rtl/>
        </w:rPr>
      </w:pPr>
      <w:r w:rsidRPr="0060753A">
        <w:rPr>
          <w:rFonts w:cs="David" w:hint="cs"/>
          <w:sz w:val="24"/>
          <w:szCs w:val="24"/>
          <w:rtl/>
        </w:rPr>
        <w:t>דיון זה חל על רקע סיומה של תכנית המבחן לבחינת נחיצותו של מאגר ביומטרי לפי צו הכללת אמצעי זיהוי ביומטריים ונתוני זיהוי ביומטריים במסמכי זיהוי ובמאגר מידע (</w:t>
      </w:r>
      <w:r w:rsidR="00152EDA" w:rsidRPr="0060753A">
        <w:rPr>
          <w:rFonts w:cs="David" w:hint="cs"/>
          <w:sz w:val="24"/>
          <w:szCs w:val="24"/>
          <w:rtl/>
        </w:rPr>
        <w:t>תקופת</w:t>
      </w:r>
      <w:r w:rsidRPr="0060753A">
        <w:rPr>
          <w:rFonts w:cs="David" w:hint="cs"/>
          <w:sz w:val="24"/>
          <w:szCs w:val="24"/>
          <w:rtl/>
        </w:rPr>
        <w:t xml:space="preserve"> מבחן)</w:t>
      </w:r>
      <w:r w:rsidR="00152EDA" w:rsidRPr="0060753A">
        <w:rPr>
          <w:rFonts w:cs="David" w:hint="cs"/>
          <w:sz w:val="24"/>
          <w:szCs w:val="24"/>
          <w:rtl/>
        </w:rPr>
        <w:t xml:space="preserve">, </w:t>
      </w:r>
      <w:r w:rsidR="00610E44" w:rsidRPr="0060753A">
        <w:rPr>
          <w:rFonts w:cs="David" w:hint="cs"/>
          <w:sz w:val="24"/>
          <w:szCs w:val="24"/>
          <w:rtl/>
        </w:rPr>
        <w:t>תשע"א-2011, אשר החלה לפעול מכח הצו מיום 30.6.13 ועד 29.6.15. הצו הוארך פעמיים בתקופות של תשעה חודשים כל אחת והוא עתיד לפקוע ב 31.12.16.</w:t>
      </w:r>
    </w:p>
    <w:p w:rsidR="004A380A" w:rsidRPr="0060753A" w:rsidRDefault="004A380A" w:rsidP="0060753A">
      <w:pPr>
        <w:jc w:val="both"/>
        <w:rPr>
          <w:rFonts w:cs="David"/>
          <w:sz w:val="24"/>
          <w:szCs w:val="24"/>
          <w:rtl/>
        </w:rPr>
      </w:pPr>
      <w:r w:rsidRPr="0060753A">
        <w:rPr>
          <w:rFonts w:cs="David" w:hint="cs"/>
          <w:sz w:val="24"/>
          <w:szCs w:val="24"/>
          <w:rtl/>
        </w:rPr>
        <w:t xml:space="preserve">במהלך תקופת המבחן הועברו לוועדת המשותפת דיווחים שוטפים לפי הוראות צו תקופת המבחן </w:t>
      </w:r>
      <w:r w:rsidRPr="0060753A">
        <w:rPr>
          <w:rFonts w:cs="David"/>
          <w:sz w:val="24"/>
          <w:szCs w:val="24"/>
          <w:rtl/>
        </w:rPr>
        <w:t>–</w:t>
      </w:r>
    </w:p>
    <w:p w:rsidR="004A380A" w:rsidRPr="0060753A" w:rsidRDefault="004A380A" w:rsidP="0060753A">
      <w:pPr>
        <w:jc w:val="both"/>
        <w:rPr>
          <w:rFonts w:cs="David"/>
          <w:sz w:val="24"/>
          <w:szCs w:val="24"/>
          <w:rtl/>
        </w:rPr>
      </w:pPr>
      <w:r w:rsidRPr="0060753A">
        <w:rPr>
          <w:rFonts w:cs="David" w:hint="cs"/>
          <w:sz w:val="24"/>
          <w:szCs w:val="24"/>
          <w:rtl/>
        </w:rPr>
        <w:t xml:space="preserve">ובתום השנתיים הראשונות אף הוגשו דוחות מסכמים לעניין חלופות אפשריות לקיומו של מאגר ביומטרי. </w:t>
      </w:r>
    </w:p>
    <w:p w:rsidR="00610E44" w:rsidRPr="0060753A" w:rsidRDefault="00610E44" w:rsidP="004A380A">
      <w:pPr>
        <w:pStyle w:val="big-header"/>
        <w:keepNext w:val="0"/>
        <w:keepLines w:val="0"/>
        <w:spacing w:before="0" w:line="360" w:lineRule="auto"/>
        <w:ind w:left="0"/>
        <w:jc w:val="both"/>
        <w:rPr>
          <w:rStyle w:val="default"/>
          <w:rFonts w:cs="David"/>
          <w:sz w:val="24"/>
          <w:szCs w:val="24"/>
          <w:rtl/>
        </w:rPr>
      </w:pPr>
      <w:r w:rsidRPr="0060753A">
        <w:rPr>
          <w:rStyle w:val="default"/>
          <w:rFonts w:cs="David" w:hint="cs"/>
          <w:sz w:val="24"/>
          <w:szCs w:val="24"/>
          <w:rtl/>
        </w:rPr>
        <w:t>עם תום תקופת ה</w:t>
      </w:r>
      <w:r w:rsidR="004A380A" w:rsidRPr="0060753A">
        <w:rPr>
          <w:rStyle w:val="default"/>
          <w:rFonts w:cs="David" w:hint="cs"/>
          <w:sz w:val="24"/>
          <w:szCs w:val="24"/>
          <w:rtl/>
        </w:rPr>
        <w:t>מבחן</w:t>
      </w:r>
      <w:r w:rsidRPr="0060753A">
        <w:rPr>
          <w:rStyle w:val="default"/>
          <w:rFonts w:cs="David" w:hint="cs"/>
          <w:sz w:val="24"/>
          <w:szCs w:val="24"/>
          <w:rtl/>
        </w:rPr>
        <w:t xml:space="preserve"> הצפויה-31 בדצמבר 2016:</w:t>
      </w:r>
    </w:p>
    <w:p w:rsidR="00610E44" w:rsidRPr="0060753A" w:rsidRDefault="00610E44" w:rsidP="004A380A">
      <w:pPr>
        <w:pStyle w:val="big-header"/>
        <w:keepNext w:val="0"/>
        <w:keepLines w:val="0"/>
        <w:spacing w:before="0" w:line="360" w:lineRule="auto"/>
        <w:ind w:left="0"/>
        <w:jc w:val="both"/>
        <w:rPr>
          <w:rStyle w:val="default"/>
          <w:rFonts w:cs="David"/>
          <w:sz w:val="24"/>
          <w:szCs w:val="24"/>
        </w:rPr>
      </w:pPr>
      <w:r w:rsidRPr="0060753A">
        <w:rPr>
          <w:rFonts w:cs="David" w:hint="cs"/>
          <w:sz w:val="24"/>
          <w:szCs w:val="24"/>
          <w:rtl/>
        </w:rPr>
        <w:t>על פי סעיף 41(5) לחוק</w:t>
      </w:r>
      <w:r w:rsidRPr="0060753A">
        <w:rPr>
          <w:rStyle w:val="default"/>
          <w:rFonts w:cs="David" w:hint="cs"/>
          <w:sz w:val="24"/>
          <w:szCs w:val="24"/>
          <w:rtl/>
        </w:rPr>
        <w:t xml:space="preserve">- עם תום תקופת </w:t>
      </w:r>
      <w:r w:rsidR="004A380A" w:rsidRPr="0060753A">
        <w:rPr>
          <w:rStyle w:val="default"/>
          <w:rFonts w:cs="David" w:hint="cs"/>
          <w:sz w:val="24"/>
          <w:szCs w:val="24"/>
          <w:rtl/>
        </w:rPr>
        <w:t>המבחן</w:t>
      </w:r>
      <w:r w:rsidRPr="0060753A">
        <w:rPr>
          <w:rStyle w:val="default"/>
          <w:rFonts w:cs="David" w:hint="cs"/>
          <w:sz w:val="24"/>
          <w:szCs w:val="24"/>
          <w:rtl/>
        </w:rPr>
        <w:t xml:space="preserve"> שר הפנים (הממונה על חוק זה) באישור הכנסת (במליאתה) וכן באישור </w:t>
      </w:r>
      <w:r w:rsidRPr="0060753A">
        <w:rPr>
          <w:rFonts w:cs="David" w:hint="cs"/>
          <w:sz w:val="24"/>
          <w:szCs w:val="24"/>
          <w:rtl/>
        </w:rPr>
        <w:t xml:space="preserve">וועדת השרים ליישומים ביומטריים, ווועדה של הכנסת שבה יהיו חברים חברי ועדת הכנסת המשותפת ליישומים ביומטריים וחברי ועדת הכנסת המשותפת ובהתייעצות עם שר המשפטים </w:t>
      </w:r>
      <w:r w:rsidRPr="0060753A">
        <w:rPr>
          <w:rStyle w:val="default"/>
          <w:rFonts w:cs="David" w:hint="cs"/>
          <w:sz w:val="24"/>
          <w:szCs w:val="24"/>
          <w:rtl/>
        </w:rPr>
        <w:t>ובהסכמת שר האוצר- יוכל להחליט על אפשרויות פעולה אלה:</w:t>
      </w:r>
    </w:p>
    <w:p w:rsidR="00610E44" w:rsidRPr="0060753A" w:rsidRDefault="00610E44" w:rsidP="00610E44">
      <w:pPr>
        <w:pStyle w:val="big-header"/>
        <w:keepNext w:val="0"/>
        <w:keepLines w:val="0"/>
        <w:numPr>
          <w:ilvl w:val="1"/>
          <w:numId w:val="4"/>
        </w:numPr>
        <w:spacing w:before="0" w:line="360" w:lineRule="auto"/>
        <w:jc w:val="both"/>
        <w:rPr>
          <w:rStyle w:val="default"/>
          <w:rFonts w:cs="David"/>
          <w:sz w:val="24"/>
          <w:szCs w:val="24"/>
        </w:rPr>
      </w:pPr>
      <w:r w:rsidRPr="0060753A">
        <w:rPr>
          <w:rStyle w:val="default"/>
          <w:rFonts w:cs="David" w:hint="cs"/>
          <w:sz w:val="24"/>
          <w:szCs w:val="24"/>
          <w:rtl/>
        </w:rPr>
        <w:t>לקבוע בצו כי הוראות לפי החוק הביומטרי יחולו על כלל התושבים ;</w:t>
      </w:r>
    </w:p>
    <w:p w:rsidR="00610E44" w:rsidRPr="0060753A" w:rsidRDefault="00610E44" w:rsidP="00610E44">
      <w:pPr>
        <w:pStyle w:val="big-header"/>
        <w:keepNext w:val="0"/>
        <w:keepLines w:val="0"/>
        <w:numPr>
          <w:ilvl w:val="1"/>
          <w:numId w:val="4"/>
        </w:numPr>
        <w:spacing w:before="0" w:line="360" w:lineRule="auto"/>
        <w:jc w:val="both"/>
        <w:rPr>
          <w:rStyle w:val="default"/>
          <w:rFonts w:cs="David"/>
          <w:sz w:val="24"/>
          <w:szCs w:val="24"/>
        </w:rPr>
      </w:pPr>
      <w:r w:rsidRPr="0060753A">
        <w:rPr>
          <w:rStyle w:val="default"/>
          <w:rFonts w:cs="David" w:hint="cs"/>
          <w:sz w:val="24"/>
          <w:szCs w:val="24"/>
          <w:rtl/>
        </w:rPr>
        <w:t>לקבוע בצו כי החלת החוק תהיה הדרגתית ובתנאים שייקבעו בצו;</w:t>
      </w:r>
    </w:p>
    <w:p w:rsidR="00610E44" w:rsidRPr="0060753A" w:rsidRDefault="00610E44" w:rsidP="004A380A">
      <w:pPr>
        <w:pStyle w:val="big-header"/>
        <w:keepNext w:val="0"/>
        <w:keepLines w:val="0"/>
        <w:numPr>
          <w:ilvl w:val="1"/>
          <w:numId w:val="4"/>
        </w:numPr>
        <w:spacing w:before="0" w:line="360" w:lineRule="auto"/>
        <w:jc w:val="both"/>
        <w:rPr>
          <w:rStyle w:val="default"/>
          <w:rFonts w:cs="David"/>
          <w:sz w:val="24"/>
          <w:szCs w:val="24"/>
        </w:rPr>
      </w:pPr>
      <w:r w:rsidRPr="0060753A">
        <w:rPr>
          <w:rStyle w:val="default"/>
          <w:rFonts w:cs="David" w:hint="cs"/>
          <w:sz w:val="24"/>
          <w:szCs w:val="24"/>
          <w:rtl/>
        </w:rPr>
        <w:t>לא להוציא צו או צווים כאמור לעיל- אם לא הוצא צו כאמור עד תום שנתיים נוספות מתחילת תקופת ה</w:t>
      </w:r>
      <w:r w:rsidR="004A380A" w:rsidRPr="0060753A">
        <w:rPr>
          <w:rStyle w:val="default"/>
          <w:rFonts w:cs="David" w:hint="cs"/>
          <w:sz w:val="24"/>
          <w:szCs w:val="24"/>
          <w:rtl/>
        </w:rPr>
        <w:t>מבחן</w:t>
      </w:r>
      <w:r w:rsidRPr="0060753A">
        <w:rPr>
          <w:rStyle w:val="default"/>
          <w:rFonts w:cs="David" w:hint="cs"/>
          <w:sz w:val="24"/>
          <w:szCs w:val="24"/>
          <w:rtl/>
        </w:rPr>
        <w:t xml:space="preserve"> (היינו עד 29 ביוני 2017)- יימחק המאגר הביומטרי.</w:t>
      </w:r>
    </w:p>
    <w:p w:rsidR="00137186" w:rsidRPr="0060753A" w:rsidRDefault="00137186" w:rsidP="0060753A">
      <w:pPr>
        <w:spacing w:line="360" w:lineRule="auto"/>
        <w:jc w:val="both"/>
        <w:rPr>
          <w:rFonts w:cs="David"/>
          <w:sz w:val="24"/>
          <w:szCs w:val="24"/>
          <w:rtl/>
        </w:rPr>
      </w:pPr>
      <w:r w:rsidRPr="0060753A">
        <w:rPr>
          <w:rFonts w:cs="David" w:hint="cs"/>
          <w:sz w:val="24"/>
          <w:szCs w:val="24"/>
          <w:rtl/>
        </w:rPr>
        <w:t>שר הפנים הח</w:t>
      </w:r>
      <w:r w:rsidR="004A380A" w:rsidRPr="0060753A">
        <w:rPr>
          <w:rFonts w:cs="David" w:hint="cs"/>
          <w:sz w:val="24"/>
          <w:szCs w:val="24"/>
          <w:rtl/>
        </w:rPr>
        <w:t xml:space="preserve">ליט עם תום תקופת המבחן הקרבה שלא </w:t>
      </w:r>
      <w:r w:rsidRPr="0060753A">
        <w:rPr>
          <w:rFonts w:cs="David" w:hint="cs"/>
          <w:sz w:val="24"/>
          <w:szCs w:val="24"/>
          <w:rtl/>
        </w:rPr>
        <w:t xml:space="preserve">להחיל את הוראות החוק כמות שהם, כי אם לשנות את כלל המתווה הקיים בחוק הנוכחי ולהציע הסדר חלופי- כפי שמופיע בהצעת החוק </w:t>
      </w:r>
      <w:r w:rsidR="004A380A" w:rsidRPr="0060753A">
        <w:rPr>
          <w:rFonts w:cs="David" w:hint="cs"/>
          <w:sz w:val="24"/>
          <w:szCs w:val="24"/>
          <w:rtl/>
        </w:rPr>
        <w:t>שעברה בקריאה ראשונה ביום שני 19.12.16</w:t>
      </w:r>
      <w:r w:rsidRPr="0060753A">
        <w:rPr>
          <w:rFonts w:cs="David" w:hint="cs"/>
          <w:sz w:val="24"/>
          <w:szCs w:val="24"/>
          <w:rtl/>
        </w:rPr>
        <w:t>.</w:t>
      </w:r>
    </w:p>
    <w:p w:rsidR="004A380A" w:rsidRPr="00D27E82" w:rsidRDefault="004A380A" w:rsidP="0060753A">
      <w:pPr>
        <w:spacing w:line="360" w:lineRule="auto"/>
        <w:jc w:val="both"/>
        <w:rPr>
          <w:rFonts w:cs="David"/>
          <w:b/>
          <w:bCs/>
          <w:sz w:val="24"/>
          <w:szCs w:val="24"/>
          <w:rtl/>
        </w:rPr>
      </w:pPr>
      <w:r w:rsidRPr="00D27E82">
        <w:rPr>
          <w:rFonts w:cs="David" w:hint="cs"/>
          <w:b/>
          <w:bCs/>
          <w:sz w:val="24"/>
          <w:szCs w:val="24"/>
          <w:rtl/>
        </w:rPr>
        <w:t xml:space="preserve">על רקע קוצר הזמן עד תום תקופת המבחן, רצון השר שלא לקטוע את תקופת המבחן מבלי שהחוק המוצע החדש ייכנס לתוקף ורצון יו"ר וועדת הכנסת המשותפת לקיים דיון מקיף בן מספר ישיבות שלא בסד זמנים לחוץ- מתבקשת הארכת צו תכנית המבחן </w:t>
      </w:r>
      <w:r w:rsidRPr="00D27E82">
        <w:rPr>
          <w:rFonts w:cs="David" w:hint="cs"/>
          <w:b/>
          <w:bCs/>
          <w:sz w:val="24"/>
          <w:szCs w:val="24"/>
          <w:u w:val="single"/>
          <w:rtl/>
        </w:rPr>
        <w:t>בחודשיים נוספים</w:t>
      </w:r>
      <w:r w:rsidR="00D27E82" w:rsidRPr="00D27E82">
        <w:rPr>
          <w:rFonts w:cs="David" w:hint="cs"/>
          <w:b/>
          <w:bCs/>
          <w:sz w:val="24"/>
          <w:szCs w:val="24"/>
          <w:rtl/>
        </w:rPr>
        <w:t xml:space="preserve"> עד ל28 בפברואר 2017, </w:t>
      </w:r>
      <w:r w:rsidRPr="00D27E82">
        <w:rPr>
          <w:rFonts w:cs="David" w:hint="cs"/>
          <w:b/>
          <w:bCs/>
          <w:sz w:val="24"/>
          <w:szCs w:val="24"/>
          <w:rtl/>
        </w:rPr>
        <w:t xml:space="preserve"> על מנת לאפשר לוועדת הכנסת המשותפת לקיים דיון מקיף ומעמיק בהצעת החוק האמורה.</w:t>
      </w:r>
    </w:p>
    <w:p w:rsidR="004A380A" w:rsidRPr="0060753A" w:rsidRDefault="004A380A" w:rsidP="00137186">
      <w:pPr>
        <w:ind w:left="425"/>
        <w:jc w:val="both"/>
        <w:rPr>
          <w:rFonts w:cs="David"/>
          <w:sz w:val="24"/>
          <w:szCs w:val="24"/>
          <w:rtl/>
        </w:rPr>
      </w:pPr>
    </w:p>
    <w:p w:rsidR="00673BEE" w:rsidRPr="0060753A" w:rsidRDefault="00673BEE" w:rsidP="00137186">
      <w:pPr>
        <w:ind w:left="425"/>
        <w:jc w:val="both"/>
        <w:rPr>
          <w:rFonts w:cs="David"/>
          <w:sz w:val="24"/>
          <w:szCs w:val="24"/>
          <w:rtl/>
        </w:rPr>
      </w:pPr>
    </w:p>
    <w:p w:rsidR="007F173F" w:rsidRPr="0060753A" w:rsidRDefault="002D7E19" w:rsidP="00610E44">
      <w:pPr>
        <w:jc w:val="both"/>
        <w:rPr>
          <w:rFonts w:cs="David"/>
          <w:b/>
          <w:bCs/>
          <w:sz w:val="24"/>
          <w:szCs w:val="24"/>
          <w:u w:val="single"/>
          <w:rtl/>
        </w:rPr>
      </w:pPr>
      <w:r w:rsidRPr="0060753A">
        <w:rPr>
          <w:rFonts w:cs="David" w:hint="cs"/>
          <w:b/>
          <w:bCs/>
          <w:sz w:val="24"/>
          <w:szCs w:val="24"/>
          <w:u w:val="single"/>
          <w:rtl/>
        </w:rPr>
        <w:t>רקע כללי</w:t>
      </w:r>
    </w:p>
    <w:p w:rsidR="00871C50" w:rsidRPr="0060753A" w:rsidRDefault="00871C50" w:rsidP="00871C50">
      <w:pPr>
        <w:pStyle w:val="big-header"/>
        <w:keepNext w:val="0"/>
        <w:keepLines w:val="0"/>
        <w:spacing w:before="0" w:line="360" w:lineRule="auto"/>
        <w:ind w:left="0"/>
        <w:jc w:val="both"/>
        <w:rPr>
          <w:rFonts w:cs="David"/>
          <w:b/>
          <w:bCs/>
          <w:sz w:val="24"/>
          <w:szCs w:val="24"/>
          <w:u w:val="single"/>
          <w:rtl/>
        </w:rPr>
      </w:pPr>
      <w:r w:rsidRPr="0060753A">
        <w:rPr>
          <w:rFonts w:cs="David" w:hint="cs"/>
          <w:b/>
          <w:bCs/>
          <w:sz w:val="24"/>
          <w:szCs w:val="24"/>
          <w:u w:val="single"/>
          <w:rtl/>
        </w:rPr>
        <w:t>חוק הכללת אמצעי זיהוי ביומטריים ונתוני זיהוי ביומטריים במסמכי זיהוי ובמאגר מידע, תש"ע- 2009 (להלן- החוק)</w:t>
      </w:r>
    </w:p>
    <w:p w:rsidR="00871C50" w:rsidRPr="0060753A" w:rsidRDefault="00871C50" w:rsidP="00871C50">
      <w:pPr>
        <w:pStyle w:val="big-header"/>
        <w:keepNext w:val="0"/>
        <w:keepLines w:val="0"/>
        <w:spacing w:before="0" w:line="360" w:lineRule="auto"/>
        <w:ind w:left="0"/>
        <w:jc w:val="both"/>
        <w:rPr>
          <w:rFonts w:cs="David"/>
          <w:sz w:val="24"/>
          <w:szCs w:val="24"/>
          <w:rtl/>
        </w:rPr>
      </w:pPr>
      <w:r w:rsidRPr="0060753A">
        <w:rPr>
          <w:rFonts w:cs="David" w:hint="cs"/>
          <w:sz w:val="24"/>
          <w:szCs w:val="24"/>
          <w:rtl/>
        </w:rPr>
        <w:t>מטרתו העיקרית של החוק היא לקבוע הסדרים להנפקת מסמכי זיהוי ומסמכי נסיעה (דרכונים) לתושבי ישראל, שיכללו אמצעי זיהוי ביומטריים, היינו תעודות זהות "חכמות" הנושאות שבב אלקטרוני ובו תמונת תווי פנים ושתי טביעות האצבעות המורות של אדם וזאת על מנת למנוע זיופים ושימוש בזהויות אחרות.</w:t>
      </w:r>
    </w:p>
    <w:p w:rsidR="00871C50" w:rsidRPr="0060753A" w:rsidRDefault="00871C50" w:rsidP="00871C50">
      <w:pPr>
        <w:pStyle w:val="big-header"/>
        <w:keepNext w:val="0"/>
        <w:keepLines w:val="0"/>
        <w:spacing w:before="0" w:line="360" w:lineRule="auto"/>
        <w:ind w:left="0"/>
        <w:jc w:val="both"/>
        <w:rPr>
          <w:rFonts w:cs="David"/>
          <w:sz w:val="24"/>
          <w:szCs w:val="24"/>
          <w:rtl/>
        </w:rPr>
      </w:pPr>
      <w:r w:rsidRPr="0060753A">
        <w:rPr>
          <w:rFonts w:cs="David" w:hint="cs"/>
          <w:sz w:val="24"/>
          <w:szCs w:val="24"/>
          <w:rtl/>
        </w:rPr>
        <w:t>החוק מסדיר במקביל הקמתו של מאגר ביומטרי שיכלול את אותם אמצעי זיהוי ביומטריים וכן את השימושים המותרים במאגר זה, בנוסף על הנפקת מסמכי זיהוי- בעיקרם של משטרת ישראל.</w:t>
      </w:r>
    </w:p>
    <w:p w:rsidR="00871C50" w:rsidRPr="0060753A" w:rsidRDefault="00871C50" w:rsidP="00871C50">
      <w:pPr>
        <w:pStyle w:val="big-header"/>
        <w:keepNext w:val="0"/>
        <w:keepLines w:val="0"/>
        <w:spacing w:before="0" w:line="360" w:lineRule="auto"/>
        <w:ind w:left="0"/>
        <w:jc w:val="both"/>
        <w:rPr>
          <w:rFonts w:cs="David"/>
          <w:sz w:val="24"/>
          <w:szCs w:val="24"/>
          <w:rtl/>
        </w:rPr>
      </w:pPr>
      <w:r w:rsidRPr="0060753A">
        <w:rPr>
          <w:rFonts w:cs="David" w:hint="cs"/>
          <w:sz w:val="24"/>
          <w:szCs w:val="24"/>
          <w:rtl/>
        </w:rPr>
        <w:t>מטרה נוספת של החוק זה היא קביעת הסדרים נדרשים להגנה על פרטיותם של האזרחים שנלקחו מהם אמצעי הזיהוי הביומטריים ואבטחת המידע שבמאגר.</w:t>
      </w:r>
    </w:p>
    <w:p w:rsidR="00871C50" w:rsidRPr="0060753A" w:rsidRDefault="00871C50" w:rsidP="00871C50">
      <w:pPr>
        <w:pStyle w:val="big-header"/>
        <w:keepNext w:val="0"/>
        <w:keepLines w:val="0"/>
        <w:spacing w:before="0" w:line="360" w:lineRule="auto"/>
        <w:ind w:left="0"/>
        <w:jc w:val="both"/>
        <w:rPr>
          <w:rFonts w:cs="David"/>
          <w:b/>
          <w:bCs/>
          <w:sz w:val="24"/>
          <w:szCs w:val="24"/>
          <w:u w:val="single"/>
          <w:rtl/>
        </w:rPr>
      </w:pPr>
      <w:r w:rsidRPr="0060753A">
        <w:rPr>
          <w:rFonts w:cs="David" w:hint="cs"/>
          <w:b/>
          <w:bCs/>
          <w:sz w:val="24"/>
          <w:szCs w:val="24"/>
          <w:u w:val="single"/>
          <w:rtl/>
        </w:rPr>
        <w:t>הרקע לקיומה של תכנית מבחן (פיילוט)</w:t>
      </w:r>
    </w:p>
    <w:p w:rsidR="00871C50" w:rsidRPr="0060753A" w:rsidRDefault="00871C50" w:rsidP="00871C50">
      <w:pPr>
        <w:pStyle w:val="big-header"/>
        <w:keepNext w:val="0"/>
        <w:keepLines w:val="0"/>
        <w:spacing w:before="0" w:line="360" w:lineRule="auto"/>
        <w:ind w:left="0"/>
        <w:jc w:val="both"/>
        <w:rPr>
          <w:rFonts w:cs="David"/>
          <w:sz w:val="24"/>
          <w:szCs w:val="24"/>
          <w:rtl/>
        </w:rPr>
      </w:pPr>
      <w:r w:rsidRPr="0060753A">
        <w:rPr>
          <w:rFonts w:cs="David" w:hint="cs"/>
          <w:sz w:val="24"/>
          <w:szCs w:val="24"/>
          <w:rtl/>
        </w:rPr>
        <w:t xml:space="preserve">במהלך הדיונים על החוק עלו שאלות לגבי הצורך במאגר ביומטרי על מנת להשיג את מטרת החוק העיקרית- מניעת זיופי זהויות. והאם אין להסתפק </w:t>
      </w:r>
      <w:r w:rsidRPr="0060753A">
        <w:rPr>
          <w:rFonts w:cs="David" w:hint="cs"/>
          <w:b/>
          <w:bCs/>
          <w:sz w:val="24"/>
          <w:szCs w:val="24"/>
          <w:rtl/>
        </w:rPr>
        <w:t>בקיומן של תעודות זהות ביומטריות שממילא אינן ניתנות לזיוף</w:t>
      </w:r>
      <w:r w:rsidRPr="0060753A">
        <w:rPr>
          <w:rFonts w:cs="David" w:hint="cs"/>
          <w:sz w:val="24"/>
          <w:szCs w:val="24"/>
          <w:rtl/>
        </w:rPr>
        <w:t xml:space="preserve">, מבלי שטביעות האצבע ותמונת הפנים הביומטרית ייאגרו במאגר שאף אושרו בו שימושים נרחבים ביותר למשטרת ישראל. החשש שעלה  היה מפריצתו של מאגר כאמור ומהפגיעה הבלתי הפיכה עם זליגתו של מידע ביומטרי כדוגמת טביעות אצבע. זאת, במיוחד על רקע השימושים הנרחבים שאושרו בו ובמידע שיועבר החוצה ממנו, בעיקר למשטרת ישראל, אפילו בחקירה של עבירות מסוימות מסוג עוון (פחות משלוש שנות מאסר). </w:t>
      </w:r>
    </w:p>
    <w:p w:rsidR="00871C50" w:rsidRPr="0060753A" w:rsidRDefault="00871C50" w:rsidP="00C82D61">
      <w:pPr>
        <w:pStyle w:val="big-header"/>
        <w:keepNext w:val="0"/>
        <w:keepLines w:val="0"/>
        <w:spacing w:before="0" w:line="360" w:lineRule="auto"/>
        <w:ind w:left="0"/>
        <w:jc w:val="both"/>
        <w:rPr>
          <w:rFonts w:cs="David"/>
          <w:sz w:val="24"/>
          <w:szCs w:val="24"/>
          <w:rtl/>
        </w:rPr>
      </w:pPr>
      <w:r w:rsidRPr="0060753A">
        <w:rPr>
          <w:rFonts w:cs="David" w:hint="cs"/>
          <w:sz w:val="24"/>
          <w:szCs w:val="24"/>
          <w:rtl/>
        </w:rPr>
        <w:t xml:space="preserve">השאלה החוקתית </w:t>
      </w:r>
      <w:r w:rsidR="00C82D61" w:rsidRPr="0060753A">
        <w:rPr>
          <w:rFonts w:cs="David" w:hint="cs"/>
          <w:sz w:val="24"/>
          <w:szCs w:val="24"/>
          <w:rtl/>
        </w:rPr>
        <w:t>שעמדה ברקע היתה האם</w:t>
      </w:r>
      <w:r w:rsidRPr="0060753A">
        <w:rPr>
          <w:rFonts w:cs="David" w:hint="cs"/>
          <w:sz w:val="24"/>
          <w:szCs w:val="24"/>
          <w:rtl/>
        </w:rPr>
        <w:t xml:space="preserve"> באיזון בין הסיכון בפגיעה בזכות לפרטיות של כלל אזרחי המדינה</w:t>
      </w:r>
      <w:r w:rsidR="00C82D61" w:rsidRPr="0060753A">
        <w:rPr>
          <w:rFonts w:cs="David" w:hint="cs"/>
          <w:sz w:val="24"/>
          <w:szCs w:val="24"/>
          <w:rtl/>
        </w:rPr>
        <w:t>, לרבו תעצם האיסוף של המנדטורי של תכונות פיזיות של כלל אזרחי המדינה</w:t>
      </w:r>
      <w:r w:rsidRPr="0060753A">
        <w:rPr>
          <w:rFonts w:cs="David" w:hint="cs"/>
          <w:sz w:val="24"/>
          <w:szCs w:val="24"/>
          <w:rtl/>
        </w:rPr>
        <w:t xml:space="preserve"> לבין הצורך למנוע זיופי זהויות-  אגירת טביעות האצבע ותמונות הפנים של כלל אזרחי המדינה היא אכן אמצעי מידתי ונדרש. זאת</w:t>
      </w:r>
      <w:r w:rsidR="00C82D61" w:rsidRPr="0060753A">
        <w:rPr>
          <w:rFonts w:cs="David" w:hint="cs"/>
          <w:sz w:val="24"/>
          <w:szCs w:val="24"/>
          <w:rtl/>
        </w:rPr>
        <w:t>, בנוסף,</w:t>
      </w:r>
      <w:r w:rsidRPr="0060753A">
        <w:rPr>
          <w:rFonts w:cs="David" w:hint="cs"/>
          <w:sz w:val="24"/>
          <w:szCs w:val="24"/>
          <w:rtl/>
        </w:rPr>
        <w:t xml:space="preserve"> לאור הטענה שגם המאגר לא מספק מענה סופי והרמטי ל"הרכשות כפולות" (הרכשה כפולה- מצב בו אדם מתחזה לאחר ומקבל מסמך זיהוי ששמו של אחר מצוין בו, אך המאפיינים הביומטריים שבו הם של המתחזה). כמו כן ,</w:t>
      </w:r>
      <w:r w:rsidRPr="0060753A">
        <w:rPr>
          <w:rStyle w:val="default"/>
          <w:rFonts w:cs="David" w:hint="cs"/>
          <w:b/>
          <w:bCs/>
          <w:sz w:val="24"/>
          <w:szCs w:val="24"/>
          <w:u w:val="single"/>
          <w:rtl/>
        </w:rPr>
        <w:t>גם למאגר יש סטטיסטיקה קבועה של טעויות</w:t>
      </w:r>
      <w:r w:rsidRPr="0060753A">
        <w:rPr>
          <w:rStyle w:val="default"/>
          <w:rFonts w:cs="David" w:hint="cs"/>
          <w:sz w:val="24"/>
          <w:szCs w:val="24"/>
          <w:rtl/>
        </w:rPr>
        <w:t>. כך, על כל 10,000 תעודות יש נתון ביומטרי שניתן לפספס ואז עלולים להיות שני אנשים עם אותה תעודה.</w:t>
      </w:r>
    </w:p>
    <w:p w:rsidR="00871C50" w:rsidRPr="0060753A" w:rsidRDefault="00871C50" w:rsidP="00871C50">
      <w:pPr>
        <w:pStyle w:val="big-header"/>
        <w:keepNext w:val="0"/>
        <w:keepLines w:val="0"/>
        <w:spacing w:before="0" w:line="360" w:lineRule="auto"/>
        <w:ind w:left="0"/>
        <w:jc w:val="both"/>
        <w:rPr>
          <w:rFonts w:cs="David"/>
          <w:sz w:val="24"/>
          <w:szCs w:val="24"/>
        </w:rPr>
      </w:pPr>
      <w:r w:rsidRPr="0060753A">
        <w:rPr>
          <w:rFonts w:cs="David" w:hint="cs"/>
          <w:sz w:val="24"/>
          <w:szCs w:val="24"/>
          <w:rtl/>
        </w:rPr>
        <w:t xml:space="preserve">לפיכך הוחלט כי טרם כניסתו של כל החוק לתוקף יבוצע ניסוי לגבי הצורך בקיומו של מאגר ביומטרי. על פי סעיף 41  לחוק נקבעה תחולה הדרגתית של החוק והפעלתה של תקופת מבחן (פיילוט) , שבמהלכה  יחולו הוראות  החוק באופן וולונטרי על תושבים שיתנו הסכמתם לכך בכתב, במטרה לבחון בתקופה זו </w:t>
      </w:r>
      <w:r w:rsidRPr="0060753A">
        <w:rPr>
          <w:rFonts w:cs="David" w:hint="cs"/>
          <w:b/>
          <w:bCs/>
          <w:sz w:val="24"/>
          <w:szCs w:val="24"/>
          <w:rtl/>
        </w:rPr>
        <w:t>שלוש מטרות</w:t>
      </w:r>
      <w:r w:rsidRPr="0060753A">
        <w:rPr>
          <w:rFonts w:cs="David" w:hint="cs"/>
          <w:sz w:val="24"/>
          <w:szCs w:val="24"/>
          <w:rtl/>
        </w:rPr>
        <w:t>:</w:t>
      </w:r>
    </w:p>
    <w:p w:rsidR="00871C50" w:rsidRPr="0060753A" w:rsidRDefault="00871C50" w:rsidP="00871C50">
      <w:pPr>
        <w:pStyle w:val="big-header"/>
        <w:keepNext w:val="0"/>
        <w:keepLines w:val="0"/>
        <w:spacing w:before="0" w:line="360" w:lineRule="auto"/>
        <w:ind w:left="0"/>
        <w:jc w:val="both"/>
        <w:rPr>
          <w:rFonts w:cs="David"/>
          <w:sz w:val="24"/>
          <w:szCs w:val="24"/>
        </w:rPr>
      </w:pPr>
      <w:r w:rsidRPr="0060753A">
        <w:rPr>
          <w:rFonts w:cs="David" w:hint="cs"/>
          <w:sz w:val="24"/>
          <w:szCs w:val="24"/>
          <w:rtl/>
        </w:rPr>
        <w:t>1. אופן היישום של הוראות החוק (הקמת מאגר, ניהולו, הנפקת תעודות זהות וכו")</w:t>
      </w:r>
    </w:p>
    <w:p w:rsidR="00871C50" w:rsidRPr="0060753A" w:rsidRDefault="00871C50" w:rsidP="00871C50">
      <w:pPr>
        <w:pStyle w:val="big-header"/>
        <w:keepNext w:val="0"/>
        <w:keepLines w:val="0"/>
        <w:spacing w:before="0" w:line="360" w:lineRule="auto"/>
        <w:ind w:left="0"/>
        <w:jc w:val="both"/>
        <w:rPr>
          <w:rFonts w:cs="David"/>
          <w:sz w:val="24"/>
          <w:szCs w:val="24"/>
        </w:rPr>
      </w:pPr>
      <w:r w:rsidRPr="0060753A">
        <w:rPr>
          <w:rFonts w:cs="David" w:hint="cs"/>
          <w:sz w:val="24"/>
          <w:szCs w:val="24"/>
          <w:rtl/>
        </w:rPr>
        <w:t xml:space="preserve">2. נחיצות קיומו של מאגר ביומטרי ומטרות המאגר כאמור- בחינה זו נעשית בעיקר על ידי </w:t>
      </w:r>
      <w:r w:rsidRPr="0060753A">
        <w:rPr>
          <w:rFonts w:cs="David" w:hint="cs"/>
          <w:b/>
          <w:bCs/>
          <w:sz w:val="24"/>
          <w:szCs w:val="24"/>
          <w:rtl/>
        </w:rPr>
        <w:t>בחינת חלופות</w:t>
      </w:r>
      <w:r w:rsidRPr="0060753A">
        <w:rPr>
          <w:rFonts w:cs="David" w:hint="cs"/>
          <w:sz w:val="24"/>
          <w:szCs w:val="24"/>
          <w:rtl/>
        </w:rPr>
        <w:t xml:space="preserve"> לקיומו של מאגר, אשר יענו בצורה מספקת על הצורך במניעת זיוף זהויות. הבדיקות הנדרשות בעניין זה מפורטות בצו תכנית המבחן ובפרוטוקול ניסוי שהוצא לפיו.</w:t>
      </w:r>
    </w:p>
    <w:p w:rsidR="00871C50" w:rsidRPr="0060753A" w:rsidRDefault="00871C50" w:rsidP="00871C50">
      <w:pPr>
        <w:pStyle w:val="big-header"/>
        <w:keepNext w:val="0"/>
        <w:keepLines w:val="0"/>
        <w:spacing w:before="0" w:line="360" w:lineRule="auto"/>
        <w:ind w:left="0"/>
        <w:jc w:val="both"/>
        <w:rPr>
          <w:rStyle w:val="default"/>
          <w:rFonts w:cs="David"/>
          <w:sz w:val="24"/>
          <w:szCs w:val="24"/>
        </w:rPr>
      </w:pPr>
      <w:r w:rsidRPr="0060753A">
        <w:rPr>
          <w:rFonts w:cs="David" w:hint="cs"/>
          <w:sz w:val="24"/>
          <w:szCs w:val="24"/>
          <w:rtl/>
        </w:rPr>
        <w:t xml:space="preserve">3. המידע שיש לשמור במאגר ואופן השימוש בו- האם ניתן לשמור במאגר </w:t>
      </w:r>
      <w:r w:rsidRPr="0060753A">
        <w:rPr>
          <w:rStyle w:val="default"/>
          <w:rFonts w:cs="David" w:hint="cs"/>
          <w:b/>
          <w:bCs/>
          <w:sz w:val="24"/>
          <w:szCs w:val="24"/>
          <w:rtl/>
        </w:rPr>
        <w:t>הרכב אחר ומופחת</w:t>
      </w:r>
      <w:r w:rsidRPr="0060753A">
        <w:rPr>
          <w:rStyle w:val="default"/>
          <w:rFonts w:cs="David" w:hint="cs"/>
          <w:sz w:val="24"/>
          <w:szCs w:val="24"/>
          <w:rtl/>
        </w:rPr>
        <w:t xml:space="preserve"> של אמצעים ביומטריים ולאו דוקא טביעות שתי האצבעות המורות ותמונת הפנים גם יחד.</w:t>
      </w:r>
    </w:p>
    <w:p w:rsidR="0060753A" w:rsidRDefault="0060753A" w:rsidP="00871C50">
      <w:pPr>
        <w:pStyle w:val="big-header"/>
        <w:keepNext w:val="0"/>
        <w:keepLines w:val="0"/>
        <w:spacing w:before="0" w:line="360" w:lineRule="auto"/>
        <w:ind w:left="-360"/>
        <w:jc w:val="both"/>
        <w:rPr>
          <w:rStyle w:val="default"/>
          <w:rFonts w:cs="David"/>
          <w:b/>
          <w:bCs/>
          <w:sz w:val="24"/>
          <w:szCs w:val="24"/>
          <w:u w:val="single"/>
          <w:rtl/>
        </w:rPr>
      </w:pPr>
    </w:p>
    <w:p w:rsidR="00871C50" w:rsidRPr="0060753A" w:rsidRDefault="00871C50" w:rsidP="00871C50">
      <w:pPr>
        <w:pStyle w:val="big-header"/>
        <w:keepNext w:val="0"/>
        <w:keepLines w:val="0"/>
        <w:spacing w:before="0" w:line="360" w:lineRule="auto"/>
        <w:ind w:left="-360"/>
        <w:jc w:val="both"/>
        <w:rPr>
          <w:rStyle w:val="default"/>
          <w:rFonts w:cs="David"/>
          <w:b/>
          <w:bCs/>
          <w:sz w:val="24"/>
          <w:szCs w:val="24"/>
          <w:u w:val="single"/>
        </w:rPr>
      </w:pPr>
      <w:r w:rsidRPr="0060753A">
        <w:rPr>
          <w:rStyle w:val="default"/>
          <w:rFonts w:cs="David" w:hint="cs"/>
          <w:b/>
          <w:bCs/>
          <w:sz w:val="24"/>
          <w:szCs w:val="24"/>
          <w:u w:val="single"/>
          <w:rtl/>
        </w:rPr>
        <w:t>הפעלתה של תכנית המבחן</w:t>
      </w:r>
    </w:p>
    <w:p w:rsidR="00871C50" w:rsidRPr="0060753A" w:rsidRDefault="00871C50" w:rsidP="002B399A">
      <w:pPr>
        <w:pStyle w:val="big-header"/>
        <w:keepNext w:val="0"/>
        <w:keepLines w:val="0"/>
        <w:spacing w:before="0" w:line="360" w:lineRule="auto"/>
        <w:ind w:left="0"/>
        <w:jc w:val="both"/>
        <w:rPr>
          <w:rFonts w:cs="David"/>
          <w:sz w:val="24"/>
          <w:szCs w:val="24"/>
          <w:rtl/>
        </w:rPr>
      </w:pPr>
      <w:r w:rsidRPr="0060753A">
        <w:rPr>
          <w:rStyle w:val="default"/>
          <w:rFonts w:cs="David" w:hint="cs"/>
          <w:sz w:val="24"/>
          <w:szCs w:val="24"/>
          <w:rtl/>
        </w:rPr>
        <w:t xml:space="preserve">תכנית המבחן פועלת על פי צו </w:t>
      </w:r>
      <w:r w:rsidRPr="0060753A">
        <w:rPr>
          <w:rFonts w:cs="David" w:hint="cs"/>
          <w:sz w:val="24"/>
          <w:szCs w:val="24"/>
          <w:rtl/>
        </w:rPr>
        <w:t xml:space="preserve">הכללת אמצעי זיהוי ביומטריים ונתוני זיהוי ביומטריים במסמכי זיהוי ובמאגר מידע (תקופת מבחן), התשע"א-2011 (להלן- צו תכנית המבחן) שתוקפו </w:t>
      </w:r>
      <w:r w:rsidR="00C82D61" w:rsidRPr="0060753A">
        <w:rPr>
          <w:rFonts w:cs="David" w:hint="cs"/>
          <w:sz w:val="24"/>
          <w:szCs w:val="24"/>
          <w:rtl/>
        </w:rPr>
        <w:t xml:space="preserve">הראשוני היה </w:t>
      </w:r>
      <w:r w:rsidRPr="0060753A">
        <w:rPr>
          <w:rFonts w:cs="David" w:hint="cs"/>
          <w:sz w:val="24"/>
          <w:szCs w:val="24"/>
          <w:rtl/>
        </w:rPr>
        <w:t>שנ</w:t>
      </w:r>
      <w:r w:rsidR="00C82D61" w:rsidRPr="0060753A">
        <w:rPr>
          <w:rFonts w:cs="David" w:hint="cs"/>
          <w:sz w:val="24"/>
          <w:szCs w:val="24"/>
          <w:rtl/>
        </w:rPr>
        <w:t>תיים: מיום 30.6.13 ועד 29.6.15. הצו הוארך פעמיים בתקופות של תשעה חודשים כל אחת והוא עתיד לפקוע ב 31.12.16.</w:t>
      </w:r>
    </w:p>
    <w:p w:rsidR="002B399A" w:rsidRDefault="00871C50" w:rsidP="002B399A">
      <w:pPr>
        <w:pStyle w:val="big-header"/>
        <w:keepNext w:val="0"/>
        <w:keepLines w:val="0"/>
        <w:spacing w:before="0" w:line="360" w:lineRule="auto"/>
        <w:ind w:left="0"/>
        <w:jc w:val="both"/>
        <w:rPr>
          <w:rFonts w:cs="David"/>
          <w:sz w:val="24"/>
          <w:szCs w:val="24"/>
          <w:rtl/>
        </w:rPr>
      </w:pPr>
      <w:r w:rsidRPr="0060753A">
        <w:rPr>
          <w:rFonts w:cs="David" w:hint="cs"/>
          <w:sz w:val="24"/>
          <w:szCs w:val="24"/>
          <w:rtl/>
        </w:rPr>
        <w:t>הפעלתה של תכנית המבחן מרוכזת בשתי רשויות הפועלות במשרד הפנים: הרשות לניהול המאגר הביומטרי אשר הוקמה בחוק ורשות האוכלוסין</w:t>
      </w:r>
      <w:r w:rsidR="002B399A">
        <w:rPr>
          <w:rFonts w:cs="David" w:hint="cs"/>
          <w:sz w:val="24"/>
          <w:szCs w:val="24"/>
          <w:rtl/>
        </w:rPr>
        <w:t>.</w:t>
      </w:r>
    </w:p>
    <w:p w:rsidR="00871C50" w:rsidRPr="0060753A" w:rsidRDefault="00871C50" w:rsidP="002B399A">
      <w:pPr>
        <w:pStyle w:val="big-header"/>
        <w:keepNext w:val="0"/>
        <w:keepLines w:val="0"/>
        <w:spacing w:before="0" w:line="360" w:lineRule="auto"/>
        <w:ind w:left="0"/>
        <w:jc w:val="both"/>
        <w:rPr>
          <w:rFonts w:cs="David"/>
          <w:sz w:val="24"/>
          <w:szCs w:val="24"/>
          <w:rtl/>
        </w:rPr>
      </w:pPr>
      <w:r w:rsidRPr="0060753A">
        <w:rPr>
          <w:rFonts w:cs="David" w:hint="cs"/>
          <w:sz w:val="24"/>
          <w:szCs w:val="24"/>
          <w:rtl/>
        </w:rPr>
        <w:t xml:space="preserve"> צו תכנית המבחן הנו מפורט מאוד ומתווה למעשה את כלל הבדיקות והפעולות שיש לבצע בתקופת המבחן על מנת לקיים את המטרות שנמנו לעיל בסעיף 41 לחוק. את הצו הוציא שר הפנים בהתייעצות עם שר המשפטים ושר האוצר ובאישור ועדת הכנסת המשותפת. </w:t>
      </w:r>
    </w:p>
    <w:p w:rsidR="00B60367" w:rsidRPr="0060753A" w:rsidRDefault="00B60367" w:rsidP="0060753A">
      <w:pPr>
        <w:ind w:left="-77"/>
        <w:jc w:val="both"/>
        <w:rPr>
          <w:rFonts w:cs="David"/>
          <w:b/>
          <w:bCs/>
          <w:sz w:val="24"/>
          <w:szCs w:val="24"/>
        </w:rPr>
      </w:pPr>
    </w:p>
    <w:sectPr w:rsidR="00B60367" w:rsidRPr="0060753A" w:rsidSect="00B60367">
      <w:headerReference w:type="default" r:id="rId7"/>
      <w:pgSz w:w="11906" w:h="16838"/>
      <w:pgMar w:top="1440" w:right="1080" w:bottom="1440" w:left="108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4E42" w:rsidRDefault="00B44E42" w:rsidP="00784787">
      <w:pPr>
        <w:spacing w:after="0" w:line="240" w:lineRule="auto"/>
      </w:pPr>
      <w:r>
        <w:separator/>
      </w:r>
    </w:p>
  </w:endnote>
  <w:endnote w:type="continuationSeparator" w:id="0">
    <w:p w:rsidR="00B44E42" w:rsidRDefault="00B44E42" w:rsidP="007847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rankRuehl">
    <w:panose1 w:val="020E0503060101010101"/>
    <w:charset w:val="B1"/>
    <w:family w:val="swiss"/>
    <w:pitch w:val="variable"/>
    <w:sig w:usb0="00000801" w:usb1="00000000" w:usb2="00000000" w:usb3="00000000" w:csb0="0000002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4E42" w:rsidRDefault="00B44E42" w:rsidP="00784787">
      <w:pPr>
        <w:spacing w:after="0" w:line="240" w:lineRule="auto"/>
      </w:pPr>
      <w:r>
        <w:separator/>
      </w:r>
    </w:p>
  </w:footnote>
  <w:footnote w:type="continuationSeparator" w:id="0">
    <w:p w:rsidR="00B44E42" w:rsidRDefault="00B44E42" w:rsidP="0078478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542823386"/>
      <w:docPartObj>
        <w:docPartGallery w:val="Page Numbers (Top of Page)"/>
        <w:docPartUnique/>
      </w:docPartObj>
    </w:sdtPr>
    <w:sdtEndPr>
      <w:rPr>
        <w:cs/>
      </w:rPr>
    </w:sdtEndPr>
    <w:sdtContent>
      <w:p w:rsidR="00784787" w:rsidRDefault="00784787">
        <w:pPr>
          <w:pStyle w:val="a4"/>
          <w:jc w:val="center"/>
          <w:rPr>
            <w:rtl/>
            <w:cs/>
          </w:rPr>
        </w:pPr>
        <w:r>
          <w:fldChar w:fldCharType="begin"/>
        </w:r>
        <w:r>
          <w:rPr>
            <w:rtl/>
            <w:cs/>
          </w:rPr>
          <w:instrText>PAGE   \* MERGEFORMAT</w:instrText>
        </w:r>
        <w:r>
          <w:fldChar w:fldCharType="separate"/>
        </w:r>
        <w:r w:rsidR="001B675A" w:rsidRPr="001B675A">
          <w:rPr>
            <w:noProof/>
            <w:rtl/>
            <w:lang w:val="he-IL"/>
          </w:rPr>
          <w:t>1</w:t>
        </w:r>
        <w:r>
          <w:fldChar w:fldCharType="end"/>
        </w:r>
      </w:p>
    </w:sdtContent>
  </w:sdt>
  <w:p w:rsidR="00784787" w:rsidRDefault="00784787">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274F69"/>
    <w:multiLevelType w:val="hybridMultilevel"/>
    <w:tmpl w:val="08F8964C"/>
    <w:lvl w:ilvl="0" w:tplc="6A08328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A536E0E"/>
    <w:multiLevelType w:val="hybridMultilevel"/>
    <w:tmpl w:val="33D841F0"/>
    <w:lvl w:ilvl="0" w:tplc="16B43590">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C374851"/>
    <w:multiLevelType w:val="hybridMultilevel"/>
    <w:tmpl w:val="611029FE"/>
    <w:lvl w:ilvl="0" w:tplc="0409000F">
      <w:start w:val="1"/>
      <w:numFmt w:val="decimal"/>
      <w:lvlText w:val="%1."/>
      <w:lvlJc w:val="left"/>
      <w:pPr>
        <w:ind w:left="785" w:hanging="360"/>
      </w:pPr>
      <w:rPr>
        <w:rFonts w:hint="default"/>
      </w:rPr>
    </w:lvl>
    <w:lvl w:ilvl="1" w:tplc="40F45CE4">
      <w:start w:val="1"/>
      <w:numFmt w:val="hebrew1"/>
      <w:lvlText w:val="(%2)"/>
      <w:lvlJc w:val="left"/>
      <w:pPr>
        <w:ind w:left="1494" w:hanging="360"/>
      </w:pPr>
      <w:rPr>
        <w:rFonts w:ascii="Times New Roman" w:eastAsia="Times New Roman" w:hAnsi="Times New Roman" w:cs="David"/>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564582F"/>
    <w:multiLevelType w:val="hybridMultilevel"/>
    <w:tmpl w:val="50B6E99A"/>
    <w:lvl w:ilvl="0" w:tplc="6E147C92">
      <w:start w:val="1"/>
      <w:numFmt w:val="decimal"/>
      <w:lvlText w:val="%1."/>
      <w:lvlJc w:val="left"/>
      <w:pPr>
        <w:ind w:left="643"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7C27"/>
    <w:rsid w:val="000441C9"/>
    <w:rsid w:val="000E509B"/>
    <w:rsid w:val="0011158E"/>
    <w:rsid w:val="00137186"/>
    <w:rsid w:val="00152EDA"/>
    <w:rsid w:val="00165FDC"/>
    <w:rsid w:val="001B675A"/>
    <w:rsid w:val="001D3F50"/>
    <w:rsid w:val="00224529"/>
    <w:rsid w:val="002629E6"/>
    <w:rsid w:val="002B399A"/>
    <w:rsid w:val="002B61E2"/>
    <w:rsid w:val="002D7E19"/>
    <w:rsid w:val="003558F0"/>
    <w:rsid w:val="003754AB"/>
    <w:rsid w:val="003A61F6"/>
    <w:rsid w:val="003F3993"/>
    <w:rsid w:val="00436F43"/>
    <w:rsid w:val="004A380A"/>
    <w:rsid w:val="004B08F4"/>
    <w:rsid w:val="004B61F5"/>
    <w:rsid w:val="00533872"/>
    <w:rsid w:val="005768AA"/>
    <w:rsid w:val="0060753A"/>
    <w:rsid w:val="00610E44"/>
    <w:rsid w:val="0067029D"/>
    <w:rsid w:val="00673BEE"/>
    <w:rsid w:val="00691D27"/>
    <w:rsid w:val="006E7B2B"/>
    <w:rsid w:val="00746FF7"/>
    <w:rsid w:val="00784787"/>
    <w:rsid w:val="007F173F"/>
    <w:rsid w:val="00871C50"/>
    <w:rsid w:val="00884F01"/>
    <w:rsid w:val="008A00BC"/>
    <w:rsid w:val="00954494"/>
    <w:rsid w:val="00A14F38"/>
    <w:rsid w:val="00A72DA2"/>
    <w:rsid w:val="00A75FE8"/>
    <w:rsid w:val="00A8091F"/>
    <w:rsid w:val="00A96922"/>
    <w:rsid w:val="00AC76EF"/>
    <w:rsid w:val="00B2420A"/>
    <w:rsid w:val="00B33750"/>
    <w:rsid w:val="00B44E42"/>
    <w:rsid w:val="00B60367"/>
    <w:rsid w:val="00B66AC9"/>
    <w:rsid w:val="00B74287"/>
    <w:rsid w:val="00BA1576"/>
    <w:rsid w:val="00C82D61"/>
    <w:rsid w:val="00CB3AC7"/>
    <w:rsid w:val="00CE5FB5"/>
    <w:rsid w:val="00D27C27"/>
    <w:rsid w:val="00D27E82"/>
    <w:rsid w:val="00DC156B"/>
    <w:rsid w:val="00E1571D"/>
    <w:rsid w:val="00E160A7"/>
    <w:rsid w:val="00E84734"/>
    <w:rsid w:val="00E8763E"/>
    <w:rsid w:val="00F82137"/>
    <w:rsid w:val="00FB1F55"/>
    <w:rsid w:val="00FB7F7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E71E53-BF9B-4225-A30A-2E9D0CB34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HatzaotHok">
    <w:name w:val="Head HatzaotHok"/>
    <w:basedOn w:val="a"/>
    <w:rsid w:val="004B08F4"/>
    <w:pPr>
      <w:keepNext/>
      <w:keepLines/>
      <w:widowControl w:val="0"/>
      <w:autoSpaceDE w:val="0"/>
      <w:autoSpaceDN w:val="0"/>
      <w:adjustRightInd w:val="0"/>
      <w:snapToGrid w:val="0"/>
      <w:spacing w:before="240" w:after="0" w:line="360" w:lineRule="auto"/>
      <w:jc w:val="center"/>
      <w:textAlignment w:val="center"/>
    </w:pPr>
    <w:rPr>
      <w:rFonts w:ascii="Arial" w:eastAsia="Arial Unicode MS" w:hAnsi="Arial" w:cs="David"/>
      <w:b/>
      <w:bCs/>
      <w:snapToGrid w:val="0"/>
      <w:color w:val="000000"/>
      <w:sz w:val="20"/>
      <w:szCs w:val="26"/>
      <w:lang w:eastAsia="ja-JP"/>
    </w:rPr>
  </w:style>
  <w:style w:type="paragraph" w:styleId="a3">
    <w:name w:val="List Paragraph"/>
    <w:basedOn w:val="a"/>
    <w:uiPriority w:val="34"/>
    <w:qFormat/>
    <w:rsid w:val="00AC76EF"/>
    <w:pPr>
      <w:ind w:left="720"/>
      <w:contextualSpacing/>
    </w:pPr>
  </w:style>
  <w:style w:type="paragraph" w:styleId="a4">
    <w:name w:val="header"/>
    <w:basedOn w:val="a"/>
    <w:link w:val="a5"/>
    <w:uiPriority w:val="99"/>
    <w:unhideWhenUsed/>
    <w:rsid w:val="00784787"/>
    <w:pPr>
      <w:tabs>
        <w:tab w:val="center" w:pos="4153"/>
        <w:tab w:val="right" w:pos="8306"/>
      </w:tabs>
      <w:spacing w:after="0" w:line="240" w:lineRule="auto"/>
    </w:pPr>
  </w:style>
  <w:style w:type="character" w:customStyle="1" w:styleId="a5">
    <w:name w:val="כותרת עליונה תו"/>
    <w:basedOn w:val="a0"/>
    <w:link w:val="a4"/>
    <w:uiPriority w:val="99"/>
    <w:rsid w:val="00784787"/>
  </w:style>
  <w:style w:type="paragraph" w:styleId="a6">
    <w:name w:val="footer"/>
    <w:basedOn w:val="a"/>
    <w:link w:val="a7"/>
    <w:uiPriority w:val="99"/>
    <w:unhideWhenUsed/>
    <w:rsid w:val="00784787"/>
    <w:pPr>
      <w:tabs>
        <w:tab w:val="center" w:pos="4153"/>
        <w:tab w:val="right" w:pos="8306"/>
      </w:tabs>
      <w:spacing w:after="0" w:line="240" w:lineRule="auto"/>
    </w:pPr>
  </w:style>
  <w:style w:type="character" w:customStyle="1" w:styleId="a7">
    <w:name w:val="כותרת תחתונה תו"/>
    <w:basedOn w:val="a0"/>
    <w:link w:val="a6"/>
    <w:uiPriority w:val="99"/>
    <w:rsid w:val="00784787"/>
  </w:style>
  <w:style w:type="paragraph" w:customStyle="1" w:styleId="big-header">
    <w:name w:val="big-header"/>
    <w:basedOn w:val="a"/>
    <w:rsid w:val="00871C50"/>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ascii="Times New Roman" w:eastAsia="Times New Roman" w:hAnsi="Times New Roman" w:cs="FrankRuehl"/>
      <w:noProof/>
      <w:sz w:val="20"/>
      <w:szCs w:val="32"/>
      <w:lang w:eastAsia="he-IL"/>
    </w:rPr>
  </w:style>
  <w:style w:type="character" w:customStyle="1" w:styleId="default">
    <w:name w:val="default"/>
    <w:rsid w:val="00871C50"/>
    <w:rPr>
      <w:rFonts w:ascii="Times New Roman" w:hAnsi="Times New Roman" w:cs="Times New Roman"/>
      <w:sz w:val="20"/>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931E205BBB08441AEFFEBF8ABB23DF1" ma:contentTypeVersion="0" ma:contentTypeDescription="Create a new document." ma:contentTypeScope="" ma:versionID="5e16b795bfa190b891513a8f9da45484">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9C3229-4AC7-43D2-A585-D7FFCBF5AD0B}"/>
</file>

<file path=customXml/itemProps2.xml><?xml version="1.0" encoding="utf-8"?>
<ds:datastoreItem xmlns:ds="http://schemas.openxmlformats.org/officeDocument/2006/customXml" ds:itemID="{1967E33B-7FED-4647-A0D7-87C541267A5B}"/>
</file>

<file path=customXml/itemProps3.xml><?xml version="1.0" encoding="utf-8"?>
<ds:datastoreItem xmlns:ds="http://schemas.openxmlformats.org/officeDocument/2006/customXml" ds:itemID="{62BCD21F-6594-45AB-947C-5AEF7BF373A3}"/>
</file>

<file path=docProps/app.xml><?xml version="1.0" encoding="utf-8"?>
<Properties xmlns="http://schemas.openxmlformats.org/officeDocument/2006/extended-properties" xmlns:vt="http://schemas.openxmlformats.org/officeDocument/2006/docPropsVTypes">
  <Template>Normal</Template>
  <TotalTime>27</TotalTime>
  <Pages>1</Pages>
  <Words>918</Words>
  <Characters>4595</Characters>
  <Application>Microsoft Office Word</Application>
  <DocSecurity>0</DocSecurity>
  <Lines>38</Lines>
  <Paragraphs>11</Paragraphs>
  <ScaleCrop>false</ScaleCrop>
  <HeadingPairs>
    <vt:vector size="2" baseType="variant">
      <vt:variant>
        <vt:lpstr>שם</vt:lpstr>
      </vt:variant>
      <vt:variant>
        <vt:i4>1</vt:i4>
      </vt:variant>
    </vt:vector>
  </HeadingPairs>
  <TitlesOfParts>
    <vt:vector size="1" baseType="lpstr">
      <vt:lpstr/>
    </vt:vector>
  </TitlesOfParts>
  <Company>Knesset of Israel</Company>
  <LinksUpToDate>false</LinksUpToDate>
  <CharactersWithSpaces>5502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נירה לאמעי</dc:creator>
  <cp:keywords/>
  <dc:description/>
  <cp:lastModifiedBy>נירה לאמעי</cp:lastModifiedBy>
  <cp:revision>6</cp:revision>
  <dcterms:created xsi:type="dcterms:W3CDTF">2016-12-26T14:55:00Z</dcterms:created>
  <dcterms:modified xsi:type="dcterms:W3CDTF">2016-12-26T15:28:00Z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0x010100F931E205BBB08441AEFFEBF8ABB23DF1</vt:lpwstr>
  </property>
  <property fmtid="{D5CDD505-2E9C-101B-9397-08002B2CF9AE}" pid="3" name="SanhedrinDocumentType">
    <vt:r8>88</vt:r8>
  </property>
  <property fmtid="{D5CDD505-2E9C-101B-9397-08002B2CF9AE}" pid="4" name="SanhedrinItemID">
    <vt:r8>2011455</vt:r8>
  </property>
</Properties>
</file>