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7960" w:rsidRDefault="00E97B7B" w:rsidP="00FF1E0E">
      <w:pPr>
        <w:pStyle w:val="10"/>
        <w:bidi w:val="0"/>
        <w:spacing w:before="840" w:line="264" w:lineRule="auto"/>
      </w:pPr>
      <w:bookmarkStart w:id="0" w:name="_GoBack"/>
      <w:bookmarkEnd w:id="0"/>
      <w:r>
        <w:rPr>
          <w:rFonts w:hint="cs"/>
          <w:rtl/>
        </w:rPr>
        <w:t>5 בדצמבר 2016</w:t>
      </w:r>
    </w:p>
    <w:p w:rsidR="00FF1E0E" w:rsidRDefault="00FF1E0E" w:rsidP="00E07960">
      <w:pPr>
        <w:pStyle w:val="10"/>
        <w:spacing w:before="240" w:line="264" w:lineRule="auto"/>
        <w:rPr>
          <w:rtl/>
        </w:rPr>
      </w:pPr>
    </w:p>
    <w:p w:rsidR="00120534" w:rsidRDefault="00120534" w:rsidP="00FF1E0E">
      <w:pPr>
        <w:pStyle w:val="10"/>
        <w:spacing w:before="240" w:line="264" w:lineRule="auto"/>
        <w:rPr>
          <w:rtl/>
        </w:rPr>
      </w:pPr>
      <w:r>
        <w:rPr>
          <w:rFonts w:hint="cs"/>
          <w:rtl/>
        </w:rPr>
        <w:t>לכבוד</w:t>
      </w:r>
    </w:p>
    <w:p w:rsidR="000440AE" w:rsidRDefault="000440AE" w:rsidP="00F9243E">
      <w:pPr>
        <w:pStyle w:val="10"/>
        <w:spacing w:before="0" w:line="264" w:lineRule="auto"/>
        <w:rPr>
          <w:rtl/>
        </w:rPr>
      </w:pPr>
      <w:r>
        <w:rPr>
          <w:rtl/>
        </w:rPr>
        <w:t xml:space="preserve">ח"כ מיקי </w:t>
      </w:r>
      <w:proofErr w:type="spellStart"/>
      <w:r w:rsidR="00F9243E">
        <w:rPr>
          <w:rFonts w:hint="cs"/>
          <w:rtl/>
        </w:rPr>
        <w:t>מכלוף</w:t>
      </w:r>
      <w:proofErr w:type="spellEnd"/>
      <w:r w:rsidR="00F9243E">
        <w:rPr>
          <w:rFonts w:hint="cs"/>
          <w:rtl/>
        </w:rPr>
        <w:t xml:space="preserve"> </w:t>
      </w:r>
      <w:r>
        <w:rPr>
          <w:rtl/>
        </w:rPr>
        <w:t>זוהר</w:t>
      </w:r>
    </w:p>
    <w:p w:rsidR="00E07960" w:rsidRDefault="000440AE" w:rsidP="007F0EEC">
      <w:pPr>
        <w:pStyle w:val="10"/>
        <w:spacing w:before="0" w:line="264" w:lineRule="auto"/>
        <w:rPr>
          <w:rtl/>
        </w:rPr>
      </w:pPr>
      <w:r w:rsidRPr="000440AE">
        <w:rPr>
          <w:rtl/>
        </w:rPr>
        <w:t>יו"ר הוועדה המיוחדת לצדק חלוקתי ולשוויון חברתי</w:t>
      </w:r>
    </w:p>
    <w:p w:rsidR="00773CB7" w:rsidRDefault="00773CB7" w:rsidP="007F0EEC">
      <w:pPr>
        <w:pStyle w:val="10"/>
        <w:spacing w:before="0" w:line="264" w:lineRule="auto"/>
        <w:rPr>
          <w:rtl/>
        </w:rPr>
      </w:pPr>
    </w:p>
    <w:p w:rsidR="00773CB7" w:rsidRDefault="00773CB7" w:rsidP="007F0EEC">
      <w:pPr>
        <w:pStyle w:val="10"/>
        <w:spacing w:before="0" w:line="264" w:lineRule="auto"/>
        <w:rPr>
          <w:rtl/>
        </w:rPr>
      </w:pPr>
    </w:p>
    <w:p w:rsidR="00F96CA0" w:rsidRPr="00A55997" w:rsidRDefault="00F96CA0" w:rsidP="00FF1E0E">
      <w:pPr>
        <w:pStyle w:val="10"/>
        <w:spacing w:before="240"/>
        <w:rPr>
          <w:rtl/>
        </w:rPr>
      </w:pPr>
      <w:r w:rsidRPr="00A55997">
        <w:rPr>
          <w:rFonts w:hint="cs"/>
          <w:rtl/>
        </w:rPr>
        <w:t xml:space="preserve">שלום רב, </w:t>
      </w:r>
    </w:p>
    <w:p w:rsidR="00F96CA0" w:rsidRPr="00950526" w:rsidRDefault="00F96CA0" w:rsidP="00FF1E0E">
      <w:pPr>
        <w:spacing w:before="240" w:after="0"/>
        <w:ind w:left="26"/>
        <w:jc w:val="center"/>
        <w:rPr>
          <w:b/>
          <w:bCs/>
          <w:sz w:val="25"/>
          <w:szCs w:val="25"/>
          <w:u w:val="single"/>
          <w:rtl/>
        </w:rPr>
      </w:pPr>
      <w:r>
        <w:rPr>
          <w:rFonts w:hint="cs"/>
          <w:rtl/>
        </w:rPr>
        <w:t>הנדון:</w:t>
      </w:r>
      <w:r w:rsidR="00950526">
        <w:rPr>
          <w:rFonts w:hint="cs"/>
          <w:b/>
          <w:bCs/>
          <w:sz w:val="25"/>
          <w:szCs w:val="25"/>
          <w:u w:val="single"/>
          <w:rtl/>
        </w:rPr>
        <w:t xml:space="preserve"> </w:t>
      </w:r>
      <w:r w:rsidR="00773CB7">
        <w:rPr>
          <w:rFonts w:hint="cs"/>
          <w:b/>
          <w:bCs/>
          <w:sz w:val="25"/>
          <w:szCs w:val="25"/>
          <w:u w:val="single"/>
          <w:rtl/>
        </w:rPr>
        <w:t>עמדת האגודה לזכויות האזרח בנושא הטלת ריביות פיגורים על אוכלוסיות מוחלשות</w:t>
      </w:r>
    </w:p>
    <w:p w:rsidR="006A4FB2" w:rsidRPr="00D86AD2" w:rsidRDefault="00773CB7" w:rsidP="00FF1E0E">
      <w:pPr>
        <w:spacing w:before="240" w:after="0"/>
        <w:jc w:val="both"/>
        <w:rPr>
          <w:rFonts w:ascii="Arial" w:hAnsi="Arial"/>
          <w:color w:val="000000"/>
          <w:rtl/>
        </w:rPr>
      </w:pPr>
      <w:r>
        <w:rPr>
          <w:rFonts w:ascii="Arial" w:hAnsi="Arial" w:hint="cs"/>
          <w:color w:val="000000"/>
          <w:rtl/>
        </w:rPr>
        <w:t>לקראת הדיון ב</w:t>
      </w:r>
      <w:r w:rsidRPr="00773CB7">
        <w:rPr>
          <w:rFonts w:ascii="Arial" w:hAnsi="Arial"/>
          <w:color w:val="000000"/>
          <w:rtl/>
        </w:rPr>
        <w:t>וועדה המיוחדת לצדק חלוקתי ולשוויון חברתי</w:t>
      </w:r>
      <w:r w:rsidR="00BB6542">
        <w:rPr>
          <w:rFonts w:ascii="Arial" w:hAnsi="Arial" w:hint="cs"/>
          <w:color w:val="000000"/>
          <w:rtl/>
        </w:rPr>
        <w:t xml:space="preserve"> לציון יום זכויות האדם הבינ</w:t>
      </w:r>
      <w:r w:rsidR="00F9243E">
        <w:rPr>
          <w:rFonts w:ascii="Arial" w:hAnsi="Arial" w:hint="cs"/>
          <w:color w:val="000000"/>
          <w:rtl/>
        </w:rPr>
        <w:t xml:space="preserve">לאומי בנושא הטלת ריביות פיגורים על אוכלוסיות </w:t>
      </w:r>
      <w:r w:rsidR="00BB6542">
        <w:rPr>
          <w:rFonts w:ascii="Arial" w:hAnsi="Arial" w:hint="cs"/>
          <w:color w:val="000000"/>
          <w:rtl/>
        </w:rPr>
        <w:t>מוחלשות, האגודה לזכויות האזרח מתכבדת להגיש את עמדתה.</w:t>
      </w:r>
      <w:r w:rsidR="00D86AD2">
        <w:rPr>
          <w:rFonts w:ascii="Arial" w:hAnsi="Arial" w:hint="cs"/>
          <w:color w:val="000000"/>
          <w:rtl/>
        </w:rPr>
        <w:t xml:space="preserve"> </w:t>
      </w:r>
      <w:r w:rsidR="006A4FB2" w:rsidRPr="000440AE">
        <w:rPr>
          <w:rFonts w:ascii="Arial" w:hAnsi="Arial" w:hint="cs"/>
          <w:b/>
          <w:bCs/>
          <w:color w:val="000000"/>
          <w:rtl/>
        </w:rPr>
        <w:t>אנו סבורים כי יש</w:t>
      </w:r>
      <w:r w:rsidR="006A4FB2">
        <w:rPr>
          <w:rFonts w:ascii="Arial" w:hAnsi="Arial" w:hint="cs"/>
          <w:color w:val="000000"/>
          <w:rtl/>
        </w:rPr>
        <w:t xml:space="preserve"> </w:t>
      </w:r>
      <w:r w:rsidR="006A4FB2" w:rsidRPr="006A4FB2">
        <w:rPr>
          <w:rFonts w:ascii="Arial" w:hAnsi="Arial" w:hint="cs"/>
          <w:b/>
          <w:bCs/>
          <w:color w:val="000000"/>
          <w:rtl/>
        </w:rPr>
        <w:t>לבטל את ריבית הפיגורים לאוכלוסיות שידן אינן משגת</w:t>
      </w:r>
      <w:r w:rsidR="006A4FB2">
        <w:rPr>
          <w:rFonts w:ascii="Arial" w:hAnsi="Arial" w:hint="cs"/>
          <w:color w:val="000000"/>
          <w:rtl/>
        </w:rPr>
        <w:t xml:space="preserve"> </w:t>
      </w:r>
      <w:r w:rsidR="000440AE" w:rsidRPr="000440AE">
        <w:rPr>
          <w:rFonts w:ascii="Arial" w:hAnsi="Arial" w:hint="cs"/>
          <w:b/>
          <w:bCs/>
          <w:color w:val="000000"/>
          <w:rtl/>
        </w:rPr>
        <w:t>ו</w:t>
      </w:r>
      <w:r w:rsidR="000440AE" w:rsidRPr="000440AE">
        <w:rPr>
          <w:rFonts w:hint="cs"/>
          <w:b/>
          <w:bCs/>
          <w:rtl/>
        </w:rPr>
        <w:t>לקיים פיקוח ורגולציה הדוקים יותר על ריביות הפיגורים שגובים הבנקים וגופים חזקים אחרים בהוצאה לפועל</w:t>
      </w:r>
      <w:r w:rsidR="000440AE">
        <w:rPr>
          <w:rFonts w:ascii="Arial" w:hAnsi="Arial" w:hint="cs"/>
          <w:color w:val="000000"/>
          <w:rtl/>
        </w:rPr>
        <w:t xml:space="preserve">. </w:t>
      </w:r>
    </w:p>
    <w:p w:rsidR="006A4FB2" w:rsidRPr="006A4FB2" w:rsidRDefault="006A4FB2" w:rsidP="00FF1E0E">
      <w:pPr>
        <w:spacing w:before="240" w:after="0"/>
        <w:jc w:val="both"/>
        <w:rPr>
          <w:rFonts w:ascii="Arial" w:hAnsi="Arial"/>
          <w:color w:val="000000"/>
        </w:rPr>
      </w:pPr>
      <w:r w:rsidRPr="006A4FB2">
        <w:rPr>
          <w:rFonts w:hint="cs"/>
          <w:u w:val="single"/>
          <w:rtl/>
        </w:rPr>
        <w:t>להלן נפרט את עמדתנו</w:t>
      </w:r>
      <w:r>
        <w:rPr>
          <w:rFonts w:hint="cs"/>
          <w:rtl/>
        </w:rPr>
        <w:t>:</w:t>
      </w:r>
    </w:p>
    <w:p w:rsidR="00D86AD2" w:rsidRPr="00D86AD2" w:rsidRDefault="00BB6542" w:rsidP="00FF1E0E">
      <w:pPr>
        <w:pStyle w:val="a7"/>
        <w:numPr>
          <w:ilvl w:val="0"/>
          <w:numId w:val="16"/>
        </w:numPr>
        <w:spacing w:before="240" w:after="0"/>
        <w:jc w:val="both"/>
        <w:rPr>
          <w:b/>
          <w:bCs/>
        </w:rPr>
      </w:pPr>
      <w:r>
        <w:rPr>
          <w:rtl/>
        </w:rPr>
        <w:t>מטרתן של ריבי</w:t>
      </w:r>
      <w:r w:rsidRPr="00AE6659">
        <w:rPr>
          <w:rtl/>
        </w:rPr>
        <w:t>ת</w:t>
      </w:r>
      <w:r>
        <w:rPr>
          <w:rFonts w:hint="cs"/>
          <w:rtl/>
        </w:rPr>
        <w:t xml:space="preserve"> הפיגורים</w:t>
      </w:r>
      <w:r w:rsidRPr="00AE6659">
        <w:rPr>
          <w:rtl/>
        </w:rPr>
        <w:t xml:space="preserve"> היא לתמרץ את החייב לשלם את החוב במועד, ולהעניש אותו במקרה שאיחר בתשלום.</w:t>
      </w:r>
      <w:r w:rsidRPr="00AE6659">
        <w:rPr>
          <w:vertAlign w:val="superscript"/>
          <w:rtl/>
        </w:rPr>
        <w:footnoteReference w:id="1"/>
      </w:r>
      <w:r>
        <w:rPr>
          <w:rFonts w:hint="cs"/>
          <w:rtl/>
        </w:rPr>
        <w:t xml:space="preserve"> אולם ככל שמדובר בחייבים שידם אינה משגת</w:t>
      </w:r>
      <w:r w:rsidR="00F9243E">
        <w:rPr>
          <w:rFonts w:hint="cs"/>
          <w:rtl/>
        </w:rPr>
        <w:t xml:space="preserve"> ואינם מתחמקים מתשלום</w:t>
      </w:r>
      <w:r>
        <w:rPr>
          <w:rFonts w:hint="cs"/>
          <w:rtl/>
        </w:rPr>
        <w:t xml:space="preserve">, </w:t>
      </w:r>
      <w:r w:rsidRPr="00D86AD2">
        <w:rPr>
          <w:b/>
          <w:bCs/>
          <w:rtl/>
        </w:rPr>
        <w:t>התכלית לתמרץ את החייב לשלם לא מתקיימת</w:t>
      </w:r>
      <w:r w:rsidR="00F9243E">
        <w:rPr>
          <w:rFonts w:hint="cs"/>
          <w:rtl/>
        </w:rPr>
        <w:t>.</w:t>
      </w:r>
      <w:r>
        <w:rPr>
          <w:rtl/>
        </w:rPr>
        <w:t xml:space="preserve"> </w:t>
      </w:r>
    </w:p>
    <w:p w:rsidR="00BB6542" w:rsidRPr="00D86AD2" w:rsidRDefault="00BB6542" w:rsidP="00FF1E0E">
      <w:pPr>
        <w:pStyle w:val="a7"/>
        <w:numPr>
          <w:ilvl w:val="0"/>
          <w:numId w:val="16"/>
        </w:numPr>
        <w:spacing w:before="240" w:after="0"/>
        <w:jc w:val="both"/>
        <w:rPr>
          <w:b/>
          <w:bCs/>
        </w:rPr>
      </w:pPr>
      <w:r>
        <w:rPr>
          <w:rtl/>
        </w:rPr>
        <w:t>למעשה, התכלית היחידה שמקדמ</w:t>
      </w:r>
      <w:r w:rsidRPr="00AE6659">
        <w:rPr>
          <w:rtl/>
        </w:rPr>
        <w:t xml:space="preserve">ת ריבית הפיגורים בנסיבות אלה היא </w:t>
      </w:r>
      <w:r w:rsidRPr="00D86AD2">
        <w:rPr>
          <w:rFonts w:hint="cs"/>
          <w:b/>
          <w:bCs/>
          <w:rtl/>
        </w:rPr>
        <w:t xml:space="preserve">תכלית </w:t>
      </w:r>
      <w:proofErr w:type="spellStart"/>
      <w:r w:rsidRPr="00D86AD2">
        <w:rPr>
          <w:b/>
          <w:bCs/>
          <w:rtl/>
        </w:rPr>
        <w:t>עונשית</w:t>
      </w:r>
      <w:proofErr w:type="spellEnd"/>
      <w:r w:rsidRPr="00010E8C">
        <w:rPr>
          <w:rtl/>
        </w:rPr>
        <w:t>,</w:t>
      </w:r>
      <w:r w:rsidRPr="00AE6659">
        <w:rPr>
          <w:rtl/>
        </w:rPr>
        <w:t xml:space="preserve"> כאשר הסיבה להטלת העונש היא חוסר יכולתו הכלכלית של החייב לשלם. </w:t>
      </w:r>
      <w:r w:rsidR="00010E8C">
        <w:rPr>
          <w:rFonts w:hint="cs"/>
          <w:rtl/>
        </w:rPr>
        <w:t>המצב האבסורדי שנוצר הוא שעל אנשים אלה מוטל מעין "מס על העוני". כלומר, בשל חוסר היכולת לעמוד ב</w:t>
      </w:r>
      <w:r w:rsidR="000440AE">
        <w:rPr>
          <w:rFonts w:hint="cs"/>
          <w:rtl/>
        </w:rPr>
        <w:t xml:space="preserve">תשלום </w:t>
      </w:r>
      <w:r w:rsidR="00010E8C">
        <w:rPr>
          <w:rFonts w:hint="cs"/>
          <w:rtl/>
        </w:rPr>
        <w:t xml:space="preserve">מוטלת ריבית הפיגורים, המחיר מתנפח ומוצרים חיוניים כגון מים, חשמל, ביטוח לאומי, שירותי חירום רפואיים ואף מסי עירייה </w:t>
      </w:r>
      <w:r w:rsidR="000440AE">
        <w:rPr>
          <w:rFonts w:hint="cs"/>
          <w:rtl/>
        </w:rPr>
        <w:t>הופכים ל</w:t>
      </w:r>
      <w:r w:rsidR="00010E8C">
        <w:rPr>
          <w:rFonts w:hint="cs"/>
          <w:rtl/>
        </w:rPr>
        <w:t>יקרים יותר עבור אנשים הנמצאים בעוני מאשר עבור אוכלוסיות מבוססות.</w:t>
      </w:r>
    </w:p>
    <w:p w:rsidR="00BB6542" w:rsidRPr="00D86AD2" w:rsidRDefault="00E77966" w:rsidP="00FF1E0E">
      <w:pPr>
        <w:pStyle w:val="a7"/>
        <w:numPr>
          <w:ilvl w:val="0"/>
          <w:numId w:val="16"/>
        </w:numPr>
        <w:spacing w:before="240" w:after="0"/>
        <w:jc w:val="both"/>
        <w:rPr>
          <w:b/>
          <w:bCs/>
        </w:rPr>
      </w:pPr>
      <w:r>
        <w:rPr>
          <w:rFonts w:hint="cs"/>
          <w:rtl/>
        </w:rPr>
        <w:t xml:space="preserve">על רקע דברים אלה, </w:t>
      </w:r>
      <w:r w:rsidRPr="00D86AD2">
        <w:rPr>
          <w:rFonts w:hint="cs"/>
          <w:b/>
          <w:bCs/>
          <w:rtl/>
        </w:rPr>
        <w:t>עמדתנו היא ש</w:t>
      </w:r>
      <w:r w:rsidR="003E489D" w:rsidRPr="00D86AD2">
        <w:rPr>
          <w:rFonts w:hint="cs"/>
          <w:b/>
          <w:bCs/>
          <w:rtl/>
        </w:rPr>
        <w:t>צעד ראשון שיש לעשות הוא</w:t>
      </w:r>
      <w:r w:rsidRPr="00D86AD2">
        <w:rPr>
          <w:rFonts w:hint="cs"/>
          <w:b/>
          <w:bCs/>
          <w:rtl/>
        </w:rPr>
        <w:t xml:space="preserve"> לבטל את ריבית הפיגורים לחייבים הנמצאים בעוני</w:t>
      </w:r>
      <w:r w:rsidR="003E489D" w:rsidRPr="00D86AD2">
        <w:rPr>
          <w:rFonts w:hint="cs"/>
          <w:b/>
          <w:bCs/>
          <w:rtl/>
        </w:rPr>
        <w:t xml:space="preserve"> </w:t>
      </w:r>
      <w:r w:rsidRPr="00D86AD2">
        <w:rPr>
          <w:rFonts w:hint="cs"/>
          <w:b/>
          <w:bCs/>
          <w:rtl/>
        </w:rPr>
        <w:t>ולקדם הסדרים הוגנים שיסייעו להם לפרוע את החוב תוך שמירה על זכותם לקיום בכבוד</w:t>
      </w:r>
      <w:r w:rsidR="00D86AD2">
        <w:rPr>
          <w:rFonts w:hint="cs"/>
          <w:rtl/>
        </w:rPr>
        <w:t>, כגון חיוב גופים מסוימים בנקיטת צעדים למען הגעה להסדר תשלומים סביר ומתן הלוואות ללא ריבית מטעם המדינה לחייבים הנמצאים בעוני.</w:t>
      </w:r>
    </w:p>
    <w:p w:rsidR="00BB6542" w:rsidRDefault="00BB6542" w:rsidP="00FF1E0E">
      <w:pPr>
        <w:pStyle w:val="a7"/>
        <w:numPr>
          <w:ilvl w:val="0"/>
          <w:numId w:val="16"/>
        </w:numPr>
        <w:spacing w:before="240" w:after="0"/>
        <w:jc w:val="both"/>
      </w:pPr>
      <w:r w:rsidRPr="00F16A3F">
        <w:rPr>
          <w:rtl/>
        </w:rPr>
        <w:t xml:space="preserve">מעבר להקלה הברורה </w:t>
      </w:r>
      <w:r>
        <w:rPr>
          <w:rFonts w:hint="cs"/>
          <w:rtl/>
        </w:rPr>
        <w:t>שביטול</w:t>
      </w:r>
      <w:r w:rsidRPr="00F16A3F">
        <w:rPr>
          <w:rtl/>
        </w:rPr>
        <w:t xml:space="preserve"> </w:t>
      </w:r>
      <w:r>
        <w:rPr>
          <w:rFonts w:hint="cs"/>
          <w:rtl/>
        </w:rPr>
        <w:t>ריבית הפיגורים</w:t>
      </w:r>
      <w:r w:rsidRPr="00F16A3F">
        <w:rPr>
          <w:rtl/>
        </w:rPr>
        <w:t xml:space="preserve"> תספק לחייבים </w:t>
      </w:r>
      <w:r w:rsidR="00D86AD2">
        <w:rPr>
          <w:rFonts w:hint="cs"/>
          <w:rtl/>
        </w:rPr>
        <w:t>הנמצאים בעוני</w:t>
      </w:r>
      <w:r w:rsidRPr="00F16A3F">
        <w:rPr>
          <w:rtl/>
        </w:rPr>
        <w:t xml:space="preserve">, צעד כזה עשוי לתמרץ את </w:t>
      </w:r>
      <w:r w:rsidR="00E77966">
        <w:rPr>
          <w:rFonts w:hint="cs"/>
          <w:rtl/>
        </w:rPr>
        <w:t>הנושים</w:t>
      </w:r>
      <w:r w:rsidRPr="00F16A3F">
        <w:rPr>
          <w:rtl/>
        </w:rPr>
        <w:t xml:space="preserve"> להגיע בהקדם להסדר נוח יותר, שייטיב עם כל הצדדים. כיום, </w:t>
      </w:r>
      <w:r w:rsidR="00E77966">
        <w:rPr>
          <w:rFonts w:hint="cs"/>
          <w:rtl/>
        </w:rPr>
        <w:t xml:space="preserve">לנושים </w:t>
      </w:r>
      <w:r w:rsidRPr="00F16A3F">
        <w:rPr>
          <w:rtl/>
        </w:rPr>
        <w:t xml:space="preserve">אין תמריץ להגיע </w:t>
      </w:r>
      <w:r w:rsidRPr="00F16A3F">
        <w:rPr>
          <w:rtl/>
        </w:rPr>
        <w:lastRenderedPageBreak/>
        <w:t>להסדר מהיר</w:t>
      </w:r>
      <w:r>
        <w:rPr>
          <w:rtl/>
        </w:rPr>
        <w:t xml:space="preserve"> </w:t>
      </w:r>
      <w:r>
        <w:rPr>
          <w:rFonts w:hint="cs"/>
          <w:rtl/>
        </w:rPr>
        <w:t>והוגן</w:t>
      </w:r>
      <w:r>
        <w:rPr>
          <w:rtl/>
        </w:rPr>
        <w:t xml:space="preserve"> עם החייבים מכיוון שאין לה</w:t>
      </w:r>
      <w:r>
        <w:rPr>
          <w:rFonts w:hint="cs"/>
          <w:rtl/>
        </w:rPr>
        <w:t>ם</w:t>
      </w:r>
      <w:r w:rsidRPr="00F16A3F">
        <w:rPr>
          <w:rtl/>
        </w:rPr>
        <w:t xml:space="preserve"> </w:t>
      </w:r>
      <w:r w:rsidR="00E77966">
        <w:rPr>
          <w:rFonts w:hint="cs"/>
          <w:rtl/>
        </w:rPr>
        <w:t>בעיית</w:t>
      </w:r>
      <w:r w:rsidRPr="00F16A3F">
        <w:rPr>
          <w:rtl/>
        </w:rPr>
        <w:t xml:space="preserve"> נזילות </w:t>
      </w:r>
      <w:proofErr w:type="spellStart"/>
      <w:r w:rsidRPr="00F16A3F">
        <w:rPr>
          <w:rtl/>
        </w:rPr>
        <w:t>מיידית</w:t>
      </w:r>
      <w:proofErr w:type="spellEnd"/>
      <w:r w:rsidRPr="00F16A3F">
        <w:rPr>
          <w:rtl/>
        </w:rPr>
        <w:t xml:space="preserve">, </w:t>
      </w:r>
      <w:r>
        <w:rPr>
          <w:rFonts w:hint="cs"/>
          <w:rtl/>
        </w:rPr>
        <w:t xml:space="preserve">והם </w:t>
      </w:r>
      <w:r w:rsidR="00E77966">
        <w:rPr>
          <w:rFonts w:hint="cs"/>
          <w:rtl/>
        </w:rPr>
        <w:t>סבורים</w:t>
      </w:r>
      <w:r>
        <w:rPr>
          <w:rtl/>
        </w:rPr>
        <w:t xml:space="preserve"> שהכסף יגיע אליה</w:t>
      </w:r>
      <w:r>
        <w:rPr>
          <w:rFonts w:hint="cs"/>
          <w:rtl/>
        </w:rPr>
        <w:t>ם</w:t>
      </w:r>
      <w:r w:rsidRPr="00F16A3F">
        <w:rPr>
          <w:rtl/>
        </w:rPr>
        <w:t xml:space="preserve"> בתוספת ריביות, גם אם זה ייקח שנים רבות. </w:t>
      </w:r>
      <w:r w:rsidR="00E77966">
        <w:rPr>
          <w:rFonts w:hint="cs"/>
          <w:rtl/>
        </w:rPr>
        <w:t>אולם סברה זו בעייתי</w:t>
      </w:r>
      <w:r w:rsidR="003E489D">
        <w:rPr>
          <w:rFonts w:hint="cs"/>
          <w:rtl/>
        </w:rPr>
        <w:t>ת</w:t>
      </w:r>
      <w:r w:rsidR="00E77966">
        <w:rPr>
          <w:rFonts w:hint="cs"/>
          <w:rtl/>
        </w:rPr>
        <w:t xml:space="preserve"> כאשר מדובר </w:t>
      </w:r>
      <w:r w:rsidR="003E489D">
        <w:rPr>
          <w:rFonts w:hint="cs"/>
          <w:rtl/>
        </w:rPr>
        <w:t>על חייבים הנמצאים</w:t>
      </w:r>
      <w:r w:rsidR="00E77966">
        <w:rPr>
          <w:rFonts w:hint="cs"/>
          <w:rtl/>
        </w:rPr>
        <w:t xml:space="preserve"> בעוני, שכן התנפחות החוב </w:t>
      </w:r>
      <w:r w:rsidR="003E489D">
        <w:rPr>
          <w:rFonts w:hint="cs"/>
          <w:rtl/>
        </w:rPr>
        <w:t xml:space="preserve">רק מקשה ומייאשת יותר ומרחיקה את האפשרות שהחוב ייפרע. </w:t>
      </w:r>
    </w:p>
    <w:p w:rsidR="00BB6542" w:rsidRDefault="00BB6542" w:rsidP="00FF1E0E">
      <w:pPr>
        <w:pStyle w:val="a7"/>
        <w:numPr>
          <w:ilvl w:val="0"/>
          <w:numId w:val="16"/>
        </w:numPr>
        <w:spacing w:before="240" w:after="0"/>
        <w:jc w:val="both"/>
      </w:pPr>
      <w:r>
        <w:rPr>
          <w:rFonts w:hint="cs"/>
          <w:rtl/>
        </w:rPr>
        <w:t xml:space="preserve">יתרה מכך, נזכיר כי חובות </w:t>
      </w:r>
      <w:r w:rsidR="003E489D">
        <w:rPr>
          <w:rFonts w:hint="cs"/>
          <w:rtl/>
        </w:rPr>
        <w:t>רבים</w:t>
      </w:r>
      <w:r>
        <w:rPr>
          <w:rFonts w:hint="cs"/>
          <w:rtl/>
        </w:rPr>
        <w:t xml:space="preserve"> נגבים</w:t>
      </w:r>
      <w:r w:rsidR="003E489D">
        <w:rPr>
          <w:rFonts w:hint="cs"/>
          <w:rtl/>
        </w:rPr>
        <w:t xml:space="preserve"> כיום</w:t>
      </w:r>
      <w:r>
        <w:rPr>
          <w:rFonts w:hint="cs"/>
          <w:rtl/>
        </w:rPr>
        <w:t xml:space="preserve"> באמצעות פקודת המסים (גביה), פקודה שמעניקה </w:t>
      </w:r>
      <w:r w:rsidRPr="00D77B19">
        <w:rPr>
          <w:color w:val="000000"/>
          <w:rtl/>
        </w:rPr>
        <w:t>סמכויות</w:t>
      </w:r>
      <w:r w:rsidRPr="00D77B19">
        <w:rPr>
          <w:rFonts w:hint="cs"/>
          <w:color w:val="000000"/>
          <w:rtl/>
        </w:rPr>
        <w:t xml:space="preserve"> גבייה</w:t>
      </w:r>
      <w:r w:rsidRPr="00D77B19">
        <w:rPr>
          <w:color w:val="000000"/>
          <w:rtl/>
        </w:rPr>
        <w:t xml:space="preserve"> מרחיקות לכת שפגיעתן בפרט קשה, וקיים ספק באשר לעמידתו </w:t>
      </w:r>
      <w:r w:rsidRPr="00D77B19">
        <w:rPr>
          <w:rFonts w:hint="cs"/>
          <w:color w:val="000000"/>
          <w:rtl/>
        </w:rPr>
        <w:t xml:space="preserve">של ההליך </w:t>
      </w:r>
      <w:r w:rsidRPr="00D77B19">
        <w:rPr>
          <w:color w:val="000000"/>
          <w:rtl/>
        </w:rPr>
        <w:t>בעקרונות המשפט המנהלי-חוקתי</w:t>
      </w:r>
      <w:r w:rsidRPr="00F16A3F">
        <w:rPr>
          <w:color w:val="000000"/>
          <w:rtl/>
        </w:rPr>
        <w:t>.</w:t>
      </w:r>
      <w:r w:rsidRPr="00B312AF">
        <w:rPr>
          <w:vertAlign w:val="superscript"/>
          <w:rtl/>
        </w:rPr>
        <w:footnoteReference w:id="2"/>
      </w:r>
      <w:r w:rsidRPr="00F16A3F">
        <w:rPr>
          <w:color w:val="000000"/>
          <w:vertAlign w:val="superscript"/>
          <w:rtl/>
        </w:rPr>
        <w:t xml:space="preserve"> </w:t>
      </w:r>
      <w:r w:rsidR="003E489D">
        <w:rPr>
          <w:rFonts w:hint="cs"/>
          <w:rtl/>
        </w:rPr>
        <w:t xml:space="preserve">רשויות </w:t>
      </w:r>
      <w:proofErr w:type="spellStart"/>
      <w:r w:rsidR="003E489D">
        <w:rPr>
          <w:rFonts w:hint="cs"/>
          <w:rtl/>
        </w:rPr>
        <w:t>מינהליות</w:t>
      </w:r>
      <w:proofErr w:type="spellEnd"/>
      <w:r w:rsidR="00D86AD2">
        <w:rPr>
          <w:rFonts w:hint="cs"/>
          <w:rtl/>
        </w:rPr>
        <w:t xml:space="preserve"> רבות, כולל</w:t>
      </w:r>
      <w:r w:rsidR="00144A4A">
        <w:rPr>
          <w:rFonts w:hint="cs"/>
          <w:rtl/>
        </w:rPr>
        <w:t xml:space="preserve"> רשויות מקומיות,</w:t>
      </w:r>
      <w:r w:rsidR="00D86AD2">
        <w:rPr>
          <w:rFonts w:hint="cs"/>
          <w:rtl/>
        </w:rPr>
        <w:t xml:space="preserve"> מד"א ותאגידי המים,</w:t>
      </w:r>
      <w:r w:rsidR="003E489D">
        <w:rPr>
          <w:rFonts w:hint="cs"/>
          <w:rtl/>
        </w:rPr>
        <w:t xml:space="preserve"> </w:t>
      </w:r>
      <w:r>
        <w:rPr>
          <w:rFonts w:hint="cs"/>
          <w:rtl/>
        </w:rPr>
        <w:t xml:space="preserve">הפריטו את מערך הגביה שלהם </w:t>
      </w:r>
      <w:r>
        <w:rPr>
          <w:rFonts w:hint="eastAsia"/>
          <w:rtl/>
        </w:rPr>
        <w:t>לחברות</w:t>
      </w:r>
      <w:r>
        <w:rPr>
          <w:rtl/>
        </w:rPr>
        <w:t xml:space="preserve"> </w:t>
      </w:r>
      <w:r>
        <w:rPr>
          <w:rFonts w:hint="cs"/>
          <w:rtl/>
        </w:rPr>
        <w:t xml:space="preserve">גביה </w:t>
      </w:r>
      <w:r>
        <w:rPr>
          <w:rFonts w:hint="eastAsia"/>
          <w:rtl/>
        </w:rPr>
        <w:t>פרטיות</w:t>
      </w:r>
      <w:r>
        <w:rPr>
          <w:rtl/>
        </w:rPr>
        <w:t xml:space="preserve"> </w:t>
      </w:r>
      <w:r>
        <w:rPr>
          <w:rFonts w:hint="cs"/>
          <w:rtl/>
        </w:rPr>
        <w:t>או משרדי עורכי דין בעלי</w:t>
      </w:r>
      <w:r>
        <w:rPr>
          <w:rtl/>
        </w:rPr>
        <w:t xml:space="preserve"> </w:t>
      </w:r>
      <w:r>
        <w:rPr>
          <w:rFonts w:hint="eastAsia"/>
          <w:rtl/>
        </w:rPr>
        <w:t>אינטרסים</w:t>
      </w:r>
      <w:r>
        <w:rPr>
          <w:rtl/>
        </w:rPr>
        <w:t xml:space="preserve"> </w:t>
      </w:r>
      <w:r>
        <w:rPr>
          <w:rFonts w:hint="eastAsia"/>
          <w:rtl/>
        </w:rPr>
        <w:t>כלכליים</w:t>
      </w:r>
      <w:r>
        <w:rPr>
          <w:rtl/>
        </w:rPr>
        <w:t xml:space="preserve"> </w:t>
      </w:r>
      <w:r>
        <w:rPr>
          <w:rFonts w:hint="cs"/>
          <w:rtl/>
        </w:rPr>
        <w:t xml:space="preserve">שמרוויחים עמלה מסך הגביה. לחברות אלה יש אינטרס "למשוך" את החוב כמה שיותר, כך שיתפח ויביא לעלייה ברווח שלהם. </w:t>
      </w:r>
    </w:p>
    <w:p w:rsidR="003E489D" w:rsidRDefault="003E489D" w:rsidP="00FF1E0E">
      <w:pPr>
        <w:pStyle w:val="a7"/>
        <w:numPr>
          <w:ilvl w:val="0"/>
          <w:numId w:val="16"/>
        </w:numPr>
        <w:spacing w:before="240" w:after="0"/>
        <w:jc w:val="both"/>
      </w:pPr>
      <w:r>
        <w:rPr>
          <w:rFonts w:hint="cs"/>
          <w:rtl/>
        </w:rPr>
        <w:t xml:space="preserve">צעד נוסף שיש לבצע הוא </w:t>
      </w:r>
      <w:r w:rsidRPr="00D86AD2">
        <w:rPr>
          <w:rFonts w:hint="cs"/>
          <w:b/>
          <w:bCs/>
          <w:rtl/>
        </w:rPr>
        <w:t xml:space="preserve">לקיים פיקוח </w:t>
      </w:r>
      <w:r w:rsidR="000440AE" w:rsidRPr="00D86AD2">
        <w:rPr>
          <w:rFonts w:hint="cs"/>
          <w:b/>
          <w:bCs/>
          <w:rtl/>
        </w:rPr>
        <w:t xml:space="preserve">ורגולציה </w:t>
      </w:r>
      <w:r w:rsidRPr="00D86AD2">
        <w:rPr>
          <w:rFonts w:hint="cs"/>
          <w:b/>
          <w:bCs/>
          <w:rtl/>
        </w:rPr>
        <w:t>הדוק</w:t>
      </w:r>
      <w:r w:rsidR="00D86AD2">
        <w:rPr>
          <w:rFonts w:hint="cs"/>
          <w:b/>
          <w:bCs/>
          <w:rtl/>
        </w:rPr>
        <w:t>ים</w:t>
      </w:r>
      <w:r w:rsidRPr="00D86AD2">
        <w:rPr>
          <w:rFonts w:hint="cs"/>
          <w:b/>
          <w:bCs/>
          <w:rtl/>
        </w:rPr>
        <w:t xml:space="preserve"> יותר על ריביות הפיגורים שגובים הבנקים וגופים חזקים אחרים בהוצאה לפועל</w:t>
      </w:r>
      <w:r>
        <w:rPr>
          <w:rFonts w:hint="cs"/>
          <w:rtl/>
        </w:rPr>
        <w:t>. רק לא מזמן פורסם בדו"ח מבקר המדינה</w:t>
      </w:r>
      <w:r w:rsidR="000440AE">
        <w:rPr>
          <w:rFonts w:hint="cs"/>
          <w:rtl/>
        </w:rPr>
        <w:t xml:space="preserve"> שהיקף הכולל של חובות בכלל תיקי ההוצאה לפועל עומד על סך של 650 מיליארד ₪, כאשר מתוך זה סכום הקרן הוא רק 63 מיליארד ש"ח (11%) והיתרה -</w:t>
      </w:r>
      <w:r w:rsidR="00D86AD2">
        <w:rPr>
          <w:rFonts w:hint="cs"/>
          <w:rtl/>
        </w:rPr>
        <w:t xml:space="preserve"> </w:t>
      </w:r>
      <w:r w:rsidR="000440AE">
        <w:rPr>
          <w:rFonts w:hint="cs"/>
          <w:rtl/>
        </w:rPr>
        <w:t>580 מיליארד ש"ח (89%) הם ריביות, הפרשי הצמדה, הוצאות גביה ואגרות.</w:t>
      </w:r>
      <w:r>
        <w:rPr>
          <w:rStyle w:val="aa"/>
          <w:rtl/>
        </w:rPr>
        <w:footnoteReference w:id="3"/>
      </w:r>
      <w:r w:rsidR="000440AE">
        <w:rPr>
          <w:rFonts w:hint="cs"/>
          <w:rtl/>
        </w:rPr>
        <w:t xml:space="preserve"> ברור לכל שחובות יש לשלם, אולם </w:t>
      </w:r>
      <w:r w:rsidR="00D86AD2">
        <w:rPr>
          <w:rFonts w:hint="cs"/>
          <w:rtl/>
        </w:rPr>
        <w:t>במציאות בה</w:t>
      </w:r>
      <w:r w:rsidR="000440AE">
        <w:rPr>
          <w:rFonts w:hint="cs"/>
          <w:rtl/>
        </w:rPr>
        <w:t xml:space="preserve"> קרן החוב מהווה רק 11% מסך דרישת התשלום </w:t>
      </w:r>
      <w:r w:rsidR="00D86AD2">
        <w:rPr>
          <w:rFonts w:hint="cs"/>
          <w:rtl/>
        </w:rPr>
        <w:t>אין ספק</w:t>
      </w:r>
      <w:r w:rsidR="000440AE">
        <w:rPr>
          <w:rFonts w:hint="cs"/>
          <w:rtl/>
        </w:rPr>
        <w:t xml:space="preserve"> שישנה בעיה חמורה בפיקוח והרגולציה שקיימים על נושים מוסדיים חזקים, כגון הבנקים, חברות האשראי וכיו"ב</w:t>
      </w:r>
      <w:r w:rsidR="00144A4A">
        <w:rPr>
          <w:rFonts w:hint="cs"/>
          <w:rtl/>
        </w:rPr>
        <w:t xml:space="preserve"> המייצרת פגיעה קשה בעיקר החייבים המוחלשים ביותר</w:t>
      </w:r>
      <w:r w:rsidR="000440AE">
        <w:rPr>
          <w:rFonts w:hint="cs"/>
          <w:rtl/>
        </w:rPr>
        <w:t xml:space="preserve">. </w:t>
      </w:r>
    </w:p>
    <w:p w:rsidR="00372DF7" w:rsidRDefault="00372DF7" w:rsidP="00E85802">
      <w:pPr>
        <w:jc w:val="both"/>
        <w:rPr>
          <w:b/>
          <w:bCs/>
          <w:rtl/>
        </w:rPr>
      </w:pPr>
    </w:p>
    <w:p w:rsidR="00656A63" w:rsidRDefault="00656A63" w:rsidP="00656A63">
      <w:pPr>
        <w:jc w:val="both"/>
      </w:pPr>
      <w:r>
        <w:rPr>
          <w:rFonts w:hint="cs"/>
          <w:rtl/>
        </w:rPr>
        <w:t xml:space="preserve">אשר על כן, </w:t>
      </w:r>
      <w:r>
        <w:rPr>
          <w:rFonts w:hint="cs"/>
          <w:b/>
          <w:bCs/>
          <w:rtl/>
        </w:rPr>
        <w:t>אנו קוראים לחברי הועדה לפעול למען ביטול הטלת ריבית פיגורים על חייבים הנמצאים בעוני וקידום פיקוח ורגולציה הדוקים על הריביות הנגבות בהוצאה לפועל.</w:t>
      </w:r>
    </w:p>
    <w:p w:rsidR="00656A63" w:rsidRPr="007D1D43" w:rsidRDefault="00656A63" w:rsidP="00656A63">
      <w:pPr>
        <w:jc w:val="both"/>
        <w:rPr>
          <w:b/>
          <w:bCs/>
          <w:rtl/>
        </w:rPr>
      </w:pPr>
    </w:p>
    <w:p w:rsidR="00E07960" w:rsidRDefault="00E07960" w:rsidP="00E07960">
      <w:pPr>
        <w:jc w:val="both"/>
        <w:rPr>
          <w:rStyle w:val="ad"/>
          <w:rFonts w:ascii="Arial" w:hAnsi="Arial"/>
          <w:color w:val="000000"/>
          <w:rtl/>
        </w:rPr>
      </w:pPr>
    </w:p>
    <w:p w:rsidR="00E85802" w:rsidRDefault="00E85802" w:rsidP="00D86AD2">
      <w:pPr>
        <w:pStyle w:val="1"/>
        <w:numPr>
          <w:ilvl w:val="0"/>
          <w:numId w:val="0"/>
        </w:numPr>
        <w:ind w:left="3600" w:firstLine="720"/>
        <w:rPr>
          <w:rtl/>
        </w:rPr>
      </w:pPr>
      <w:r>
        <w:rPr>
          <w:rFonts w:hint="cs"/>
          <w:rtl/>
        </w:rPr>
        <w:t>בכבוד רב ובברכה,</w:t>
      </w:r>
    </w:p>
    <w:p w:rsidR="00E85802" w:rsidRDefault="00E85802" w:rsidP="00E85802">
      <w:pPr>
        <w:pStyle w:val="1"/>
        <w:numPr>
          <w:ilvl w:val="0"/>
          <w:numId w:val="0"/>
        </w:numPr>
        <w:ind w:left="6912" w:hanging="432"/>
        <w:jc w:val="center"/>
        <w:rPr>
          <w:rtl/>
        </w:rPr>
      </w:pPr>
    </w:p>
    <w:p w:rsidR="00E85802" w:rsidRDefault="00E85802" w:rsidP="00FF1E0E">
      <w:pPr>
        <w:pStyle w:val="1"/>
        <w:numPr>
          <w:ilvl w:val="0"/>
          <w:numId w:val="0"/>
        </w:numPr>
        <w:ind w:left="1440" w:firstLine="720"/>
        <w:rPr>
          <w:rtl/>
        </w:rPr>
      </w:pPr>
      <w:r>
        <w:rPr>
          <w:rFonts w:hint="cs"/>
          <w:rtl/>
        </w:rPr>
        <w:t>רעות כהן, עו"ד</w:t>
      </w:r>
      <w:r w:rsidR="00FF1E0E">
        <w:rPr>
          <w:rtl/>
        </w:rPr>
        <w:tab/>
      </w:r>
      <w:r w:rsidR="00FF1E0E">
        <w:rPr>
          <w:rtl/>
        </w:rPr>
        <w:tab/>
      </w:r>
      <w:r w:rsidR="00FF1E0E">
        <w:rPr>
          <w:rtl/>
        </w:rPr>
        <w:tab/>
      </w:r>
      <w:r w:rsidR="00FF1E0E">
        <w:rPr>
          <w:rtl/>
        </w:rPr>
        <w:tab/>
      </w:r>
      <w:r w:rsidR="00FF1E0E">
        <w:rPr>
          <w:rFonts w:hint="cs"/>
          <w:rtl/>
        </w:rPr>
        <w:t>ד</w:t>
      </w:r>
      <w:r w:rsidR="00D86AD2">
        <w:rPr>
          <w:rFonts w:hint="cs"/>
          <w:rtl/>
        </w:rPr>
        <w:t xml:space="preserve">בי </w:t>
      </w:r>
      <w:proofErr w:type="spellStart"/>
      <w:r w:rsidR="00D86AD2">
        <w:rPr>
          <w:rFonts w:hint="cs"/>
          <w:rtl/>
        </w:rPr>
        <w:t>גילד</w:t>
      </w:r>
      <w:proofErr w:type="spellEnd"/>
      <w:r w:rsidR="00D86AD2">
        <w:rPr>
          <w:rFonts w:hint="cs"/>
          <w:rtl/>
        </w:rPr>
        <w:t>-חיו, עו"ד</w:t>
      </w:r>
      <w:r w:rsidR="00D86AD2">
        <w:rPr>
          <w:rFonts w:hint="cs"/>
          <w:rtl/>
        </w:rPr>
        <w:tab/>
      </w:r>
      <w:r w:rsidR="00D86AD2">
        <w:rPr>
          <w:rtl/>
        </w:rPr>
        <w:tab/>
      </w:r>
      <w:r w:rsidR="00D86AD2">
        <w:rPr>
          <w:rtl/>
        </w:rPr>
        <w:tab/>
      </w:r>
      <w:r w:rsidR="00D86AD2">
        <w:rPr>
          <w:rFonts w:hint="cs"/>
          <w:rtl/>
        </w:rPr>
        <w:t>היחידה לזכויות חברתיות</w:t>
      </w:r>
      <w:r w:rsidR="00D86AD2">
        <w:rPr>
          <w:rFonts w:hint="cs"/>
          <w:rtl/>
        </w:rPr>
        <w:tab/>
      </w:r>
      <w:r w:rsidR="00D86AD2">
        <w:rPr>
          <w:rtl/>
        </w:rPr>
        <w:tab/>
      </w:r>
      <w:r w:rsidR="00D86AD2">
        <w:rPr>
          <w:rFonts w:hint="cs"/>
          <w:rtl/>
        </w:rPr>
        <w:t>מקדמת מדיניות וחקיקה</w:t>
      </w:r>
    </w:p>
    <w:p w:rsidR="00D90310" w:rsidRDefault="00D90310" w:rsidP="00E07579">
      <w:pPr>
        <w:pStyle w:val="1"/>
        <w:numPr>
          <w:ilvl w:val="0"/>
          <w:numId w:val="0"/>
        </w:numPr>
        <w:spacing w:before="0" w:after="0"/>
        <w:ind w:left="237" w:hanging="283"/>
        <w:rPr>
          <w:b/>
          <w:bCs/>
          <w:u w:val="single"/>
          <w:rtl/>
        </w:rPr>
      </w:pPr>
    </w:p>
    <w:p w:rsidR="000B110D" w:rsidRDefault="000B110D" w:rsidP="00F96CA0">
      <w:pPr>
        <w:pStyle w:val="1"/>
        <w:numPr>
          <w:ilvl w:val="0"/>
          <w:numId w:val="0"/>
        </w:numPr>
        <w:spacing w:before="0" w:after="0"/>
        <w:ind w:left="237" w:hanging="283"/>
        <w:rPr>
          <w:b/>
          <w:bCs/>
          <w:u w:val="single"/>
          <w:rtl/>
        </w:rPr>
      </w:pPr>
    </w:p>
    <w:p w:rsidR="00D90310" w:rsidRPr="000440AE" w:rsidRDefault="007F0EEC" w:rsidP="00F96CA0">
      <w:pPr>
        <w:pStyle w:val="1"/>
        <w:numPr>
          <w:ilvl w:val="0"/>
          <w:numId w:val="0"/>
        </w:numPr>
        <w:spacing w:before="0" w:after="0"/>
        <w:ind w:left="237" w:hanging="283"/>
        <w:rPr>
          <w:rtl/>
        </w:rPr>
      </w:pPr>
      <w:r>
        <w:rPr>
          <w:rFonts w:hint="cs"/>
          <w:b/>
          <w:bCs/>
          <w:u w:val="single"/>
          <w:rtl/>
        </w:rPr>
        <w:t>העתק</w:t>
      </w:r>
      <w:r w:rsidR="000440AE">
        <w:rPr>
          <w:rFonts w:hint="cs"/>
          <w:rtl/>
        </w:rPr>
        <w:t>: חברי הועדה</w:t>
      </w:r>
    </w:p>
    <w:sectPr w:rsidR="00D90310" w:rsidRPr="000440AE" w:rsidSect="00C81442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1440" w:bottom="1134" w:left="1440" w:header="720" w:footer="720" w:gutter="0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11B6" w:rsidRDefault="00B211B6" w:rsidP="00F96CA0">
      <w:pPr>
        <w:spacing w:before="0" w:after="0" w:line="240" w:lineRule="auto"/>
      </w:pPr>
      <w:r>
        <w:separator/>
      </w:r>
    </w:p>
  </w:endnote>
  <w:endnote w:type="continuationSeparator" w:id="0">
    <w:p w:rsidR="00B211B6" w:rsidRDefault="00B211B6" w:rsidP="00F96CA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altName w:val="Malgun Gothic Semilight"/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055B" w:rsidRPr="00F96CA0" w:rsidRDefault="00AC055B" w:rsidP="00F96CA0">
    <w:pPr>
      <w:pStyle w:val="a5"/>
      <w:pBdr>
        <w:top w:val="single" w:sz="4" w:space="1" w:color="auto"/>
      </w:pBdr>
      <w:jc w:val="center"/>
      <w:rPr>
        <w:b/>
        <w:bCs/>
        <w:color w:val="404040"/>
        <w:sz w:val="21"/>
        <w:szCs w:val="21"/>
      </w:rPr>
    </w:pPr>
    <w:r w:rsidRPr="00B14590">
      <w:rPr>
        <w:rFonts w:hint="cs"/>
        <w:b/>
        <w:bCs/>
        <w:color w:val="404040"/>
        <w:sz w:val="21"/>
        <w:szCs w:val="21"/>
        <w:rtl/>
      </w:rPr>
      <w:t>האגודה לזכויות האזרח בישראל, רחוב נחלת בנימין 75, תל-אביב 65154</w:t>
    </w:r>
    <w:r>
      <w:rPr>
        <w:b/>
        <w:bCs/>
        <w:color w:val="404040"/>
        <w:sz w:val="21"/>
        <w:szCs w:val="21"/>
      </w:rPr>
      <w:t xml:space="preserve"> </w:t>
    </w:r>
  </w:p>
  <w:p w:rsidR="00AC055B" w:rsidRPr="003341D7" w:rsidRDefault="00AC055B" w:rsidP="00F96CA0">
    <w:pPr>
      <w:pStyle w:val="a5"/>
      <w:pBdr>
        <w:top w:val="single" w:sz="4" w:space="1" w:color="auto"/>
      </w:pBdr>
      <w:spacing w:before="0"/>
      <w:jc w:val="center"/>
      <w:rPr>
        <w:bCs/>
        <w:color w:val="000000"/>
        <w:sz w:val="23"/>
        <w:szCs w:val="23"/>
        <w:rtl/>
      </w:rPr>
    </w:pPr>
    <w:r w:rsidRPr="00F96CA0">
      <w:rPr>
        <w:rStyle w:val="Hyperlink"/>
        <w:i/>
        <w:iCs/>
        <w:sz w:val="20"/>
        <w:szCs w:val="21"/>
      </w:rPr>
      <w:t>Acri.org.</w:t>
    </w:r>
    <w:r>
      <w:rPr>
        <w:rStyle w:val="Hyperlink"/>
        <w:i/>
        <w:iCs/>
        <w:sz w:val="20"/>
        <w:szCs w:val="21"/>
      </w:rPr>
      <w:t>il</w:t>
    </w:r>
    <w:r w:rsidRPr="00F96CA0">
      <w:rPr>
        <w:rFonts w:hint="cs"/>
        <w:b/>
        <w:bCs/>
        <w:color w:val="404040"/>
        <w:sz w:val="21"/>
        <w:szCs w:val="21"/>
        <w:rtl/>
      </w:rPr>
      <w:t xml:space="preserve"> </w:t>
    </w:r>
    <w:r w:rsidRPr="00CA387E">
      <w:rPr>
        <w:rFonts w:hint="cs"/>
        <w:b/>
        <w:bCs/>
        <w:color w:val="404040"/>
        <w:sz w:val="21"/>
        <w:szCs w:val="21"/>
        <w:rtl/>
      </w:rPr>
      <w:t xml:space="preserve">טלפון: 03-5606165, פקס: 03-5608165 </w:t>
    </w:r>
    <w:r w:rsidRPr="00CA387E">
      <w:rPr>
        <w:rFonts w:hint="cs"/>
        <w:b/>
        <w:bCs/>
        <w:sz w:val="21"/>
        <w:szCs w:val="21"/>
        <w:rtl/>
      </w:rPr>
      <w:t xml:space="preserve"> </w:t>
    </w:r>
    <w:hyperlink r:id="rId1" w:history="1">
      <w:r w:rsidRPr="00B74D6A">
        <w:rPr>
          <w:rStyle w:val="Hyperlink"/>
          <w:i/>
          <w:iCs/>
        </w:rPr>
        <w:t xml:space="preserve"> </w:t>
      </w:r>
      <w:r w:rsidRPr="00B74D6A">
        <w:rPr>
          <w:rStyle w:val="Hyperlink"/>
          <w:bCs/>
          <w:i/>
          <w:iCs/>
          <w:sz w:val="20"/>
          <w:szCs w:val="21"/>
        </w:rPr>
        <w:t>reut@acri.org.il</w:t>
      </w:r>
    </w:hyperlink>
    <w:r w:rsidRPr="003341D7">
      <w:rPr>
        <w:bCs/>
        <w:color w:val="000000"/>
        <w:sz w:val="23"/>
        <w:szCs w:val="23"/>
        <w:rtl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055B" w:rsidRPr="00F96CA0" w:rsidRDefault="00AC055B" w:rsidP="00F96CA0">
    <w:pPr>
      <w:pStyle w:val="a5"/>
      <w:pBdr>
        <w:top w:val="single" w:sz="4" w:space="1" w:color="auto"/>
      </w:pBdr>
      <w:jc w:val="center"/>
      <w:rPr>
        <w:b/>
        <w:bCs/>
        <w:color w:val="404040"/>
        <w:sz w:val="21"/>
        <w:szCs w:val="21"/>
      </w:rPr>
    </w:pPr>
    <w:r w:rsidRPr="00B14590">
      <w:rPr>
        <w:rFonts w:hint="cs"/>
        <w:b/>
        <w:bCs/>
        <w:color w:val="404040"/>
        <w:sz w:val="21"/>
        <w:szCs w:val="21"/>
        <w:rtl/>
      </w:rPr>
      <w:t>האגודה לזכויות האזרח בישראל, רחוב נחלת בנימין 75, תל-אביב</w:t>
    </w:r>
    <w:r>
      <w:rPr>
        <w:b/>
        <w:bCs/>
        <w:color w:val="404040"/>
        <w:sz w:val="21"/>
        <w:szCs w:val="21"/>
      </w:rPr>
      <w:t xml:space="preserve"> </w:t>
    </w:r>
  </w:p>
  <w:p w:rsidR="00AC055B" w:rsidRPr="003341D7" w:rsidRDefault="00AC055B" w:rsidP="00F96CA0">
    <w:pPr>
      <w:pStyle w:val="a5"/>
      <w:pBdr>
        <w:top w:val="single" w:sz="4" w:space="1" w:color="auto"/>
      </w:pBdr>
      <w:spacing w:before="0"/>
      <w:jc w:val="center"/>
      <w:rPr>
        <w:bCs/>
        <w:color w:val="000000"/>
        <w:sz w:val="23"/>
        <w:szCs w:val="23"/>
        <w:rtl/>
      </w:rPr>
    </w:pPr>
    <w:r w:rsidRPr="00F96CA0">
      <w:rPr>
        <w:rStyle w:val="Hyperlink"/>
        <w:i/>
        <w:iCs/>
        <w:sz w:val="20"/>
        <w:szCs w:val="21"/>
      </w:rPr>
      <w:t>Acri.org.</w:t>
    </w:r>
    <w:r>
      <w:rPr>
        <w:rStyle w:val="Hyperlink"/>
        <w:i/>
        <w:iCs/>
        <w:sz w:val="20"/>
        <w:szCs w:val="21"/>
      </w:rPr>
      <w:t>il</w:t>
    </w:r>
    <w:r w:rsidRPr="00F96CA0">
      <w:rPr>
        <w:rFonts w:hint="cs"/>
        <w:b/>
        <w:bCs/>
        <w:color w:val="404040"/>
        <w:sz w:val="21"/>
        <w:szCs w:val="21"/>
        <w:rtl/>
      </w:rPr>
      <w:t xml:space="preserve"> </w:t>
    </w:r>
    <w:r w:rsidRPr="00CA387E">
      <w:rPr>
        <w:rFonts w:hint="cs"/>
        <w:b/>
        <w:bCs/>
        <w:color w:val="404040"/>
        <w:sz w:val="21"/>
        <w:szCs w:val="21"/>
        <w:rtl/>
      </w:rPr>
      <w:t xml:space="preserve">טלפון: 03-5606165, פקס: 03-5608165 </w:t>
    </w:r>
    <w:r w:rsidRPr="00CA387E">
      <w:rPr>
        <w:rFonts w:hint="cs"/>
        <w:b/>
        <w:bCs/>
        <w:sz w:val="21"/>
        <w:szCs w:val="21"/>
        <w:rtl/>
      </w:rPr>
      <w:t xml:space="preserve"> </w:t>
    </w:r>
    <w:hyperlink r:id="rId1" w:history="1">
      <w:r w:rsidRPr="00B74D6A">
        <w:rPr>
          <w:rStyle w:val="Hyperlink"/>
          <w:i/>
          <w:iCs/>
        </w:rPr>
        <w:t xml:space="preserve"> </w:t>
      </w:r>
      <w:r w:rsidRPr="00B74D6A">
        <w:rPr>
          <w:rStyle w:val="Hyperlink"/>
          <w:bCs/>
          <w:i/>
          <w:iCs/>
          <w:sz w:val="20"/>
          <w:szCs w:val="21"/>
        </w:rPr>
        <w:t>reut@acri.org.il</w:t>
      </w:r>
    </w:hyperlink>
    <w:r w:rsidRPr="003341D7">
      <w:rPr>
        <w:bCs/>
        <w:color w:val="000000"/>
        <w:sz w:val="23"/>
        <w:szCs w:val="23"/>
        <w:rtl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11B6" w:rsidRDefault="00B211B6" w:rsidP="00F96CA0">
      <w:pPr>
        <w:spacing w:before="0" w:after="0" w:line="240" w:lineRule="auto"/>
      </w:pPr>
      <w:r>
        <w:separator/>
      </w:r>
    </w:p>
  </w:footnote>
  <w:footnote w:type="continuationSeparator" w:id="0">
    <w:p w:rsidR="00B211B6" w:rsidRDefault="00B211B6" w:rsidP="00F96CA0">
      <w:pPr>
        <w:spacing w:before="0" w:after="0" w:line="240" w:lineRule="auto"/>
      </w:pPr>
      <w:r>
        <w:continuationSeparator/>
      </w:r>
    </w:p>
  </w:footnote>
  <w:footnote w:id="1">
    <w:p w:rsidR="00BB6542" w:rsidRDefault="00BB6542" w:rsidP="00BB6542">
      <w:pPr>
        <w:pStyle w:val="a8"/>
      </w:pPr>
      <w:r w:rsidRPr="00D50EC4">
        <w:rPr>
          <w:rStyle w:val="aa"/>
          <w:rFonts w:ascii="Arial" w:hAnsi="Arial" w:cs="Arial"/>
        </w:rPr>
        <w:footnoteRef/>
      </w:r>
      <w:r w:rsidRPr="00D50EC4">
        <w:rPr>
          <w:rFonts w:ascii="Arial" w:hAnsi="Arial"/>
          <w:rtl/>
        </w:rPr>
        <w:t xml:space="preserve"> ראו רע"א 369/10 ‏</w:t>
      </w:r>
      <w:r w:rsidRPr="00AE6659">
        <w:rPr>
          <w:rFonts w:ascii="Arial" w:hAnsi="Arial"/>
          <w:b/>
          <w:bCs/>
          <w:rtl/>
        </w:rPr>
        <w:t>אוחיון ואח' נ' חממי,</w:t>
      </w:r>
      <w:r w:rsidRPr="00D50EC4">
        <w:rPr>
          <w:rFonts w:ascii="Arial" w:hAnsi="Arial"/>
          <w:rtl/>
        </w:rPr>
        <w:t xml:space="preserve"> עמ' 6 (החלטה שניתנה ביום 30.5.2010)</w:t>
      </w:r>
      <w:r>
        <w:rPr>
          <w:rtl/>
        </w:rPr>
        <w:t>.</w:t>
      </w:r>
    </w:p>
  </w:footnote>
  <w:footnote w:id="2">
    <w:p w:rsidR="00BB6542" w:rsidRPr="00CE375A" w:rsidRDefault="00BB6542" w:rsidP="00BB6542">
      <w:pPr>
        <w:pStyle w:val="a8"/>
        <w:jc w:val="both"/>
        <w:rPr>
          <w:rFonts w:ascii="David" w:hAnsi="David"/>
        </w:rPr>
      </w:pPr>
      <w:r w:rsidRPr="00CE375A">
        <w:rPr>
          <w:rStyle w:val="aa"/>
          <w:rFonts w:ascii="David" w:hAnsi="David"/>
        </w:rPr>
        <w:footnoteRef/>
      </w:r>
      <w:r w:rsidRPr="00CE375A">
        <w:rPr>
          <w:rFonts w:ascii="David" w:hAnsi="David"/>
          <w:rtl/>
        </w:rPr>
        <w:t xml:space="preserve"> </w:t>
      </w:r>
      <w:r w:rsidRPr="00CE375A">
        <w:rPr>
          <w:rFonts w:ascii="David" w:hAnsi="David"/>
          <w:color w:val="222222"/>
          <w:shd w:val="clear" w:color="auto" w:fill="FFFFFF"/>
          <w:rtl/>
        </w:rPr>
        <w:t xml:space="preserve">ראו </w:t>
      </w:r>
      <w:proofErr w:type="spellStart"/>
      <w:r w:rsidRPr="00CE375A">
        <w:rPr>
          <w:rFonts w:ascii="David" w:hAnsi="David"/>
          <w:color w:val="222222"/>
          <w:shd w:val="clear" w:color="auto" w:fill="FFFFFF"/>
          <w:rtl/>
        </w:rPr>
        <w:t>עתמ</w:t>
      </w:r>
      <w:proofErr w:type="spellEnd"/>
      <w:r w:rsidRPr="00CE375A">
        <w:rPr>
          <w:rFonts w:ascii="David" w:hAnsi="David"/>
          <w:color w:val="222222"/>
          <w:shd w:val="clear" w:color="auto" w:fill="FFFFFF"/>
          <w:rtl/>
        </w:rPr>
        <w:t xml:space="preserve"> (חי') </w:t>
      </w:r>
      <w:hyperlink r:id="rId1" w:history="1">
        <w:r w:rsidRPr="00CE375A">
          <w:rPr>
            <w:rFonts w:ascii="David" w:hAnsi="David"/>
            <w:color w:val="0000FF"/>
            <w:u w:val="single"/>
            <w:shd w:val="clear" w:color="auto" w:fill="FFFFFF"/>
            <w:rtl/>
          </w:rPr>
          <w:t>3061/06</w:t>
        </w:r>
      </w:hyperlink>
      <w:r w:rsidRPr="00CE375A">
        <w:rPr>
          <w:rFonts w:ascii="David" w:hAnsi="David"/>
          <w:color w:val="222222"/>
          <w:shd w:val="clear" w:color="auto" w:fill="FFFFFF"/>
          <w:rtl/>
        </w:rPr>
        <w:t xml:space="preserve"> </w:t>
      </w:r>
      <w:r w:rsidRPr="00CE375A">
        <w:rPr>
          <w:rFonts w:ascii="David" w:hAnsi="David"/>
          <w:b/>
          <w:bCs/>
          <w:color w:val="222222"/>
          <w:shd w:val="clear" w:color="auto" w:fill="FFFFFF"/>
          <w:rtl/>
        </w:rPr>
        <w:t>רכבת ישראל בע"מ נ' עיריית חדרה</w:t>
      </w:r>
      <w:r w:rsidRPr="00CE375A">
        <w:rPr>
          <w:rFonts w:ascii="David" w:hAnsi="David"/>
          <w:color w:val="222222"/>
          <w:shd w:val="clear" w:color="auto" w:fill="FFFFFF"/>
          <w:rtl/>
        </w:rPr>
        <w:t xml:space="preserve"> (2007) [פורסם בנבו 19.09.07] (להלן: ענין </w:t>
      </w:r>
      <w:r w:rsidRPr="00CE375A">
        <w:rPr>
          <w:rFonts w:ascii="David" w:hAnsi="David"/>
          <w:b/>
          <w:bCs/>
          <w:color w:val="222222"/>
          <w:shd w:val="clear" w:color="auto" w:fill="FFFFFF"/>
          <w:rtl/>
        </w:rPr>
        <w:t>רכבת ישראל</w:t>
      </w:r>
      <w:r w:rsidRPr="00CE375A">
        <w:rPr>
          <w:rFonts w:ascii="David" w:hAnsi="David"/>
          <w:color w:val="222222"/>
          <w:shd w:val="clear" w:color="auto" w:fill="FFFFFF"/>
          <w:rtl/>
        </w:rPr>
        <w:t xml:space="preserve">), שם נקבע כי השימוש בהליכי גבייה מנהליים על ידי רשויות מקומיות כברירת מחדל לגביית חובות לא עומד בעקרונות של המשפט </w:t>
      </w:r>
      <w:proofErr w:type="spellStart"/>
      <w:r w:rsidRPr="00CE375A">
        <w:rPr>
          <w:rFonts w:ascii="David" w:hAnsi="David"/>
          <w:color w:val="222222"/>
          <w:shd w:val="clear" w:color="auto" w:fill="FFFFFF"/>
          <w:rtl/>
        </w:rPr>
        <w:t>המינהלי</w:t>
      </w:r>
      <w:proofErr w:type="spellEnd"/>
      <w:r w:rsidRPr="00CE375A">
        <w:rPr>
          <w:rFonts w:ascii="David" w:hAnsi="David"/>
          <w:color w:val="222222"/>
          <w:shd w:val="clear" w:color="auto" w:fill="FFFFFF"/>
          <w:rtl/>
        </w:rPr>
        <w:t xml:space="preserve">-חוקתי בעידן שלאחר חקיקתו של חוק היסוד כבוד האדם </w:t>
      </w:r>
      <w:proofErr w:type="spellStart"/>
      <w:r w:rsidRPr="00CE375A">
        <w:rPr>
          <w:rFonts w:ascii="David" w:hAnsi="David"/>
          <w:color w:val="222222"/>
          <w:shd w:val="clear" w:color="auto" w:fill="FFFFFF"/>
          <w:rtl/>
        </w:rPr>
        <w:t>וחירותו,ולכן</w:t>
      </w:r>
      <w:proofErr w:type="spellEnd"/>
      <w:r w:rsidRPr="00CE375A">
        <w:rPr>
          <w:rFonts w:ascii="David" w:hAnsi="David"/>
          <w:color w:val="222222"/>
          <w:shd w:val="clear" w:color="auto" w:fill="FFFFFF"/>
          <w:rtl/>
        </w:rPr>
        <w:t xml:space="preserve"> יש להשתמש בהליכים אלה רק במקרים חריגים. פסק דין זה בוטל על ידי בית המשפט העליון  בנימוק שבית המשפט המחוזי פסק בשאלה שלא נתבקש להכריע בה מלכתחילה. (</w:t>
      </w:r>
      <w:proofErr w:type="spellStart"/>
      <w:r w:rsidRPr="00CE375A">
        <w:rPr>
          <w:rFonts w:ascii="David" w:hAnsi="David"/>
          <w:color w:val="222222"/>
          <w:shd w:val="clear" w:color="auto" w:fill="FFFFFF"/>
          <w:rtl/>
        </w:rPr>
        <w:t>עע"ם</w:t>
      </w:r>
      <w:proofErr w:type="spellEnd"/>
      <w:r w:rsidRPr="00CE375A">
        <w:rPr>
          <w:rFonts w:ascii="David" w:hAnsi="David"/>
          <w:color w:val="222222"/>
          <w:shd w:val="clear" w:color="auto" w:fill="FFFFFF"/>
          <w:rtl/>
        </w:rPr>
        <w:t xml:space="preserve"> </w:t>
      </w:r>
      <w:hyperlink r:id="rId2" w:history="1">
        <w:r w:rsidRPr="00CE375A">
          <w:rPr>
            <w:rFonts w:ascii="David" w:hAnsi="David"/>
            <w:color w:val="0000FF"/>
            <w:u w:val="single"/>
            <w:shd w:val="clear" w:color="auto" w:fill="FFFFFF"/>
            <w:rtl/>
          </w:rPr>
          <w:t>8380/07</w:t>
        </w:r>
      </w:hyperlink>
      <w:r w:rsidRPr="00CE375A">
        <w:rPr>
          <w:rFonts w:ascii="David" w:hAnsi="David"/>
          <w:color w:val="222222"/>
          <w:shd w:val="clear" w:color="auto" w:fill="FFFFFF"/>
          <w:rtl/>
        </w:rPr>
        <w:t xml:space="preserve"> </w:t>
      </w:r>
      <w:r w:rsidRPr="00CE375A">
        <w:rPr>
          <w:rFonts w:ascii="David" w:hAnsi="David"/>
          <w:b/>
          <w:bCs/>
          <w:color w:val="222222"/>
          <w:shd w:val="clear" w:color="auto" w:fill="FFFFFF"/>
          <w:rtl/>
        </w:rPr>
        <w:t>עיריית חדרה נ' רכבת ישראל</w:t>
      </w:r>
      <w:r w:rsidRPr="00CE375A">
        <w:rPr>
          <w:rFonts w:ascii="David" w:hAnsi="David"/>
          <w:color w:val="222222"/>
          <w:shd w:val="clear" w:color="auto" w:fill="FFFFFF"/>
          <w:rtl/>
        </w:rPr>
        <w:t xml:space="preserve"> (2010) [פורסם בנבו 16.02.10]).</w:t>
      </w:r>
    </w:p>
  </w:footnote>
  <w:footnote w:id="3">
    <w:p w:rsidR="003E489D" w:rsidRDefault="003E489D" w:rsidP="003E489D">
      <w:pPr>
        <w:pStyle w:val="a8"/>
      </w:pPr>
      <w:r>
        <w:rPr>
          <w:rStyle w:val="aa"/>
        </w:rPr>
        <w:footnoteRef/>
      </w:r>
      <w:r>
        <w:rPr>
          <w:rFonts w:hint="cs"/>
          <w:rtl/>
        </w:rPr>
        <w:t xml:space="preserve"> מבקר המדינה </w:t>
      </w:r>
      <w:hyperlink r:id="rId3" w:history="1">
        <w:r w:rsidRPr="003E489D">
          <w:rPr>
            <w:rStyle w:val="Hyperlink"/>
            <w:rFonts w:cs="David" w:hint="cs"/>
            <w:b/>
            <w:bCs/>
            <w:sz w:val="20"/>
            <w:szCs w:val="20"/>
            <w:rtl/>
          </w:rPr>
          <w:t>מנגנון גביית חובות בהוצאה לפועל</w:t>
        </w:r>
      </w:hyperlink>
      <w:r>
        <w:rPr>
          <w:rFonts w:hint="cs"/>
          <w:b/>
          <w:bCs/>
          <w:rtl/>
        </w:rPr>
        <w:t xml:space="preserve"> </w:t>
      </w:r>
      <w:r>
        <w:rPr>
          <w:rFonts w:hint="cs"/>
          <w:rtl/>
        </w:rPr>
        <w:t>17 (2016)</w:t>
      </w:r>
      <w:r>
        <w:rPr>
          <w:rtl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055B" w:rsidRDefault="00AC055B" w:rsidP="00C81442">
    <w:pPr>
      <w:pStyle w:val="a3"/>
      <w:jc w:val="center"/>
      <w:rPr>
        <w:rtl/>
      </w:rPr>
    </w:pPr>
    <w:r w:rsidRPr="00616ACD">
      <w:fldChar w:fldCharType="begin"/>
    </w:r>
    <w:r w:rsidRPr="00616ACD">
      <w:instrText xml:space="preserve"> PAGE   \* MERGEFORMAT </w:instrText>
    </w:r>
    <w:r w:rsidRPr="00616ACD">
      <w:fldChar w:fldCharType="separate"/>
    </w:r>
    <w:r w:rsidR="001960CC" w:rsidRPr="001960CC">
      <w:rPr>
        <w:noProof/>
        <w:rtl/>
        <w:lang w:val="he-IL"/>
      </w:rPr>
      <w:t>2</w:t>
    </w:r>
    <w:r w:rsidRPr="00616ACD">
      <w:fldChar w:fldCharType="end"/>
    </w:r>
  </w:p>
  <w:p w:rsidR="00FF1E0E" w:rsidRDefault="00FF1E0E" w:rsidP="00C81442">
    <w:pPr>
      <w:pStyle w:val="a3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055B" w:rsidRDefault="00996DF8">
    <w:pPr>
      <w:pStyle w:val="a3"/>
    </w:pPr>
    <w:r>
      <w:rPr>
        <w:noProof/>
        <w:rtl/>
        <w:lang w:val="en-US" w:eastAsia="en-US"/>
      </w:rPr>
      <w:drawing>
        <wp:inline distT="0" distB="0" distL="0" distR="0">
          <wp:extent cx="5153025" cy="1085850"/>
          <wp:effectExtent l="0" t="0" r="9525" b="0"/>
          <wp:docPr id="1" name="תמונה 3" descr="לוגו האגודה לזכויות האזרח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3" descr="לוגו האגודה לזכויות האזרח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53025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F9445B"/>
    <w:multiLevelType w:val="hybridMultilevel"/>
    <w:tmpl w:val="D36A068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140076"/>
    <w:multiLevelType w:val="hybridMultilevel"/>
    <w:tmpl w:val="BC3E4E36"/>
    <w:lvl w:ilvl="0" w:tplc="0409000F">
      <w:start w:val="1"/>
      <w:numFmt w:val="decimal"/>
      <w:lvlText w:val="%1."/>
      <w:lvlJc w:val="left"/>
      <w:pPr>
        <w:ind w:left="746" w:hanging="360"/>
      </w:pPr>
    </w:lvl>
    <w:lvl w:ilvl="1" w:tplc="04090019" w:tentative="1">
      <w:start w:val="1"/>
      <w:numFmt w:val="lowerLetter"/>
      <w:lvlText w:val="%2."/>
      <w:lvlJc w:val="left"/>
      <w:pPr>
        <w:ind w:left="1466" w:hanging="360"/>
      </w:pPr>
    </w:lvl>
    <w:lvl w:ilvl="2" w:tplc="0409001B" w:tentative="1">
      <w:start w:val="1"/>
      <w:numFmt w:val="lowerRoman"/>
      <w:lvlText w:val="%3."/>
      <w:lvlJc w:val="right"/>
      <w:pPr>
        <w:ind w:left="2186" w:hanging="180"/>
      </w:pPr>
    </w:lvl>
    <w:lvl w:ilvl="3" w:tplc="0409000F" w:tentative="1">
      <w:start w:val="1"/>
      <w:numFmt w:val="decimal"/>
      <w:lvlText w:val="%4."/>
      <w:lvlJc w:val="left"/>
      <w:pPr>
        <w:ind w:left="2906" w:hanging="360"/>
      </w:pPr>
    </w:lvl>
    <w:lvl w:ilvl="4" w:tplc="04090019" w:tentative="1">
      <w:start w:val="1"/>
      <w:numFmt w:val="lowerLetter"/>
      <w:lvlText w:val="%5."/>
      <w:lvlJc w:val="left"/>
      <w:pPr>
        <w:ind w:left="3626" w:hanging="360"/>
      </w:pPr>
    </w:lvl>
    <w:lvl w:ilvl="5" w:tplc="0409001B" w:tentative="1">
      <w:start w:val="1"/>
      <w:numFmt w:val="lowerRoman"/>
      <w:lvlText w:val="%6."/>
      <w:lvlJc w:val="right"/>
      <w:pPr>
        <w:ind w:left="4346" w:hanging="180"/>
      </w:pPr>
    </w:lvl>
    <w:lvl w:ilvl="6" w:tplc="0409000F" w:tentative="1">
      <w:start w:val="1"/>
      <w:numFmt w:val="decimal"/>
      <w:lvlText w:val="%7."/>
      <w:lvlJc w:val="left"/>
      <w:pPr>
        <w:ind w:left="5066" w:hanging="360"/>
      </w:pPr>
    </w:lvl>
    <w:lvl w:ilvl="7" w:tplc="04090019" w:tentative="1">
      <w:start w:val="1"/>
      <w:numFmt w:val="lowerLetter"/>
      <w:lvlText w:val="%8."/>
      <w:lvlJc w:val="left"/>
      <w:pPr>
        <w:ind w:left="5786" w:hanging="360"/>
      </w:pPr>
    </w:lvl>
    <w:lvl w:ilvl="8" w:tplc="0409001B" w:tentative="1">
      <w:start w:val="1"/>
      <w:numFmt w:val="lowerRoman"/>
      <w:lvlText w:val="%9."/>
      <w:lvlJc w:val="right"/>
      <w:pPr>
        <w:ind w:left="6506" w:hanging="180"/>
      </w:pPr>
    </w:lvl>
  </w:abstractNum>
  <w:abstractNum w:abstractNumId="2" w15:restartNumberingAfterBreak="0">
    <w:nsid w:val="17490A43"/>
    <w:multiLevelType w:val="hybridMultilevel"/>
    <w:tmpl w:val="AFE2E668"/>
    <w:lvl w:ilvl="0" w:tplc="DFA0B9F2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300D16"/>
    <w:multiLevelType w:val="hybridMultilevel"/>
    <w:tmpl w:val="38CC54C0"/>
    <w:lvl w:ilvl="0" w:tplc="0409000F">
      <w:start w:val="1"/>
      <w:numFmt w:val="decimal"/>
      <w:lvlText w:val="%1."/>
      <w:lvlJc w:val="left"/>
      <w:pPr>
        <w:ind w:left="3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6" w:hanging="360"/>
      </w:pPr>
    </w:lvl>
    <w:lvl w:ilvl="2" w:tplc="0409001B" w:tentative="1">
      <w:start w:val="1"/>
      <w:numFmt w:val="lowerRoman"/>
      <w:lvlText w:val="%3."/>
      <w:lvlJc w:val="right"/>
      <w:pPr>
        <w:ind w:left="1826" w:hanging="180"/>
      </w:pPr>
    </w:lvl>
    <w:lvl w:ilvl="3" w:tplc="0409000F" w:tentative="1">
      <w:start w:val="1"/>
      <w:numFmt w:val="decimal"/>
      <w:lvlText w:val="%4."/>
      <w:lvlJc w:val="left"/>
      <w:pPr>
        <w:ind w:left="2546" w:hanging="360"/>
      </w:pPr>
    </w:lvl>
    <w:lvl w:ilvl="4" w:tplc="04090019" w:tentative="1">
      <w:start w:val="1"/>
      <w:numFmt w:val="lowerLetter"/>
      <w:lvlText w:val="%5."/>
      <w:lvlJc w:val="left"/>
      <w:pPr>
        <w:ind w:left="3266" w:hanging="360"/>
      </w:pPr>
    </w:lvl>
    <w:lvl w:ilvl="5" w:tplc="0409001B" w:tentative="1">
      <w:start w:val="1"/>
      <w:numFmt w:val="lowerRoman"/>
      <w:lvlText w:val="%6."/>
      <w:lvlJc w:val="right"/>
      <w:pPr>
        <w:ind w:left="3986" w:hanging="180"/>
      </w:pPr>
    </w:lvl>
    <w:lvl w:ilvl="6" w:tplc="0409000F" w:tentative="1">
      <w:start w:val="1"/>
      <w:numFmt w:val="decimal"/>
      <w:lvlText w:val="%7."/>
      <w:lvlJc w:val="left"/>
      <w:pPr>
        <w:ind w:left="4706" w:hanging="360"/>
      </w:pPr>
    </w:lvl>
    <w:lvl w:ilvl="7" w:tplc="04090019" w:tentative="1">
      <w:start w:val="1"/>
      <w:numFmt w:val="lowerLetter"/>
      <w:lvlText w:val="%8."/>
      <w:lvlJc w:val="left"/>
      <w:pPr>
        <w:ind w:left="5426" w:hanging="360"/>
      </w:pPr>
    </w:lvl>
    <w:lvl w:ilvl="8" w:tplc="040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4" w15:restartNumberingAfterBreak="0">
    <w:nsid w:val="1A7000AB"/>
    <w:multiLevelType w:val="hybridMultilevel"/>
    <w:tmpl w:val="00DC6CD0"/>
    <w:lvl w:ilvl="0" w:tplc="C6289F7C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460B2C"/>
    <w:multiLevelType w:val="hybridMultilevel"/>
    <w:tmpl w:val="8FBA7B4C"/>
    <w:lvl w:ilvl="0" w:tplc="15B65642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39019B"/>
    <w:multiLevelType w:val="hybridMultilevel"/>
    <w:tmpl w:val="0FAEFC2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FA5219C"/>
    <w:multiLevelType w:val="hybridMultilevel"/>
    <w:tmpl w:val="57A6CC94"/>
    <w:lvl w:ilvl="0" w:tplc="3BBE3552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B7D06F8"/>
    <w:multiLevelType w:val="hybridMultilevel"/>
    <w:tmpl w:val="F3FA733A"/>
    <w:lvl w:ilvl="0" w:tplc="D646B410">
      <w:start w:val="1"/>
      <w:numFmt w:val="hebrew1"/>
      <w:lvlText w:val="%1."/>
      <w:lvlJc w:val="center"/>
      <w:pPr>
        <w:ind w:left="720" w:hanging="360"/>
      </w:pPr>
      <w:rPr>
        <w:rFonts w:ascii="Arial" w:hAnsi="Arial" w:cs="Arial" w:hint="default"/>
        <w:sz w:val="23"/>
        <w:szCs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E6B77CB"/>
    <w:multiLevelType w:val="multilevel"/>
    <w:tmpl w:val="65CCD538"/>
    <w:lvl w:ilvl="0">
      <w:start w:val="1"/>
      <w:numFmt w:val="decimal"/>
      <w:lvlText w:val="%1."/>
      <w:lvlJc w:val="right"/>
      <w:pPr>
        <w:tabs>
          <w:tab w:val="num" w:pos="425"/>
        </w:tabs>
        <w:ind w:left="288" w:hanging="144"/>
      </w:pPr>
      <w:rPr>
        <w:rFonts w:hint="default"/>
        <w:lang w:val="en-US" w:bidi="he-IL"/>
      </w:rPr>
    </w:lvl>
    <w:lvl w:ilvl="1">
      <w:start w:val="1"/>
      <w:numFmt w:val="decimal"/>
      <w:pStyle w:val="1"/>
      <w:lvlText w:val="%1.%2."/>
      <w:lvlJc w:val="left"/>
      <w:pPr>
        <w:tabs>
          <w:tab w:val="num" w:pos="907"/>
        </w:tabs>
        <w:ind w:left="72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96" w:hanging="576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6A410CC8"/>
    <w:multiLevelType w:val="hybridMultilevel"/>
    <w:tmpl w:val="38CC54C0"/>
    <w:lvl w:ilvl="0" w:tplc="0409000F">
      <w:start w:val="1"/>
      <w:numFmt w:val="decimal"/>
      <w:lvlText w:val="%1."/>
      <w:lvlJc w:val="left"/>
      <w:pPr>
        <w:ind w:left="3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6" w:hanging="360"/>
      </w:pPr>
    </w:lvl>
    <w:lvl w:ilvl="2" w:tplc="0409001B" w:tentative="1">
      <w:start w:val="1"/>
      <w:numFmt w:val="lowerRoman"/>
      <w:lvlText w:val="%3."/>
      <w:lvlJc w:val="right"/>
      <w:pPr>
        <w:ind w:left="1826" w:hanging="180"/>
      </w:pPr>
    </w:lvl>
    <w:lvl w:ilvl="3" w:tplc="0409000F" w:tentative="1">
      <w:start w:val="1"/>
      <w:numFmt w:val="decimal"/>
      <w:lvlText w:val="%4."/>
      <w:lvlJc w:val="left"/>
      <w:pPr>
        <w:ind w:left="2546" w:hanging="360"/>
      </w:pPr>
    </w:lvl>
    <w:lvl w:ilvl="4" w:tplc="04090019" w:tentative="1">
      <w:start w:val="1"/>
      <w:numFmt w:val="lowerLetter"/>
      <w:lvlText w:val="%5."/>
      <w:lvlJc w:val="left"/>
      <w:pPr>
        <w:ind w:left="3266" w:hanging="360"/>
      </w:pPr>
    </w:lvl>
    <w:lvl w:ilvl="5" w:tplc="0409001B" w:tentative="1">
      <w:start w:val="1"/>
      <w:numFmt w:val="lowerRoman"/>
      <w:lvlText w:val="%6."/>
      <w:lvlJc w:val="right"/>
      <w:pPr>
        <w:ind w:left="3986" w:hanging="180"/>
      </w:pPr>
    </w:lvl>
    <w:lvl w:ilvl="6" w:tplc="0409000F" w:tentative="1">
      <w:start w:val="1"/>
      <w:numFmt w:val="decimal"/>
      <w:lvlText w:val="%7."/>
      <w:lvlJc w:val="left"/>
      <w:pPr>
        <w:ind w:left="4706" w:hanging="360"/>
      </w:pPr>
    </w:lvl>
    <w:lvl w:ilvl="7" w:tplc="04090019" w:tentative="1">
      <w:start w:val="1"/>
      <w:numFmt w:val="lowerLetter"/>
      <w:lvlText w:val="%8."/>
      <w:lvlJc w:val="left"/>
      <w:pPr>
        <w:ind w:left="5426" w:hanging="360"/>
      </w:pPr>
    </w:lvl>
    <w:lvl w:ilvl="8" w:tplc="040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11" w15:restartNumberingAfterBreak="0">
    <w:nsid w:val="6A5053E4"/>
    <w:multiLevelType w:val="hybridMultilevel"/>
    <w:tmpl w:val="C1C08D9A"/>
    <w:lvl w:ilvl="0" w:tplc="DFA0B9F2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DAA6087"/>
    <w:multiLevelType w:val="hybridMultilevel"/>
    <w:tmpl w:val="E878FFB8"/>
    <w:lvl w:ilvl="0" w:tplc="C6C899F6">
      <w:start w:val="1"/>
      <w:numFmt w:val="decimal"/>
      <w:lvlText w:val="%1."/>
      <w:lvlJc w:val="left"/>
      <w:pPr>
        <w:ind w:left="3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6" w:hanging="360"/>
      </w:pPr>
    </w:lvl>
    <w:lvl w:ilvl="2" w:tplc="0409001B" w:tentative="1">
      <w:start w:val="1"/>
      <w:numFmt w:val="lowerRoman"/>
      <w:lvlText w:val="%3."/>
      <w:lvlJc w:val="right"/>
      <w:pPr>
        <w:ind w:left="1826" w:hanging="180"/>
      </w:pPr>
    </w:lvl>
    <w:lvl w:ilvl="3" w:tplc="0409000F" w:tentative="1">
      <w:start w:val="1"/>
      <w:numFmt w:val="decimal"/>
      <w:lvlText w:val="%4."/>
      <w:lvlJc w:val="left"/>
      <w:pPr>
        <w:ind w:left="2546" w:hanging="360"/>
      </w:pPr>
    </w:lvl>
    <w:lvl w:ilvl="4" w:tplc="04090019" w:tentative="1">
      <w:start w:val="1"/>
      <w:numFmt w:val="lowerLetter"/>
      <w:lvlText w:val="%5."/>
      <w:lvlJc w:val="left"/>
      <w:pPr>
        <w:ind w:left="3266" w:hanging="360"/>
      </w:pPr>
    </w:lvl>
    <w:lvl w:ilvl="5" w:tplc="0409001B" w:tentative="1">
      <w:start w:val="1"/>
      <w:numFmt w:val="lowerRoman"/>
      <w:lvlText w:val="%6."/>
      <w:lvlJc w:val="right"/>
      <w:pPr>
        <w:ind w:left="3986" w:hanging="180"/>
      </w:pPr>
    </w:lvl>
    <w:lvl w:ilvl="6" w:tplc="0409000F" w:tentative="1">
      <w:start w:val="1"/>
      <w:numFmt w:val="decimal"/>
      <w:lvlText w:val="%7."/>
      <w:lvlJc w:val="left"/>
      <w:pPr>
        <w:ind w:left="4706" w:hanging="360"/>
      </w:pPr>
    </w:lvl>
    <w:lvl w:ilvl="7" w:tplc="04090019" w:tentative="1">
      <w:start w:val="1"/>
      <w:numFmt w:val="lowerLetter"/>
      <w:lvlText w:val="%8."/>
      <w:lvlJc w:val="left"/>
      <w:pPr>
        <w:ind w:left="5426" w:hanging="360"/>
      </w:pPr>
    </w:lvl>
    <w:lvl w:ilvl="8" w:tplc="040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13" w15:restartNumberingAfterBreak="0">
    <w:nsid w:val="747F04F9"/>
    <w:multiLevelType w:val="hybridMultilevel"/>
    <w:tmpl w:val="86DAC0FE"/>
    <w:lvl w:ilvl="0" w:tplc="0409000F">
      <w:start w:val="1"/>
      <w:numFmt w:val="decimal"/>
      <w:lvlText w:val="%1."/>
      <w:lvlJc w:val="left"/>
      <w:pPr>
        <w:ind w:left="3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6" w:hanging="360"/>
      </w:pPr>
    </w:lvl>
    <w:lvl w:ilvl="2" w:tplc="0409001B" w:tentative="1">
      <w:start w:val="1"/>
      <w:numFmt w:val="lowerRoman"/>
      <w:lvlText w:val="%3."/>
      <w:lvlJc w:val="right"/>
      <w:pPr>
        <w:ind w:left="1826" w:hanging="180"/>
      </w:pPr>
    </w:lvl>
    <w:lvl w:ilvl="3" w:tplc="0409000F" w:tentative="1">
      <w:start w:val="1"/>
      <w:numFmt w:val="decimal"/>
      <w:lvlText w:val="%4."/>
      <w:lvlJc w:val="left"/>
      <w:pPr>
        <w:ind w:left="2546" w:hanging="360"/>
      </w:pPr>
    </w:lvl>
    <w:lvl w:ilvl="4" w:tplc="04090019" w:tentative="1">
      <w:start w:val="1"/>
      <w:numFmt w:val="lowerLetter"/>
      <w:lvlText w:val="%5."/>
      <w:lvlJc w:val="left"/>
      <w:pPr>
        <w:ind w:left="3266" w:hanging="360"/>
      </w:pPr>
    </w:lvl>
    <w:lvl w:ilvl="5" w:tplc="0409001B" w:tentative="1">
      <w:start w:val="1"/>
      <w:numFmt w:val="lowerRoman"/>
      <w:lvlText w:val="%6."/>
      <w:lvlJc w:val="right"/>
      <w:pPr>
        <w:ind w:left="3986" w:hanging="180"/>
      </w:pPr>
    </w:lvl>
    <w:lvl w:ilvl="6" w:tplc="0409000F" w:tentative="1">
      <w:start w:val="1"/>
      <w:numFmt w:val="decimal"/>
      <w:lvlText w:val="%7."/>
      <w:lvlJc w:val="left"/>
      <w:pPr>
        <w:ind w:left="4706" w:hanging="360"/>
      </w:pPr>
    </w:lvl>
    <w:lvl w:ilvl="7" w:tplc="04090019" w:tentative="1">
      <w:start w:val="1"/>
      <w:numFmt w:val="lowerLetter"/>
      <w:lvlText w:val="%8."/>
      <w:lvlJc w:val="left"/>
      <w:pPr>
        <w:ind w:left="5426" w:hanging="360"/>
      </w:pPr>
    </w:lvl>
    <w:lvl w:ilvl="8" w:tplc="040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14" w15:restartNumberingAfterBreak="0">
    <w:nsid w:val="7A3F0992"/>
    <w:multiLevelType w:val="hybridMultilevel"/>
    <w:tmpl w:val="4C84F7F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C122189"/>
    <w:multiLevelType w:val="hybridMultilevel"/>
    <w:tmpl w:val="28A6DE54"/>
    <w:lvl w:ilvl="0" w:tplc="7FF431CC">
      <w:start w:val="1"/>
      <w:numFmt w:val="decimal"/>
      <w:lvlText w:val="%1."/>
      <w:lvlJc w:val="left"/>
      <w:pPr>
        <w:tabs>
          <w:tab w:val="num" w:pos="394"/>
        </w:tabs>
        <w:ind w:left="394" w:hanging="360"/>
      </w:pPr>
      <w:rPr>
        <w:rFonts w:hint="default"/>
        <w:lang w:val="en-US"/>
      </w:rPr>
    </w:lvl>
    <w:lvl w:ilvl="1" w:tplc="DDACB792">
      <w:start w:val="1"/>
      <w:numFmt w:val="hebrew1"/>
      <w:lvlText w:val="%2."/>
      <w:lvlJc w:val="left"/>
      <w:pPr>
        <w:tabs>
          <w:tab w:val="num" w:pos="1114"/>
        </w:tabs>
        <w:ind w:left="1114" w:hanging="360"/>
      </w:pPr>
      <w:rPr>
        <w:rFonts w:ascii="Times New Roman" w:eastAsia="Times New Roman" w:hAnsi="Times New Roman" w:cs="David"/>
      </w:rPr>
    </w:lvl>
    <w:lvl w:ilvl="2" w:tplc="414A0290">
      <w:start w:val="1"/>
      <w:numFmt w:val="hebrew1"/>
      <w:lvlText w:val="%3."/>
      <w:lvlJc w:val="left"/>
      <w:pPr>
        <w:tabs>
          <w:tab w:val="num" w:pos="2014"/>
        </w:tabs>
        <w:ind w:left="2014" w:hanging="360"/>
      </w:pPr>
      <w:rPr>
        <w:rFonts w:hint="default"/>
        <w:u w:val="none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num w:numId="1">
    <w:abstractNumId w:val="9"/>
  </w:num>
  <w:num w:numId="2">
    <w:abstractNumId w:val="14"/>
  </w:num>
  <w:num w:numId="3">
    <w:abstractNumId w:val="6"/>
  </w:num>
  <w:num w:numId="4">
    <w:abstractNumId w:val="5"/>
  </w:num>
  <w:num w:numId="5">
    <w:abstractNumId w:val="15"/>
  </w:num>
  <w:num w:numId="6">
    <w:abstractNumId w:val="13"/>
  </w:num>
  <w:num w:numId="7">
    <w:abstractNumId w:val="0"/>
  </w:num>
  <w:num w:numId="8">
    <w:abstractNumId w:val="7"/>
  </w:num>
  <w:num w:numId="9">
    <w:abstractNumId w:val="3"/>
  </w:num>
  <w:num w:numId="10">
    <w:abstractNumId w:val="8"/>
  </w:num>
  <w:num w:numId="11">
    <w:abstractNumId w:val="10"/>
  </w:num>
  <w:num w:numId="12">
    <w:abstractNumId w:val="1"/>
  </w:num>
  <w:num w:numId="13">
    <w:abstractNumId w:val="12"/>
  </w:num>
  <w:num w:numId="14">
    <w:abstractNumId w:val="11"/>
  </w:num>
  <w:num w:numId="15">
    <w:abstractNumId w:val="2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55F"/>
    <w:rsid w:val="00010E8C"/>
    <w:rsid w:val="000431A7"/>
    <w:rsid w:val="00044062"/>
    <w:rsid w:val="000440AE"/>
    <w:rsid w:val="00067D70"/>
    <w:rsid w:val="00081DB7"/>
    <w:rsid w:val="00081F24"/>
    <w:rsid w:val="000959FE"/>
    <w:rsid w:val="000B110D"/>
    <w:rsid w:val="000C77AB"/>
    <w:rsid w:val="000D1E49"/>
    <w:rsid w:val="00107B23"/>
    <w:rsid w:val="00113E5C"/>
    <w:rsid w:val="00120534"/>
    <w:rsid w:val="001301E7"/>
    <w:rsid w:val="00137A8D"/>
    <w:rsid w:val="00144A4A"/>
    <w:rsid w:val="001960CC"/>
    <w:rsid w:val="00200659"/>
    <w:rsid w:val="00211BFD"/>
    <w:rsid w:val="002135BF"/>
    <w:rsid w:val="00227771"/>
    <w:rsid w:val="00230170"/>
    <w:rsid w:val="00254C24"/>
    <w:rsid w:val="002566A1"/>
    <w:rsid w:val="00257B8F"/>
    <w:rsid w:val="00264495"/>
    <w:rsid w:val="00264C62"/>
    <w:rsid w:val="00277C50"/>
    <w:rsid w:val="002826C7"/>
    <w:rsid w:val="002865CF"/>
    <w:rsid w:val="00286D54"/>
    <w:rsid w:val="002E50D2"/>
    <w:rsid w:val="0031477B"/>
    <w:rsid w:val="00324271"/>
    <w:rsid w:val="003439FB"/>
    <w:rsid w:val="00345FE1"/>
    <w:rsid w:val="00351AE0"/>
    <w:rsid w:val="00357B34"/>
    <w:rsid w:val="00372DF7"/>
    <w:rsid w:val="00386431"/>
    <w:rsid w:val="0039160E"/>
    <w:rsid w:val="00391E2E"/>
    <w:rsid w:val="003A4096"/>
    <w:rsid w:val="003B31E4"/>
    <w:rsid w:val="003E489D"/>
    <w:rsid w:val="00402BFF"/>
    <w:rsid w:val="004074D7"/>
    <w:rsid w:val="004276C8"/>
    <w:rsid w:val="00451F08"/>
    <w:rsid w:val="004532E8"/>
    <w:rsid w:val="004608BF"/>
    <w:rsid w:val="004642C2"/>
    <w:rsid w:val="004663BD"/>
    <w:rsid w:val="00480C6C"/>
    <w:rsid w:val="00483F71"/>
    <w:rsid w:val="00487A1C"/>
    <w:rsid w:val="004941DA"/>
    <w:rsid w:val="004B059E"/>
    <w:rsid w:val="004B3378"/>
    <w:rsid w:val="004B5A9F"/>
    <w:rsid w:val="004D1752"/>
    <w:rsid w:val="004D22FA"/>
    <w:rsid w:val="005029FF"/>
    <w:rsid w:val="00505001"/>
    <w:rsid w:val="00554405"/>
    <w:rsid w:val="005731E6"/>
    <w:rsid w:val="00581D9D"/>
    <w:rsid w:val="00592D11"/>
    <w:rsid w:val="005F42AF"/>
    <w:rsid w:val="006120F7"/>
    <w:rsid w:val="006247D1"/>
    <w:rsid w:val="0065611C"/>
    <w:rsid w:val="00656A63"/>
    <w:rsid w:val="006A4FB2"/>
    <w:rsid w:val="006C64A0"/>
    <w:rsid w:val="006F0C1A"/>
    <w:rsid w:val="006F1701"/>
    <w:rsid w:val="006F4A7D"/>
    <w:rsid w:val="007134F0"/>
    <w:rsid w:val="00716524"/>
    <w:rsid w:val="00773CB7"/>
    <w:rsid w:val="00780DC1"/>
    <w:rsid w:val="00785558"/>
    <w:rsid w:val="007879FF"/>
    <w:rsid w:val="00791065"/>
    <w:rsid w:val="0079656E"/>
    <w:rsid w:val="007B5A5B"/>
    <w:rsid w:val="007C2D03"/>
    <w:rsid w:val="007D1B9C"/>
    <w:rsid w:val="007F0EEC"/>
    <w:rsid w:val="0080054C"/>
    <w:rsid w:val="008078D5"/>
    <w:rsid w:val="008167F5"/>
    <w:rsid w:val="0082612F"/>
    <w:rsid w:val="00827E1E"/>
    <w:rsid w:val="00833D6A"/>
    <w:rsid w:val="008438D5"/>
    <w:rsid w:val="00861A01"/>
    <w:rsid w:val="00865B57"/>
    <w:rsid w:val="00871160"/>
    <w:rsid w:val="00885A4D"/>
    <w:rsid w:val="008C75EB"/>
    <w:rsid w:val="008E2070"/>
    <w:rsid w:val="00916E9B"/>
    <w:rsid w:val="00923755"/>
    <w:rsid w:val="00925EAB"/>
    <w:rsid w:val="00950526"/>
    <w:rsid w:val="009528EE"/>
    <w:rsid w:val="00956F57"/>
    <w:rsid w:val="00970AF9"/>
    <w:rsid w:val="0097657F"/>
    <w:rsid w:val="00996DF8"/>
    <w:rsid w:val="009B0F84"/>
    <w:rsid w:val="00A04108"/>
    <w:rsid w:val="00A06650"/>
    <w:rsid w:val="00A07243"/>
    <w:rsid w:val="00A1055F"/>
    <w:rsid w:val="00A16CF1"/>
    <w:rsid w:val="00A42256"/>
    <w:rsid w:val="00A51919"/>
    <w:rsid w:val="00A62E3A"/>
    <w:rsid w:val="00A63011"/>
    <w:rsid w:val="00A87A5A"/>
    <w:rsid w:val="00A93601"/>
    <w:rsid w:val="00AA5E0B"/>
    <w:rsid w:val="00AC055B"/>
    <w:rsid w:val="00AD2840"/>
    <w:rsid w:val="00AE5BCF"/>
    <w:rsid w:val="00AE6659"/>
    <w:rsid w:val="00AF39CA"/>
    <w:rsid w:val="00B04D4A"/>
    <w:rsid w:val="00B211B6"/>
    <w:rsid w:val="00B420A9"/>
    <w:rsid w:val="00B81770"/>
    <w:rsid w:val="00B86454"/>
    <w:rsid w:val="00BA0E36"/>
    <w:rsid w:val="00BB1883"/>
    <w:rsid w:val="00BB6542"/>
    <w:rsid w:val="00C45F9C"/>
    <w:rsid w:val="00C632E2"/>
    <w:rsid w:val="00C64965"/>
    <w:rsid w:val="00C65149"/>
    <w:rsid w:val="00C81442"/>
    <w:rsid w:val="00C8529A"/>
    <w:rsid w:val="00CB1EA1"/>
    <w:rsid w:val="00CE661E"/>
    <w:rsid w:val="00CE6CF6"/>
    <w:rsid w:val="00D7386E"/>
    <w:rsid w:val="00D75E2B"/>
    <w:rsid w:val="00D77B19"/>
    <w:rsid w:val="00D8250F"/>
    <w:rsid w:val="00D86AD2"/>
    <w:rsid w:val="00D90310"/>
    <w:rsid w:val="00D94FE4"/>
    <w:rsid w:val="00DC0BB9"/>
    <w:rsid w:val="00DD16CF"/>
    <w:rsid w:val="00DE0488"/>
    <w:rsid w:val="00DE264D"/>
    <w:rsid w:val="00DE6E73"/>
    <w:rsid w:val="00E03186"/>
    <w:rsid w:val="00E07579"/>
    <w:rsid w:val="00E07960"/>
    <w:rsid w:val="00E17069"/>
    <w:rsid w:val="00E77966"/>
    <w:rsid w:val="00E82173"/>
    <w:rsid w:val="00E85802"/>
    <w:rsid w:val="00E97B7B"/>
    <w:rsid w:val="00EC3CA8"/>
    <w:rsid w:val="00F07AD7"/>
    <w:rsid w:val="00F15F59"/>
    <w:rsid w:val="00F16A3F"/>
    <w:rsid w:val="00F20C34"/>
    <w:rsid w:val="00F36F19"/>
    <w:rsid w:val="00F435EC"/>
    <w:rsid w:val="00F4716D"/>
    <w:rsid w:val="00F57E8F"/>
    <w:rsid w:val="00F66E14"/>
    <w:rsid w:val="00F729B6"/>
    <w:rsid w:val="00F844A6"/>
    <w:rsid w:val="00F9243E"/>
    <w:rsid w:val="00F96CA0"/>
    <w:rsid w:val="00FD254C"/>
    <w:rsid w:val="00FE1E28"/>
    <w:rsid w:val="00FE34F5"/>
    <w:rsid w:val="00FF1E0E"/>
    <w:rsid w:val="00FF7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FB2DB06-4046-4322-9613-8A9C501C2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6CA0"/>
    <w:pPr>
      <w:bidi/>
      <w:spacing w:before="120" w:after="120" w:line="360" w:lineRule="auto"/>
    </w:pPr>
    <w:rPr>
      <w:rFonts w:ascii="Times New Roman" w:hAnsi="Times New Roman" w:cs="David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6CA0"/>
    <w:pPr>
      <w:tabs>
        <w:tab w:val="center" w:pos="4153"/>
        <w:tab w:val="right" w:pos="8306"/>
      </w:tabs>
      <w:spacing w:after="0" w:line="240" w:lineRule="auto"/>
    </w:pPr>
    <w:rPr>
      <w:rFonts w:cs="Times New Roman"/>
      <w:lang w:val="x-none" w:eastAsia="x-none"/>
    </w:rPr>
  </w:style>
  <w:style w:type="character" w:customStyle="1" w:styleId="a4">
    <w:name w:val="כותרת עליונה תו"/>
    <w:link w:val="a3"/>
    <w:uiPriority w:val="99"/>
    <w:rsid w:val="00F96CA0"/>
    <w:rPr>
      <w:rFonts w:ascii="Times New Roman" w:hAnsi="Times New Roman" w:cs="David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F96CA0"/>
    <w:pPr>
      <w:tabs>
        <w:tab w:val="center" w:pos="4153"/>
        <w:tab w:val="right" w:pos="8306"/>
      </w:tabs>
      <w:spacing w:after="0" w:line="240" w:lineRule="auto"/>
    </w:pPr>
    <w:rPr>
      <w:rFonts w:cs="Times New Roman"/>
      <w:lang w:val="x-none" w:eastAsia="x-none"/>
    </w:rPr>
  </w:style>
  <w:style w:type="character" w:customStyle="1" w:styleId="a6">
    <w:name w:val="כותרת תחתונה תו"/>
    <w:link w:val="a5"/>
    <w:uiPriority w:val="99"/>
    <w:rsid w:val="00F96CA0"/>
    <w:rPr>
      <w:rFonts w:ascii="Times New Roman" w:hAnsi="Times New Roman" w:cs="David"/>
      <w:sz w:val="24"/>
      <w:szCs w:val="24"/>
    </w:rPr>
  </w:style>
  <w:style w:type="paragraph" w:customStyle="1" w:styleId="10">
    <w:name w:val="סגנון1"/>
    <w:basedOn w:val="a"/>
    <w:qFormat/>
    <w:rsid w:val="00F96CA0"/>
    <w:pPr>
      <w:autoSpaceDE w:val="0"/>
      <w:autoSpaceDN w:val="0"/>
      <w:spacing w:after="0"/>
      <w:jc w:val="both"/>
    </w:pPr>
    <w:rPr>
      <w:rFonts w:eastAsia="Times New Roman"/>
    </w:rPr>
  </w:style>
  <w:style w:type="character" w:styleId="Hyperlink">
    <w:name w:val="Hyperlink"/>
    <w:rsid w:val="00F96CA0"/>
    <w:rPr>
      <w:rFonts w:cs="Miriam"/>
      <w:color w:val="000080"/>
      <w:sz w:val="22"/>
      <w:szCs w:val="22"/>
    </w:rPr>
  </w:style>
  <w:style w:type="paragraph" w:styleId="a7">
    <w:name w:val="List Paragraph"/>
    <w:basedOn w:val="a"/>
    <w:qFormat/>
    <w:rsid w:val="00F96CA0"/>
    <w:pPr>
      <w:ind w:left="720"/>
      <w:contextualSpacing/>
    </w:pPr>
  </w:style>
  <w:style w:type="paragraph" w:customStyle="1" w:styleId="1">
    <w:name w:val="ממוספר מדורג 1"/>
    <w:basedOn w:val="a"/>
    <w:qFormat/>
    <w:rsid w:val="00F96CA0"/>
    <w:pPr>
      <w:numPr>
        <w:ilvl w:val="1"/>
        <w:numId w:val="1"/>
      </w:numPr>
      <w:jc w:val="both"/>
    </w:pPr>
    <w:rPr>
      <w:rFonts w:eastAsia="Times New Roman"/>
      <w:lang w:eastAsia="he-IL"/>
    </w:rPr>
  </w:style>
  <w:style w:type="paragraph" w:styleId="a8">
    <w:name w:val="footnote text"/>
    <w:aliases w:val="תו תו תו,תו תו, Char,Sharp - Footnote Text,Footnote Text - Sharp Char Char,Footnote Text - Sharp Char,single space,footnote text,FOOTNOTES,fn,Footnote Text - Sharp,Sharp - Footnote Text1 Char,Footnote Text Char Char Char Char Char"/>
    <w:basedOn w:val="a"/>
    <w:link w:val="a9"/>
    <w:unhideWhenUsed/>
    <w:rsid w:val="00F96CA0"/>
    <w:pPr>
      <w:spacing w:before="0" w:after="0" w:line="240" w:lineRule="auto"/>
    </w:pPr>
    <w:rPr>
      <w:rFonts w:cs="Times New Roman"/>
      <w:sz w:val="20"/>
      <w:szCs w:val="20"/>
      <w:lang w:val="x-none" w:eastAsia="x-none"/>
    </w:rPr>
  </w:style>
  <w:style w:type="character" w:customStyle="1" w:styleId="a9">
    <w:name w:val="טקסט הערת שוליים תו"/>
    <w:aliases w:val="תו תו תו תו,תו תו תו1, Char תו,Sharp - Footnote Text תו,Footnote Text - Sharp Char Char תו,Footnote Text - Sharp Char תו,single space תו,footnote text תו,FOOTNOTES תו,fn תו,Footnote Text - Sharp תו,Sharp - Footnote Text1 Char תו"/>
    <w:link w:val="a8"/>
    <w:rsid w:val="00F96CA0"/>
    <w:rPr>
      <w:rFonts w:ascii="Times New Roman" w:hAnsi="Times New Roman" w:cs="David"/>
      <w:sz w:val="20"/>
      <w:szCs w:val="20"/>
    </w:rPr>
  </w:style>
  <w:style w:type="character" w:styleId="aa">
    <w:name w:val="footnote reference"/>
    <w:unhideWhenUsed/>
    <w:rsid w:val="00F96CA0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F96CA0"/>
    <w:pPr>
      <w:spacing w:before="0"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ac">
    <w:name w:val="טקסט בלונים תו"/>
    <w:link w:val="ab"/>
    <w:uiPriority w:val="99"/>
    <w:semiHidden/>
    <w:rsid w:val="00F96CA0"/>
    <w:rPr>
      <w:rFonts w:ascii="Tahoma" w:hAnsi="Tahoma" w:cs="Tahoma"/>
      <w:sz w:val="16"/>
      <w:szCs w:val="16"/>
    </w:rPr>
  </w:style>
  <w:style w:type="character" w:customStyle="1" w:styleId="default">
    <w:name w:val="default"/>
    <w:rsid w:val="00351AE0"/>
    <w:rPr>
      <w:rFonts w:ascii="Times New Roman" w:hAnsi="Times New Roman" w:cs="Times New Roman"/>
      <w:sz w:val="26"/>
      <w:szCs w:val="26"/>
    </w:rPr>
  </w:style>
  <w:style w:type="paragraph" w:customStyle="1" w:styleId="11">
    <w:name w:val="פיסקת רשימה1"/>
    <w:basedOn w:val="a"/>
    <w:rsid w:val="00AE6659"/>
    <w:pPr>
      <w:spacing w:before="0" w:after="200" w:line="276" w:lineRule="auto"/>
      <w:ind w:left="720"/>
      <w:contextualSpacing/>
    </w:pPr>
    <w:rPr>
      <w:rFonts w:ascii="Calibri" w:eastAsia="Times New Roman" w:hAnsi="Calibri" w:cs="Arial"/>
      <w:sz w:val="22"/>
      <w:szCs w:val="22"/>
    </w:rPr>
  </w:style>
  <w:style w:type="character" w:styleId="ad">
    <w:name w:val="Strong"/>
    <w:uiPriority w:val="22"/>
    <w:qFormat/>
    <w:rsid w:val="00E075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34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1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5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5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9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6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4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0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0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2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9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%20reut@acri.org.i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%20reut@acri.org.il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evaker.gov.il/he/Reports/Report_527/404dfad0-a3f4-48a2-bb38-0006dd145f69/Execution_final_web.pdf" TargetMode="External"/><Relationship Id="rId2" Type="http://schemas.openxmlformats.org/officeDocument/2006/relationships/hyperlink" Target="http://www.nevo.co.il/psika_html/elyon/07083800-s30.htm" TargetMode="External"/><Relationship Id="rId1" Type="http://schemas.openxmlformats.org/officeDocument/2006/relationships/hyperlink" Target="http://www.nevo.co.il/psika_html/minhali/mm06003061-1a.ht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31E205BBB08441AEFFEBF8ABB23DF1" ma:contentTypeVersion="0" ma:contentTypeDescription="Create a new document." ma:contentTypeScope="" ma:versionID="5e16b795bfa190b891513a8f9da4548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AE64EC8-D8AC-42D9-A326-5DEEC3907BE3}"/>
</file>

<file path=customXml/itemProps2.xml><?xml version="1.0" encoding="utf-8"?>
<ds:datastoreItem xmlns:ds="http://schemas.openxmlformats.org/officeDocument/2006/customXml" ds:itemID="{EBA7F754-B9C7-42A0-AAD2-627F55ED6937}"/>
</file>

<file path=customXml/itemProps3.xml><?xml version="1.0" encoding="utf-8"?>
<ds:datastoreItem xmlns:ds="http://schemas.openxmlformats.org/officeDocument/2006/customXml" ds:itemID="{E7A16C6B-27EB-4A19-B21C-EF3FB857EB6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536</Words>
  <Characters>2684</Characters>
  <Application>Microsoft Office Word</Application>
  <DocSecurity>0</DocSecurity>
  <Lines>22</Lines>
  <Paragraphs>6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הטלת ריביות פיגורים על אוכלוסיות מוחלשות</vt:lpstr>
      <vt:lpstr>הטלת ריביות פיגורים על אוכלוסיות מוחלשות</vt:lpstr>
    </vt:vector>
  </TitlesOfParts>
  <Company/>
  <LinksUpToDate>false</LinksUpToDate>
  <CharactersWithSpaces>3214</CharactersWithSpaces>
  <SharedDoc>false</SharedDoc>
  <HLinks>
    <vt:vector size="30" baseType="variant">
      <vt:variant>
        <vt:i4>7274508</vt:i4>
      </vt:variant>
      <vt:variant>
        <vt:i4>6</vt:i4>
      </vt:variant>
      <vt:variant>
        <vt:i4>0</vt:i4>
      </vt:variant>
      <vt:variant>
        <vt:i4>5</vt:i4>
      </vt:variant>
      <vt:variant>
        <vt:lpwstr>http://www.mevaker.gov.il/he/Reports/Report_527/404dfad0-a3f4-48a2-bb38-0006dd145f69/Execution_final_web.pdf</vt:lpwstr>
      </vt:variant>
      <vt:variant>
        <vt:lpwstr/>
      </vt:variant>
      <vt:variant>
        <vt:i4>6160425</vt:i4>
      </vt:variant>
      <vt:variant>
        <vt:i4>3</vt:i4>
      </vt:variant>
      <vt:variant>
        <vt:i4>0</vt:i4>
      </vt:variant>
      <vt:variant>
        <vt:i4>5</vt:i4>
      </vt:variant>
      <vt:variant>
        <vt:lpwstr>http://www.nevo.co.il/psika_html/elyon/07083800-s30.htm</vt:lpwstr>
      </vt:variant>
      <vt:variant>
        <vt:lpwstr/>
      </vt:variant>
      <vt:variant>
        <vt:i4>4259946</vt:i4>
      </vt:variant>
      <vt:variant>
        <vt:i4>0</vt:i4>
      </vt:variant>
      <vt:variant>
        <vt:i4>0</vt:i4>
      </vt:variant>
      <vt:variant>
        <vt:i4>5</vt:i4>
      </vt:variant>
      <vt:variant>
        <vt:lpwstr>http://www.nevo.co.il/psika_html/minhali/mm06003061-1a.htm</vt:lpwstr>
      </vt:variant>
      <vt:variant>
        <vt:lpwstr/>
      </vt:variant>
      <vt:variant>
        <vt:i4>7012436</vt:i4>
      </vt:variant>
      <vt:variant>
        <vt:i4>6</vt:i4>
      </vt:variant>
      <vt:variant>
        <vt:i4>0</vt:i4>
      </vt:variant>
      <vt:variant>
        <vt:i4>5</vt:i4>
      </vt:variant>
      <vt:variant>
        <vt:lpwstr>mailto:%20reut@acri.org.il</vt:lpwstr>
      </vt:variant>
      <vt:variant>
        <vt:lpwstr/>
      </vt:variant>
      <vt:variant>
        <vt:i4>7012436</vt:i4>
      </vt:variant>
      <vt:variant>
        <vt:i4>3</vt:i4>
      </vt:variant>
      <vt:variant>
        <vt:i4>0</vt:i4>
      </vt:variant>
      <vt:variant>
        <vt:i4>5</vt:i4>
      </vt:variant>
      <vt:variant>
        <vt:lpwstr>mailto:%20reut@acri.org.il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הטלת ריביות פיגורים על אוכלוסיות מוחלשות</dc:title>
  <dc:subject/>
  <dc:creator>Tal Dahan</dc:creator>
  <cp:keywords/>
  <cp:lastModifiedBy>חדוה בודה נבון</cp:lastModifiedBy>
  <cp:revision>2</cp:revision>
  <cp:lastPrinted>2016-05-26T12:10:00Z</cp:lastPrinted>
  <dcterms:created xsi:type="dcterms:W3CDTF">2016-12-11T09:08:00Z</dcterms:created>
  <dcterms:modified xsi:type="dcterms:W3CDTF">2016-12-11T09:08:00Z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0x010100F931E205BBB08441AEFFEBF8ABB23DF1</vt:lpwstr>
  </property>
  <property fmtid="{D5CDD505-2E9C-101B-9397-08002B2CF9AE}" pid="3" name="SanhedrinDocumentType">
    <vt:r8>88</vt:r8>
  </property>
  <property fmtid="{D5CDD505-2E9C-101B-9397-08002B2CF9AE}" pid="4" name="SanhedrinItemID">
    <vt:r8>2010040</vt:r8>
  </property>
</Properties>
</file>