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565738</w:t>
      </w:r>
      <w:bookmarkEnd w:id="0"/>
    </w:p>
    <w:p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rsidR="00E13C27" w:rsidRPr="00F67051" w:rsidRDefault="00E13C27" w:rsidP="00E13C27">
      <w:pPr>
        <w:rPr>
          <w:rFonts w:cs="David"/>
          <w:b/>
          <w:bCs/>
          <w:sz w:val="26"/>
          <w:szCs w:val="26"/>
          <w:rtl/>
        </w:rPr>
      </w:pPr>
    </w:p>
    <w:p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נחמן שי</w:t>
      </w:r>
      <w:r>
        <w:br/>
      </w:r>
      <w:r>
        <w:rPr>
          <w:rFonts w:hint="cs"/>
          <w:b/>
          <w:bCs/>
          <w:rtl/>
        </w:rPr>
        <w:t xml:space="preserve"> </w:t>
      </w:r>
      <w:r>
        <w:tab/>
      </w:r>
      <w:r>
        <w:tab/>
      </w:r>
      <w:r>
        <w:tab/>
      </w:r>
      <w:r>
        <w:tab/>
      </w:r>
      <w:r>
        <w:rPr>
          <w:rFonts w:hint="cs"/>
          <w:b/>
          <w:bCs/>
          <w:rtl/>
        </w:rPr>
        <w:t>תמר זנדברג</w:t>
      </w:r>
      <w:r>
        <w:br/>
      </w:r>
      <w:r>
        <w:rPr>
          <w:rFonts w:hint="cs"/>
          <w:b/>
          <w:bCs/>
          <w:rtl/>
        </w:rPr>
        <w:t xml:space="preserve"> </w:t>
      </w:r>
      <w:r>
        <w:tab/>
      </w:r>
      <w:r>
        <w:tab/>
      </w:r>
      <w:r>
        <w:tab/>
      </w:r>
      <w:r>
        <w:tab/>
      </w:r>
      <w:r>
        <w:rPr>
          <w:rFonts w:hint="cs"/>
          <w:b/>
          <w:bCs/>
          <w:rtl/>
        </w:rPr>
        <w:t>דב חנין</w:t>
      </w:r>
      <w:r>
        <w:br/>
      </w:r>
      <w:r>
        <w:rPr>
          <w:rFonts w:hint="cs"/>
          <w:b/>
          <w:bCs/>
          <w:rtl/>
        </w:rPr>
        <w:t xml:space="preserve"> </w:t>
      </w:r>
      <w:r>
        <w:tab/>
      </w:r>
      <w:r>
        <w:tab/>
      </w:r>
      <w:r>
        <w:tab/>
      </w:r>
      <w:r>
        <w:tab/>
      </w:r>
      <w:r>
        <w:rPr>
          <w:rFonts w:hint="cs"/>
          <w:b/>
          <w:bCs/>
          <w:rtl/>
        </w:rPr>
        <w:t>ינון מגל</w:t>
      </w:r>
      <w:bookmarkEnd w:id="3"/>
    </w:p>
    <w:p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פ/1534/20</w:t>
      </w:r>
      <w:bookmarkEnd w:id="6"/>
    </w:p>
    <w:p w:rsidR="00E13C27" w:rsidRDefault="00E13C27" w:rsidP="00E13C27">
      <w:pPr>
        <w:spacing w:before="0" w:line="360" w:lineRule="auto"/>
        <w:ind w:left="2880" w:firstLine="720"/>
        <w:rPr>
          <w:rFonts w:cs="David"/>
          <w:sz w:val="26"/>
          <w:szCs w:val="26"/>
          <w:rtl/>
        </w:rPr>
      </w:pPr>
    </w:p>
    <w:p w:rsidR="00470219" w:rsidRDefault="00A443CF" w:rsidP="00FC13DC">
      <w:pPr>
        <w:pStyle w:val="HeadHatzaotHok"/>
        <w:rPr>
          <w:b w:val="0"/>
          <w:bCs w:val="0"/>
          <w:sz w:val="26"/>
        </w:rPr>
      </w:pPr>
      <w:bookmarkStart w:id="7" w:name="LGS_Subject"/>
      <w:r>
        <w:rPr>
          <w:rFonts w:hint="cs"/>
          <w:rtl/>
        </w:rPr>
        <w:t xml:space="preserve">הצעת חוק הדואר (תיקון </w:t>
      </w:r>
      <w:r w:rsidR="00FC13DC">
        <w:rPr>
          <w:rFonts w:hint="eastAsia"/>
          <w:rtl/>
        </w:rPr>
        <w:t>–</w:t>
      </w:r>
      <w:r>
        <w:rPr>
          <w:rFonts w:hint="cs"/>
          <w:rtl/>
        </w:rPr>
        <w:t xml:space="preserve"> פרטי חובה בהודעה בדבר משלוח דואר רשום), התשע"ה</w:t>
      </w:r>
      <w:r w:rsidR="00FC13DC">
        <w:rPr>
          <w:rFonts w:hint="eastAsia"/>
          <w:rtl/>
        </w:rPr>
        <w:t>–</w:t>
      </w:r>
      <w:r>
        <w:rPr>
          <w:rFonts w:hint="cs"/>
          <w:rtl/>
        </w:rPr>
        <w:t xml:space="preserve">2015 </w:t>
      </w:r>
      <w:bookmarkEnd w:id="7"/>
    </w:p>
    <w:tbl>
      <w:tblPr>
        <w:bidiVisual/>
        <w:tblW w:w="9645" w:type="dxa"/>
        <w:tblLayout w:type="fixed"/>
        <w:tblCellMar>
          <w:top w:w="57" w:type="dxa"/>
          <w:left w:w="0" w:type="dxa"/>
          <w:bottom w:w="57" w:type="dxa"/>
          <w:right w:w="0" w:type="dxa"/>
        </w:tblCellMar>
        <w:tblLook w:val="04A0" w:firstRow="1" w:lastRow="0" w:firstColumn="1" w:lastColumn="0" w:noHBand="0" w:noVBand="1"/>
      </w:tblPr>
      <w:tblGrid>
        <w:gridCol w:w="1873"/>
        <w:gridCol w:w="624"/>
        <w:gridCol w:w="624"/>
        <w:gridCol w:w="624"/>
        <w:gridCol w:w="624"/>
        <w:gridCol w:w="624"/>
        <w:gridCol w:w="624"/>
        <w:gridCol w:w="4028"/>
      </w:tblGrid>
      <w:tr w:rsidR="00470219" w:rsidTr="00470219">
        <w:trPr>
          <w:cantSplit/>
        </w:trPr>
        <w:tc>
          <w:tcPr>
            <w:tcW w:w="1871" w:type="dxa"/>
            <w:tcMar>
              <w:top w:w="91" w:type="dxa"/>
              <w:left w:w="0" w:type="dxa"/>
              <w:bottom w:w="91" w:type="dxa"/>
              <w:right w:w="0" w:type="dxa"/>
            </w:tcMar>
            <w:hideMark/>
          </w:tcPr>
          <w:p w:rsidR="00470219" w:rsidRDefault="00470219">
            <w:pPr>
              <w:pStyle w:val="TableSideHeading"/>
              <w:rPr>
                <w:sz w:val="26"/>
                <w:rtl/>
              </w:rPr>
            </w:pPr>
            <w:r>
              <w:rPr>
                <w:rFonts w:hint="cs"/>
                <w:sz w:val="26"/>
                <w:rtl/>
              </w:rPr>
              <w:t>הוספת סעיף 56א</w:t>
            </w:r>
          </w:p>
        </w:tc>
        <w:tc>
          <w:tcPr>
            <w:tcW w:w="624" w:type="dxa"/>
            <w:tcMar>
              <w:top w:w="91" w:type="dxa"/>
              <w:left w:w="0" w:type="dxa"/>
              <w:bottom w:w="91" w:type="dxa"/>
              <w:right w:w="0" w:type="dxa"/>
            </w:tcMar>
            <w:hideMark/>
          </w:tcPr>
          <w:p w:rsidR="00470219" w:rsidRDefault="00470219">
            <w:pPr>
              <w:pStyle w:val="TableText"/>
              <w:rPr>
                <w:sz w:val="26"/>
              </w:rPr>
            </w:pPr>
            <w:r>
              <w:rPr>
                <w:rFonts w:hint="cs"/>
                <w:sz w:val="26"/>
                <w:rtl/>
              </w:rPr>
              <w:t>1.</w:t>
            </w:r>
          </w:p>
        </w:tc>
        <w:tc>
          <w:tcPr>
            <w:tcW w:w="7146" w:type="dxa"/>
            <w:gridSpan w:val="6"/>
            <w:tcMar>
              <w:top w:w="91" w:type="dxa"/>
              <w:left w:w="0" w:type="dxa"/>
              <w:bottom w:w="91" w:type="dxa"/>
              <w:right w:w="0" w:type="dxa"/>
            </w:tcMar>
            <w:hideMark/>
          </w:tcPr>
          <w:p w:rsidR="00470219" w:rsidRDefault="00470219">
            <w:pPr>
              <w:pStyle w:val="TableBlock"/>
              <w:rPr>
                <w:sz w:val="26"/>
              </w:rPr>
            </w:pPr>
            <w:r>
              <w:rPr>
                <w:rFonts w:hint="cs"/>
                <w:sz w:val="26"/>
                <w:rtl/>
              </w:rPr>
              <w:t>בחוק הדואר, התשמ"ו–1986‏</w:t>
            </w:r>
            <w:r>
              <w:rPr>
                <w:rStyle w:val="a6"/>
                <w:rFonts w:hAnsi="HadasaMFO"/>
                <w:sz w:val="26"/>
                <w:rtl/>
              </w:rPr>
              <w:footnoteReference w:id="2"/>
            </w:r>
            <w:r>
              <w:rPr>
                <w:rFonts w:hint="cs"/>
                <w:sz w:val="26"/>
                <w:rtl/>
              </w:rPr>
              <w:t xml:space="preserve"> (להלן – החוק העיקרי), אחרי סעיף 56 יבוא:</w:t>
            </w:r>
          </w:p>
        </w:tc>
      </w:tr>
      <w:tr w:rsidR="00470219" w:rsidTr="00470219">
        <w:trPr>
          <w:cantSplit/>
          <w:trHeight w:val="60"/>
        </w:trPr>
        <w:tc>
          <w:tcPr>
            <w:tcW w:w="1871" w:type="dxa"/>
          </w:tcPr>
          <w:p w:rsidR="00470219" w:rsidRDefault="00470219">
            <w:pPr>
              <w:pStyle w:val="TableSideHeading"/>
              <w:keepLines w:val="0"/>
              <w:rPr>
                <w:sz w:val="26"/>
              </w:rPr>
            </w:pPr>
          </w:p>
        </w:tc>
        <w:tc>
          <w:tcPr>
            <w:tcW w:w="624" w:type="dxa"/>
          </w:tcPr>
          <w:p w:rsidR="00470219" w:rsidRDefault="00470219">
            <w:pPr>
              <w:pStyle w:val="TableText"/>
              <w:keepLines w:val="0"/>
              <w:rPr>
                <w:sz w:val="26"/>
              </w:rPr>
            </w:pPr>
          </w:p>
        </w:tc>
        <w:tc>
          <w:tcPr>
            <w:tcW w:w="1872" w:type="dxa"/>
            <w:gridSpan w:val="3"/>
            <w:hideMark/>
          </w:tcPr>
          <w:p w:rsidR="00470219" w:rsidRDefault="00470219">
            <w:pPr>
              <w:pStyle w:val="TableInnerSideHeading"/>
              <w:rPr>
                <w:sz w:val="26"/>
              </w:rPr>
            </w:pPr>
            <w:r>
              <w:rPr>
                <w:rFonts w:hint="cs"/>
                <w:sz w:val="26"/>
                <w:rtl/>
              </w:rPr>
              <w:t>"רישום פרטי</w:t>
            </w:r>
            <w:r>
              <w:rPr>
                <w:rFonts w:hint="cs"/>
                <w:sz w:val="26"/>
                <w:rtl/>
              </w:rPr>
              <w:br/>
              <w:t>השולח על גבי</w:t>
            </w:r>
            <w:r>
              <w:rPr>
                <w:rFonts w:hint="cs"/>
                <w:sz w:val="26"/>
                <w:rtl/>
              </w:rPr>
              <w:br/>
              <w:t>דבר דואר רשום</w:t>
            </w:r>
          </w:p>
        </w:tc>
        <w:tc>
          <w:tcPr>
            <w:tcW w:w="624" w:type="dxa"/>
            <w:hideMark/>
          </w:tcPr>
          <w:p w:rsidR="00470219" w:rsidRDefault="00470219">
            <w:pPr>
              <w:pStyle w:val="TableText"/>
              <w:rPr>
                <w:sz w:val="26"/>
              </w:rPr>
            </w:pPr>
            <w:r>
              <w:rPr>
                <w:rFonts w:hint="cs"/>
                <w:sz w:val="26"/>
                <w:rtl/>
              </w:rPr>
              <w:t>56א.</w:t>
            </w:r>
          </w:p>
        </w:tc>
        <w:tc>
          <w:tcPr>
            <w:tcW w:w="4650" w:type="dxa"/>
            <w:gridSpan w:val="2"/>
            <w:hideMark/>
          </w:tcPr>
          <w:p w:rsidR="00470219" w:rsidRDefault="00470219">
            <w:pPr>
              <w:pStyle w:val="TableBlock"/>
              <w:rPr>
                <w:sz w:val="26"/>
              </w:rPr>
            </w:pPr>
            <w:r>
              <w:rPr>
                <w:rFonts w:hint="cs"/>
                <w:sz w:val="26"/>
                <w:rtl/>
              </w:rPr>
              <w:t>(א)</w:t>
            </w:r>
            <w:r>
              <w:rPr>
                <w:rFonts w:hint="cs"/>
                <w:sz w:val="26"/>
                <w:rtl/>
              </w:rPr>
              <w:tab/>
              <w:t xml:space="preserve">שולח יציין על גבי דבר דואר רשום, באופן בולט לעין, ברור ושאין בו כדי להטעות, פרטים אלה: </w:t>
            </w:r>
          </w:p>
        </w:tc>
      </w:tr>
      <w:tr w:rsidR="00470219" w:rsidTr="00470219">
        <w:trPr>
          <w:cantSplit/>
        </w:trPr>
        <w:tc>
          <w:tcPr>
            <w:tcW w:w="1871" w:type="dxa"/>
            <w:tcMar>
              <w:top w:w="91" w:type="dxa"/>
              <w:left w:w="0" w:type="dxa"/>
              <w:bottom w:w="91" w:type="dxa"/>
              <w:right w:w="0" w:type="dxa"/>
            </w:tcMar>
          </w:tcPr>
          <w:p w:rsidR="00470219" w:rsidRDefault="00470219">
            <w:pPr>
              <w:pStyle w:val="TableSideHeading"/>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4026" w:type="dxa"/>
            <w:tcMar>
              <w:top w:w="91" w:type="dxa"/>
              <w:left w:w="0" w:type="dxa"/>
              <w:bottom w:w="91" w:type="dxa"/>
              <w:right w:w="0" w:type="dxa"/>
            </w:tcMar>
            <w:hideMark/>
          </w:tcPr>
          <w:p w:rsidR="00470219" w:rsidRDefault="00470219">
            <w:pPr>
              <w:pStyle w:val="TableBlock"/>
              <w:rPr>
                <w:sz w:val="26"/>
              </w:rPr>
            </w:pPr>
            <w:r>
              <w:rPr>
                <w:rFonts w:hint="cs"/>
                <w:sz w:val="26"/>
                <w:rtl/>
              </w:rPr>
              <w:t>(1)</w:t>
            </w:r>
            <w:r>
              <w:rPr>
                <w:rFonts w:hint="cs"/>
                <w:sz w:val="26"/>
                <w:rtl/>
              </w:rPr>
              <w:tab/>
              <w:t>שם השולח, ואם דבר הדואר נשלח בידי השולח כמיופה כוח של אדם אחר – גם שמו של האדם שייפה את כוחו, ואולם אם דבר הדואר נשלח בידי המדינה ומוסדותיה, יירשם שם השולח – "מדינת ישראל";</w:t>
            </w:r>
          </w:p>
        </w:tc>
      </w:tr>
      <w:tr w:rsidR="00470219" w:rsidTr="00470219">
        <w:trPr>
          <w:cantSplit/>
        </w:trPr>
        <w:tc>
          <w:tcPr>
            <w:tcW w:w="1871" w:type="dxa"/>
            <w:tcMar>
              <w:top w:w="91" w:type="dxa"/>
              <w:left w:w="0" w:type="dxa"/>
              <w:bottom w:w="91" w:type="dxa"/>
              <w:right w:w="0" w:type="dxa"/>
            </w:tcMar>
          </w:tcPr>
          <w:p w:rsidR="00470219" w:rsidRDefault="00470219">
            <w:pPr>
              <w:pStyle w:val="TableSideHeading"/>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4026" w:type="dxa"/>
            <w:tcMar>
              <w:top w:w="91" w:type="dxa"/>
              <w:left w:w="0" w:type="dxa"/>
              <w:bottom w:w="91" w:type="dxa"/>
              <w:right w:w="0" w:type="dxa"/>
            </w:tcMar>
            <w:hideMark/>
          </w:tcPr>
          <w:p w:rsidR="00470219" w:rsidRDefault="00470219">
            <w:pPr>
              <w:pStyle w:val="TableBlock"/>
              <w:rPr>
                <w:sz w:val="26"/>
              </w:rPr>
            </w:pPr>
            <w:r>
              <w:rPr>
                <w:rFonts w:hint="cs"/>
                <w:sz w:val="26"/>
                <w:rtl/>
              </w:rPr>
              <w:t>(2)</w:t>
            </w:r>
            <w:r>
              <w:rPr>
                <w:rFonts w:hint="cs"/>
                <w:sz w:val="26"/>
                <w:rtl/>
              </w:rPr>
              <w:tab/>
              <w:t>מען השולח, למעט אם הוא המדינה ומוסדותיה;</w:t>
            </w:r>
          </w:p>
        </w:tc>
      </w:tr>
      <w:tr w:rsidR="00470219" w:rsidTr="00470219">
        <w:trPr>
          <w:cantSplit/>
        </w:trPr>
        <w:tc>
          <w:tcPr>
            <w:tcW w:w="1871" w:type="dxa"/>
            <w:tcMar>
              <w:top w:w="91" w:type="dxa"/>
              <w:left w:w="0" w:type="dxa"/>
              <w:bottom w:w="91" w:type="dxa"/>
              <w:right w:w="0" w:type="dxa"/>
            </w:tcMar>
          </w:tcPr>
          <w:p w:rsidR="00470219" w:rsidRDefault="00470219">
            <w:pPr>
              <w:pStyle w:val="TableSideHeading"/>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4026" w:type="dxa"/>
            <w:tcMar>
              <w:top w:w="91" w:type="dxa"/>
              <w:left w:w="0" w:type="dxa"/>
              <w:bottom w:w="91" w:type="dxa"/>
              <w:right w:w="0" w:type="dxa"/>
            </w:tcMar>
            <w:hideMark/>
          </w:tcPr>
          <w:p w:rsidR="00470219" w:rsidRDefault="00470219">
            <w:pPr>
              <w:pStyle w:val="TableBlock"/>
              <w:rPr>
                <w:sz w:val="26"/>
              </w:rPr>
            </w:pPr>
            <w:r>
              <w:rPr>
                <w:rFonts w:hint="cs"/>
                <w:sz w:val="26"/>
                <w:rtl/>
              </w:rPr>
              <w:t>(3)</w:t>
            </w:r>
            <w:r>
              <w:rPr>
                <w:rFonts w:hint="cs"/>
                <w:sz w:val="26"/>
                <w:rtl/>
              </w:rPr>
              <w:tab/>
              <w:t>חזקת מסירה לפי כל דין לגבי דבר הדואר, אם ישנה.</w:t>
            </w:r>
          </w:p>
        </w:tc>
      </w:tr>
      <w:tr w:rsidR="00470219" w:rsidTr="00470219">
        <w:trPr>
          <w:cantSplit/>
        </w:trPr>
        <w:tc>
          <w:tcPr>
            <w:tcW w:w="1871" w:type="dxa"/>
            <w:tcMar>
              <w:top w:w="91" w:type="dxa"/>
              <w:left w:w="0" w:type="dxa"/>
              <w:bottom w:w="91" w:type="dxa"/>
              <w:right w:w="0" w:type="dxa"/>
            </w:tcMar>
          </w:tcPr>
          <w:p w:rsidR="00470219" w:rsidRDefault="00470219">
            <w:pPr>
              <w:pStyle w:val="TableSideHeading"/>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4650" w:type="dxa"/>
            <w:gridSpan w:val="2"/>
            <w:tcMar>
              <w:top w:w="91" w:type="dxa"/>
              <w:left w:w="0" w:type="dxa"/>
              <w:bottom w:w="91" w:type="dxa"/>
              <w:right w:w="0" w:type="dxa"/>
            </w:tcMar>
            <w:hideMark/>
          </w:tcPr>
          <w:p w:rsidR="00470219" w:rsidRDefault="00470219">
            <w:pPr>
              <w:pStyle w:val="TableBlock"/>
              <w:rPr>
                <w:sz w:val="26"/>
              </w:rPr>
            </w:pPr>
            <w:r>
              <w:rPr>
                <w:rFonts w:hint="cs"/>
                <w:sz w:val="26"/>
                <w:rtl/>
              </w:rPr>
              <w:t>(ב)</w:t>
            </w:r>
            <w:r>
              <w:rPr>
                <w:rFonts w:hint="cs"/>
                <w:sz w:val="26"/>
                <w:rtl/>
              </w:rPr>
              <w:tab/>
              <w:t>בעל רישיון לא יקבל למשלוח דבר דואר רשום שלא מצוינים על גביו הפרטים האמורים בסעיף קטן (א).</w:t>
            </w:r>
          </w:p>
        </w:tc>
      </w:tr>
      <w:tr w:rsidR="00470219" w:rsidTr="00470219">
        <w:trPr>
          <w:cantSplit/>
        </w:trPr>
        <w:tc>
          <w:tcPr>
            <w:tcW w:w="1871" w:type="dxa"/>
            <w:tcMar>
              <w:top w:w="91" w:type="dxa"/>
              <w:left w:w="0" w:type="dxa"/>
              <w:bottom w:w="91" w:type="dxa"/>
              <w:right w:w="0" w:type="dxa"/>
            </w:tcMar>
          </w:tcPr>
          <w:p w:rsidR="00470219" w:rsidRDefault="00470219">
            <w:pPr>
              <w:pStyle w:val="TableSideHeading"/>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4650" w:type="dxa"/>
            <w:gridSpan w:val="2"/>
            <w:tcMar>
              <w:top w:w="91" w:type="dxa"/>
              <w:left w:w="0" w:type="dxa"/>
              <w:bottom w:w="91" w:type="dxa"/>
              <w:right w:w="0" w:type="dxa"/>
            </w:tcMar>
            <w:hideMark/>
          </w:tcPr>
          <w:p w:rsidR="00470219" w:rsidRDefault="00470219">
            <w:pPr>
              <w:pStyle w:val="TableBlock"/>
              <w:rPr>
                <w:sz w:val="26"/>
              </w:rPr>
            </w:pPr>
            <w:r>
              <w:rPr>
                <w:rFonts w:hint="cs"/>
                <w:sz w:val="26"/>
                <w:rtl/>
              </w:rPr>
              <w:t>(ג)</w:t>
            </w:r>
            <w:r>
              <w:rPr>
                <w:rFonts w:hint="cs"/>
                <w:sz w:val="26"/>
                <w:rtl/>
              </w:rPr>
              <w:tab/>
              <w:t>בעל רישיון המשאיר הודעת דואר רשום במען הנמען, יציין על גביה באופן ברור את הפרטים שציין השולח על גבי דבר הדואר כאמור בסעיף קטן (א); השר, באישור הוועדה, רשאי לקבוע שהוראות סעיף קטן זה לא יחולו על סוגים מסוימים של הודעות דואר רשום.</w:t>
            </w:r>
          </w:p>
        </w:tc>
      </w:tr>
      <w:tr w:rsidR="00470219" w:rsidTr="00470219">
        <w:trPr>
          <w:cantSplit/>
        </w:trPr>
        <w:tc>
          <w:tcPr>
            <w:tcW w:w="1871" w:type="dxa"/>
            <w:tcMar>
              <w:top w:w="91" w:type="dxa"/>
              <w:left w:w="0" w:type="dxa"/>
              <w:bottom w:w="91" w:type="dxa"/>
              <w:right w:w="0" w:type="dxa"/>
            </w:tcMar>
          </w:tcPr>
          <w:p w:rsidR="00470219" w:rsidRDefault="00470219">
            <w:pPr>
              <w:pStyle w:val="TableSideHeading"/>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4650" w:type="dxa"/>
            <w:gridSpan w:val="2"/>
            <w:tcMar>
              <w:top w:w="91" w:type="dxa"/>
              <w:left w:w="0" w:type="dxa"/>
              <w:bottom w:w="91" w:type="dxa"/>
              <w:right w:w="0" w:type="dxa"/>
            </w:tcMar>
            <w:hideMark/>
          </w:tcPr>
          <w:p w:rsidR="00470219" w:rsidRDefault="00470219">
            <w:pPr>
              <w:pStyle w:val="TableBlock"/>
              <w:rPr>
                <w:sz w:val="26"/>
              </w:rPr>
            </w:pPr>
            <w:r>
              <w:rPr>
                <w:rFonts w:hint="cs"/>
                <w:sz w:val="26"/>
                <w:rtl/>
              </w:rPr>
              <w:t>(ד)</w:t>
            </w:r>
            <w:r>
              <w:rPr>
                <w:rFonts w:hint="cs"/>
                <w:sz w:val="26"/>
                <w:rtl/>
              </w:rPr>
              <w:tab/>
              <w:t>בסעיף זה –</w:t>
            </w:r>
          </w:p>
        </w:tc>
      </w:tr>
      <w:tr w:rsidR="00470219" w:rsidTr="00470219">
        <w:trPr>
          <w:cantSplit/>
        </w:trPr>
        <w:tc>
          <w:tcPr>
            <w:tcW w:w="1871" w:type="dxa"/>
            <w:tcMar>
              <w:top w:w="91" w:type="dxa"/>
              <w:left w:w="0" w:type="dxa"/>
              <w:bottom w:w="91" w:type="dxa"/>
              <w:right w:w="0" w:type="dxa"/>
            </w:tcMar>
          </w:tcPr>
          <w:p w:rsidR="00470219" w:rsidRDefault="00470219">
            <w:pPr>
              <w:pStyle w:val="TableSideHeading"/>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4650" w:type="dxa"/>
            <w:gridSpan w:val="2"/>
            <w:tcMar>
              <w:top w:w="91" w:type="dxa"/>
              <w:left w:w="0" w:type="dxa"/>
              <w:bottom w:w="91" w:type="dxa"/>
              <w:right w:w="0" w:type="dxa"/>
            </w:tcMar>
            <w:hideMark/>
          </w:tcPr>
          <w:p w:rsidR="00470219" w:rsidRDefault="00470219">
            <w:pPr>
              <w:pStyle w:val="TableBlockOutdent"/>
              <w:rPr>
                <w:sz w:val="26"/>
              </w:rPr>
            </w:pPr>
            <w:r>
              <w:rPr>
                <w:rFonts w:hint="cs"/>
                <w:sz w:val="26"/>
                <w:rtl/>
              </w:rPr>
              <w:t>"דבר דואר רשום" – דבר דואר שנשלח באמצעות בעל רישיון, באופן הכולל, בין השאר, רישום בעת הקבלה, ניסיון מסירה במען הנמען, מסירה כנגד חתימה, לרבות אפשרות קבלת אישור מסירה, והשארת הודעת דואר רשום במקרה שבו לא התאפשרה מסירה כנגד חתימה כאמור;</w:t>
            </w:r>
          </w:p>
        </w:tc>
      </w:tr>
      <w:tr w:rsidR="00470219" w:rsidTr="00470219">
        <w:trPr>
          <w:cantSplit/>
        </w:trPr>
        <w:tc>
          <w:tcPr>
            <w:tcW w:w="1871" w:type="dxa"/>
            <w:tcMar>
              <w:top w:w="91" w:type="dxa"/>
              <w:left w:w="0" w:type="dxa"/>
              <w:bottom w:w="91" w:type="dxa"/>
              <w:right w:w="0" w:type="dxa"/>
            </w:tcMar>
          </w:tcPr>
          <w:p w:rsidR="00470219" w:rsidRDefault="00470219">
            <w:pPr>
              <w:pStyle w:val="TableSideHeading"/>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4650" w:type="dxa"/>
            <w:gridSpan w:val="2"/>
            <w:tcMar>
              <w:top w:w="91" w:type="dxa"/>
              <w:left w:w="0" w:type="dxa"/>
              <w:bottom w:w="91" w:type="dxa"/>
              <w:right w:w="0" w:type="dxa"/>
            </w:tcMar>
            <w:hideMark/>
          </w:tcPr>
          <w:p w:rsidR="00470219" w:rsidRDefault="00470219">
            <w:pPr>
              <w:pStyle w:val="TableBlockOutdent"/>
              <w:rPr>
                <w:sz w:val="26"/>
              </w:rPr>
            </w:pPr>
            <w:r>
              <w:rPr>
                <w:rFonts w:hint="cs"/>
                <w:sz w:val="26"/>
                <w:rtl/>
              </w:rPr>
              <w:t>"הודעת דואר רשום" – הודעה על משלוח דואר רשום שתושאר על ידי בעל רישיון במען הנמען ומזמינה אותו לאסוף את דבר הדואר, במקרה שבו לא התאפשרה מסירת דבר דואר רשום במענו כנגד חתימתו;</w:t>
            </w:r>
          </w:p>
        </w:tc>
      </w:tr>
      <w:tr w:rsidR="00470219" w:rsidTr="00470219">
        <w:trPr>
          <w:cantSplit/>
        </w:trPr>
        <w:tc>
          <w:tcPr>
            <w:tcW w:w="1871" w:type="dxa"/>
            <w:tcMar>
              <w:top w:w="91" w:type="dxa"/>
              <w:left w:w="0" w:type="dxa"/>
              <w:bottom w:w="91" w:type="dxa"/>
              <w:right w:w="0" w:type="dxa"/>
            </w:tcMar>
          </w:tcPr>
          <w:p w:rsidR="00470219" w:rsidRDefault="00470219">
            <w:pPr>
              <w:pStyle w:val="TableSideHeading"/>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4650" w:type="dxa"/>
            <w:gridSpan w:val="2"/>
            <w:tcMar>
              <w:top w:w="91" w:type="dxa"/>
              <w:left w:w="0" w:type="dxa"/>
              <w:bottom w:w="91" w:type="dxa"/>
              <w:right w:w="0" w:type="dxa"/>
            </w:tcMar>
            <w:hideMark/>
          </w:tcPr>
          <w:p w:rsidR="00470219" w:rsidRDefault="00470219">
            <w:pPr>
              <w:pStyle w:val="TableBlockOutdent"/>
            </w:pPr>
            <w:r>
              <w:rPr>
                <w:rFonts w:hint="cs"/>
                <w:sz w:val="26"/>
                <w:rtl/>
              </w:rPr>
              <w:t>"המדינה ומוסדותיה" – הממשלה ומשרדי הממשלה, לרבות יחידותיהם ויחידות הסמך שלהם, בתי משפט ובתי דין</w:t>
            </w:r>
            <w:r>
              <w:rPr>
                <w:rFonts w:hint="cs"/>
                <w:rtl/>
              </w:rPr>
              <w:t>;</w:t>
            </w:r>
          </w:p>
        </w:tc>
      </w:tr>
      <w:tr w:rsidR="00470219" w:rsidTr="00470219">
        <w:trPr>
          <w:cantSplit/>
        </w:trPr>
        <w:tc>
          <w:tcPr>
            <w:tcW w:w="1871" w:type="dxa"/>
            <w:tcMar>
              <w:top w:w="91" w:type="dxa"/>
              <w:left w:w="0" w:type="dxa"/>
              <w:bottom w:w="91" w:type="dxa"/>
              <w:right w:w="0" w:type="dxa"/>
            </w:tcMar>
          </w:tcPr>
          <w:p w:rsidR="00470219" w:rsidRDefault="00470219">
            <w:pPr>
              <w:pStyle w:val="TableSideHeading"/>
              <w:rPr>
                <w:sz w:val="26"/>
                <w:rtl/>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4650" w:type="dxa"/>
            <w:gridSpan w:val="2"/>
            <w:tcMar>
              <w:top w:w="91" w:type="dxa"/>
              <w:left w:w="0" w:type="dxa"/>
              <w:bottom w:w="91" w:type="dxa"/>
              <w:right w:w="0" w:type="dxa"/>
            </w:tcMar>
            <w:hideMark/>
          </w:tcPr>
          <w:p w:rsidR="00470219" w:rsidRDefault="00470219">
            <w:pPr>
              <w:pStyle w:val="TableBlockOutdent"/>
              <w:rPr>
                <w:sz w:val="26"/>
              </w:rPr>
            </w:pPr>
            <w:r>
              <w:rPr>
                <w:rFonts w:hint="cs"/>
                <w:sz w:val="26"/>
                <w:rtl/>
              </w:rPr>
              <w:t>"שולח" – אדם המשלם לבעל רישיון בעבור משלוח דבר הדואר הרשום על ידי בעל הרישיון או באמצעות בעל רישיון אחר."</w:t>
            </w:r>
          </w:p>
        </w:tc>
      </w:tr>
      <w:tr w:rsidR="00470219" w:rsidTr="00470219">
        <w:trPr>
          <w:cantSplit/>
        </w:trPr>
        <w:tc>
          <w:tcPr>
            <w:tcW w:w="1871" w:type="dxa"/>
            <w:tcMar>
              <w:top w:w="91" w:type="dxa"/>
              <w:left w:w="0" w:type="dxa"/>
              <w:bottom w:w="91" w:type="dxa"/>
              <w:right w:w="0" w:type="dxa"/>
            </w:tcMar>
            <w:hideMark/>
          </w:tcPr>
          <w:p w:rsidR="00470219" w:rsidRDefault="00470219">
            <w:pPr>
              <w:pStyle w:val="TableSideHeading"/>
              <w:rPr>
                <w:sz w:val="26"/>
              </w:rPr>
            </w:pPr>
            <w:r>
              <w:rPr>
                <w:rFonts w:hint="cs"/>
                <w:sz w:val="26"/>
                <w:rtl/>
              </w:rPr>
              <w:t>תיקון סעיף 106</w:t>
            </w:r>
          </w:p>
        </w:tc>
        <w:tc>
          <w:tcPr>
            <w:tcW w:w="624" w:type="dxa"/>
            <w:tcMar>
              <w:top w:w="91" w:type="dxa"/>
              <w:left w:w="0" w:type="dxa"/>
              <w:bottom w:w="91" w:type="dxa"/>
              <w:right w:w="0" w:type="dxa"/>
            </w:tcMar>
            <w:hideMark/>
          </w:tcPr>
          <w:p w:rsidR="00470219" w:rsidRDefault="00470219">
            <w:pPr>
              <w:pStyle w:val="TableText"/>
              <w:rPr>
                <w:sz w:val="26"/>
              </w:rPr>
            </w:pPr>
            <w:r>
              <w:rPr>
                <w:rFonts w:hint="cs"/>
                <w:sz w:val="26"/>
                <w:rtl/>
              </w:rPr>
              <w:t>2.</w:t>
            </w:r>
          </w:p>
        </w:tc>
        <w:tc>
          <w:tcPr>
            <w:tcW w:w="7146" w:type="dxa"/>
            <w:gridSpan w:val="6"/>
            <w:tcMar>
              <w:top w:w="91" w:type="dxa"/>
              <w:left w:w="0" w:type="dxa"/>
              <w:bottom w:w="91" w:type="dxa"/>
              <w:right w:w="0" w:type="dxa"/>
            </w:tcMar>
            <w:hideMark/>
          </w:tcPr>
          <w:p w:rsidR="00470219" w:rsidRDefault="00470219">
            <w:pPr>
              <w:pStyle w:val="TableBlock"/>
              <w:rPr>
                <w:sz w:val="26"/>
              </w:rPr>
            </w:pPr>
            <w:r>
              <w:rPr>
                <w:rFonts w:hint="cs"/>
                <w:sz w:val="26"/>
                <w:rtl/>
              </w:rPr>
              <w:t>בסעיף 106(1) לחוק העיקרי, בסופו יבוא "או</w:t>
            </w:r>
            <w:r>
              <w:rPr>
                <w:rFonts w:hint="cs"/>
                <w:rtl/>
              </w:rPr>
              <w:t xml:space="preserve"> על גבי דבר דואר רשום שם כוזב של השולח; לעניין זה </w:t>
            </w:r>
            <w:r>
              <w:rPr>
                <w:rFonts w:hint="cs"/>
                <w:rtl/>
              </w:rPr>
              <w:softHyphen/>
              <w:t>– "דבר דואר רשום" ו"שולח" כהגדרתם בסעיף 56א."</w:t>
            </w:r>
          </w:p>
        </w:tc>
      </w:tr>
      <w:tr w:rsidR="00470219" w:rsidTr="00470219">
        <w:trPr>
          <w:cantSplit/>
        </w:trPr>
        <w:tc>
          <w:tcPr>
            <w:tcW w:w="1871" w:type="dxa"/>
            <w:tcMar>
              <w:top w:w="91" w:type="dxa"/>
              <w:left w:w="0" w:type="dxa"/>
              <w:bottom w:w="91" w:type="dxa"/>
              <w:right w:w="0" w:type="dxa"/>
            </w:tcMar>
            <w:hideMark/>
          </w:tcPr>
          <w:p w:rsidR="00470219" w:rsidRDefault="00470219">
            <w:pPr>
              <w:pStyle w:val="TableSideHeading"/>
              <w:rPr>
                <w:sz w:val="26"/>
              </w:rPr>
            </w:pPr>
            <w:r>
              <w:rPr>
                <w:rFonts w:hint="cs"/>
                <w:sz w:val="26"/>
                <w:rtl/>
              </w:rPr>
              <w:t>תיקון סעיף 109ב</w:t>
            </w:r>
          </w:p>
        </w:tc>
        <w:tc>
          <w:tcPr>
            <w:tcW w:w="624" w:type="dxa"/>
            <w:tcMar>
              <w:top w:w="91" w:type="dxa"/>
              <w:left w:w="0" w:type="dxa"/>
              <w:bottom w:w="91" w:type="dxa"/>
              <w:right w:w="0" w:type="dxa"/>
            </w:tcMar>
            <w:hideMark/>
          </w:tcPr>
          <w:p w:rsidR="00470219" w:rsidRDefault="00470219">
            <w:pPr>
              <w:pStyle w:val="TableText"/>
              <w:rPr>
                <w:rtl/>
              </w:rPr>
            </w:pPr>
            <w:r>
              <w:rPr>
                <w:rFonts w:hint="cs"/>
                <w:sz w:val="26"/>
                <w:rtl/>
              </w:rPr>
              <w:t>3.</w:t>
            </w:r>
          </w:p>
        </w:tc>
        <w:tc>
          <w:tcPr>
            <w:tcW w:w="7146" w:type="dxa"/>
            <w:gridSpan w:val="6"/>
            <w:tcMar>
              <w:top w:w="91" w:type="dxa"/>
              <w:left w:w="0" w:type="dxa"/>
              <w:bottom w:w="91" w:type="dxa"/>
              <w:right w:w="0" w:type="dxa"/>
            </w:tcMar>
            <w:hideMark/>
          </w:tcPr>
          <w:p w:rsidR="00470219" w:rsidRDefault="00470219">
            <w:pPr>
              <w:pStyle w:val="TableBlock"/>
              <w:rPr>
                <w:sz w:val="26"/>
                <w:rtl/>
              </w:rPr>
            </w:pPr>
            <w:r>
              <w:rPr>
                <w:rFonts w:hint="cs"/>
                <w:sz w:val="26"/>
                <w:rtl/>
              </w:rPr>
              <w:t>בסעיף 109ב(א) לחוק העיקרי, אחרי פרט (5) יבוא:</w:t>
            </w:r>
          </w:p>
        </w:tc>
      </w:tr>
      <w:tr w:rsidR="00470219" w:rsidTr="00470219">
        <w:trPr>
          <w:cantSplit/>
        </w:trPr>
        <w:tc>
          <w:tcPr>
            <w:tcW w:w="1871" w:type="dxa"/>
            <w:tcMar>
              <w:top w:w="91" w:type="dxa"/>
              <w:left w:w="0" w:type="dxa"/>
              <w:bottom w:w="91" w:type="dxa"/>
              <w:right w:w="0" w:type="dxa"/>
            </w:tcMar>
          </w:tcPr>
          <w:p w:rsidR="00470219" w:rsidRDefault="00470219">
            <w:pPr>
              <w:pStyle w:val="TableSideHeading"/>
              <w:rPr>
                <w:sz w:val="26"/>
                <w:rtl/>
              </w:rPr>
            </w:pPr>
          </w:p>
        </w:tc>
        <w:tc>
          <w:tcPr>
            <w:tcW w:w="624" w:type="dxa"/>
            <w:tcMar>
              <w:top w:w="91" w:type="dxa"/>
              <w:left w:w="0" w:type="dxa"/>
              <w:bottom w:w="91" w:type="dxa"/>
              <w:right w:w="0" w:type="dxa"/>
            </w:tcMar>
          </w:tcPr>
          <w:p w:rsidR="00470219" w:rsidRDefault="00470219">
            <w:pPr>
              <w:pStyle w:val="TableText"/>
              <w:rPr>
                <w:sz w:val="26"/>
              </w:rPr>
            </w:pPr>
          </w:p>
        </w:tc>
        <w:tc>
          <w:tcPr>
            <w:tcW w:w="7146" w:type="dxa"/>
            <w:gridSpan w:val="6"/>
            <w:tcMar>
              <w:top w:w="91" w:type="dxa"/>
              <w:left w:w="0" w:type="dxa"/>
              <w:bottom w:w="91" w:type="dxa"/>
              <w:right w:w="0" w:type="dxa"/>
            </w:tcMar>
            <w:hideMark/>
          </w:tcPr>
          <w:p w:rsidR="00470219" w:rsidRDefault="00470219">
            <w:pPr>
              <w:pStyle w:val="TableBlock"/>
              <w:rPr>
                <w:sz w:val="26"/>
              </w:rPr>
            </w:pPr>
            <w:r>
              <w:rPr>
                <w:rFonts w:hint="cs"/>
                <w:sz w:val="26"/>
                <w:rtl/>
              </w:rPr>
              <w:t>"(6)</w:t>
            </w:r>
            <w:r>
              <w:rPr>
                <w:rFonts w:hint="cs"/>
                <w:sz w:val="26"/>
                <w:rtl/>
              </w:rPr>
              <w:tab/>
              <w:t>קיבל דבר דואר רשום למשלוח כשלא מצוינים על גביו הפרטים שיש לציינם לפי סעיף 56א(א)(1) ו-(2), בניגוד להוראות סעיף 56א(ב);</w:t>
            </w:r>
          </w:p>
        </w:tc>
      </w:tr>
      <w:tr w:rsidR="00470219" w:rsidTr="00470219">
        <w:trPr>
          <w:cantSplit/>
        </w:trPr>
        <w:tc>
          <w:tcPr>
            <w:tcW w:w="1871" w:type="dxa"/>
            <w:tcMar>
              <w:top w:w="91" w:type="dxa"/>
              <w:left w:w="0" w:type="dxa"/>
              <w:bottom w:w="91" w:type="dxa"/>
              <w:right w:w="0" w:type="dxa"/>
            </w:tcMar>
          </w:tcPr>
          <w:p w:rsidR="00470219" w:rsidRDefault="00470219">
            <w:pPr>
              <w:pStyle w:val="TableSideHeading"/>
              <w:rPr>
                <w:sz w:val="26"/>
              </w:rPr>
            </w:pPr>
          </w:p>
        </w:tc>
        <w:tc>
          <w:tcPr>
            <w:tcW w:w="624" w:type="dxa"/>
            <w:tcMar>
              <w:top w:w="91" w:type="dxa"/>
              <w:left w:w="0" w:type="dxa"/>
              <w:bottom w:w="91" w:type="dxa"/>
              <w:right w:w="0" w:type="dxa"/>
            </w:tcMar>
          </w:tcPr>
          <w:p w:rsidR="00470219" w:rsidRDefault="00470219">
            <w:pPr>
              <w:pStyle w:val="TableText"/>
              <w:rPr>
                <w:sz w:val="26"/>
              </w:rPr>
            </w:pPr>
          </w:p>
        </w:tc>
        <w:tc>
          <w:tcPr>
            <w:tcW w:w="7146" w:type="dxa"/>
            <w:gridSpan w:val="6"/>
            <w:tcMar>
              <w:top w:w="91" w:type="dxa"/>
              <w:left w:w="0" w:type="dxa"/>
              <w:bottom w:w="91" w:type="dxa"/>
              <w:right w:w="0" w:type="dxa"/>
            </w:tcMar>
            <w:hideMark/>
          </w:tcPr>
          <w:p w:rsidR="00470219" w:rsidRDefault="00470219">
            <w:pPr>
              <w:pStyle w:val="TableBlock"/>
              <w:rPr>
                <w:sz w:val="26"/>
              </w:rPr>
            </w:pPr>
            <w:r>
              <w:rPr>
                <w:rFonts w:hint="cs"/>
                <w:sz w:val="26"/>
                <w:rtl/>
              </w:rPr>
              <w:t>(7)</w:t>
            </w:r>
            <w:r>
              <w:rPr>
                <w:rFonts w:hint="cs"/>
                <w:sz w:val="26"/>
                <w:rtl/>
              </w:rPr>
              <w:tab/>
              <w:t>לא ציין על גבי הודעת דואר רשום את הפרטים שציין השולח על גבי דבר הדואר הרשום, בניגוד להוראות סעיף 56א(ג)."</w:t>
            </w:r>
          </w:p>
        </w:tc>
      </w:tr>
      <w:tr w:rsidR="00470219" w:rsidTr="00470219">
        <w:trPr>
          <w:cantSplit/>
        </w:trPr>
        <w:tc>
          <w:tcPr>
            <w:tcW w:w="1871" w:type="dxa"/>
            <w:tcMar>
              <w:top w:w="91" w:type="dxa"/>
              <w:left w:w="0" w:type="dxa"/>
              <w:bottom w:w="91" w:type="dxa"/>
              <w:right w:w="0" w:type="dxa"/>
            </w:tcMar>
            <w:hideMark/>
          </w:tcPr>
          <w:p w:rsidR="00470219" w:rsidRDefault="00470219">
            <w:pPr>
              <w:pStyle w:val="TableSideHeading"/>
              <w:rPr>
                <w:color w:val="auto"/>
                <w:sz w:val="26"/>
              </w:rPr>
            </w:pPr>
            <w:r>
              <w:rPr>
                <w:rFonts w:hint="cs"/>
                <w:color w:val="auto"/>
                <w:sz w:val="26"/>
                <w:rtl/>
              </w:rPr>
              <w:t xml:space="preserve">תחילה </w:t>
            </w:r>
          </w:p>
        </w:tc>
        <w:tc>
          <w:tcPr>
            <w:tcW w:w="624" w:type="dxa"/>
            <w:tcMar>
              <w:top w:w="91" w:type="dxa"/>
              <w:left w:w="0" w:type="dxa"/>
              <w:bottom w:w="91" w:type="dxa"/>
              <w:right w:w="0" w:type="dxa"/>
            </w:tcMar>
            <w:hideMark/>
          </w:tcPr>
          <w:p w:rsidR="00470219" w:rsidRDefault="00470219">
            <w:pPr>
              <w:pStyle w:val="TableText"/>
              <w:rPr>
                <w:color w:val="auto"/>
              </w:rPr>
            </w:pPr>
            <w:r>
              <w:rPr>
                <w:rFonts w:hint="cs"/>
                <w:color w:val="auto"/>
                <w:rtl/>
              </w:rPr>
              <w:t xml:space="preserve">4. </w:t>
            </w:r>
          </w:p>
        </w:tc>
        <w:tc>
          <w:tcPr>
            <w:tcW w:w="7146" w:type="dxa"/>
            <w:gridSpan w:val="6"/>
            <w:tcMar>
              <w:top w:w="91" w:type="dxa"/>
              <w:left w:w="0" w:type="dxa"/>
              <w:bottom w:w="91" w:type="dxa"/>
              <w:right w:w="0" w:type="dxa"/>
            </w:tcMar>
            <w:hideMark/>
          </w:tcPr>
          <w:p w:rsidR="00470219" w:rsidRDefault="00470219">
            <w:pPr>
              <w:pStyle w:val="TableBlock"/>
              <w:rPr>
                <w:color w:val="auto"/>
                <w:sz w:val="26"/>
              </w:rPr>
            </w:pPr>
            <w:r>
              <w:rPr>
                <w:rFonts w:hint="cs"/>
                <w:color w:val="auto"/>
                <w:sz w:val="26"/>
                <w:rtl/>
              </w:rPr>
              <w:t>תחילתו של חוק זה ביום כ"ז בתשרי התשע"ו (10 באוקטובר 2015).</w:t>
            </w:r>
          </w:p>
        </w:tc>
      </w:tr>
    </w:tbl>
    <w:p w:rsidR="00470219" w:rsidRDefault="00470219" w:rsidP="00470219">
      <w:pPr>
        <w:pStyle w:val="HeadDivreiHesber"/>
        <w:rPr>
          <w:rtl/>
        </w:rPr>
      </w:pPr>
      <w:r>
        <w:rPr>
          <w:rFonts w:hint="cs"/>
          <w:rtl/>
        </w:rPr>
        <w:t>דברי הסבר</w:t>
      </w:r>
    </w:p>
    <w:p w:rsidR="00F0340E" w:rsidRPr="00E81820" w:rsidRDefault="00470219" w:rsidP="00B35EE3">
      <w:pPr>
        <w:pStyle w:val="Hesber"/>
        <w:rPr>
          <w:rtl/>
        </w:rPr>
      </w:pPr>
      <w:r>
        <w:rPr>
          <w:rFonts w:hint="cs"/>
          <w:rtl/>
        </w:rPr>
        <w:t xml:space="preserve">בהתאם למצב החוק הקיים </w:t>
      </w:r>
      <w:r w:rsidR="00F0340E" w:rsidRPr="00E81820">
        <w:rPr>
          <w:rFonts w:hint="cs"/>
          <w:rtl/>
        </w:rPr>
        <w:t xml:space="preserve">בעל רישיון </w:t>
      </w:r>
      <w:r>
        <w:rPr>
          <w:rFonts w:hint="cs"/>
          <w:rtl/>
        </w:rPr>
        <w:t xml:space="preserve">כללי למתן </w:t>
      </w:r>
      <w:r w:rsidR="00F0340E">
        <w:rPr>
          <w:rFonts w:hint="cs"/>
          <w:rtl/>
        </w:rPr>
        <w:t xml:space="preserve">שירותי דואר </w:t>
      </w:r>
      <w:r>
        <w:rPr>
          <w:rFonts w:hint="cs"/>
          <w:rtl/>
        </w:rPr>
        <w:t xml:space="preserve">(להלן – בעל רישיון) </w:t>
      </w:r>
      <w:r w:rsidR="00F0340E" w:rsidRPr="00E81820">
        <w:rPr>
          <w:rFonts w:hint="cs"/>
          <w:rtl/>
        </w:rPr>
        <w:t>אינו חייב לציין בהודעה בדבר משלוח דבר דואר רשום בארץ אותה הוא מוסר לנמען</w:t>
      </w:r>
      <w:r w:rsidR="00F0340E">
        <w:rPr>
          <w:rFonts w:hint="cs"/>
          <w:rtl/>
        </w:rPr>
        <w:t>,</w:t>
      </w:r>
      <w:r w:rsidR="00F0340E" w:rsidRPr="00E81820">
        <w:rPr>
          <w:rFonts w:hint="cs"/>
          <w:rtl/>
        </w:rPr>
        <w:t xml:space="preserve"> את שמו ומענו של השולח. החסרת פרטי מידע אל</w:t>
      </w:r>
      <w:r w:rsidR="00F0340E">
        <w:rPr>
          <w:rFonts w:hint="cs"/>
          <w:rtl/>
        </w:rPr>
        <w:t>ה</w:t>
      </w:r>
      <w:r w:rsidR="00F0340E" w:rsidRPr="00E81820">
        <w:rPr>
          <w:rFonts w:hint="cs"/>
          <w:rtl/>
        </w:rPr>
        <w:t xml:space="preserve"> מונעת מן הנמען לדעת מי השולח ומה מידת דחיפות קבלת דבר הדואר, שכן איסוף דבר הדואר מצריך הגעה לבית דואר.</w:t>
      </w:r>
    </w:p>
    <w:p w:rsidR="00F0340E" w:rsidRDefault="00F0340E" w:rsidP="00B35EE3">
      <w:pPr>
        <w:pStyle w:val="Hesber"/>
        <w:rPr>
          <w:rtl/>
        </w:rPr>
      </w:pPr>
      <w:r w:rsidRPr="00E81820">
        <w:rPr>
          <w:rFonts w:hint="cs"/>
          <w:rtl/>
        </w:rPr>
        <w:t>מטרת התיקון המוצע לחייב את בעל ה</w:t>
      </w:r>
      <w:r>
        <w:rPr>
          <w:rFonts w:hint="cs"/>
          <w:rtl/>
        </w:rPr>
        <w:t>רישיון לפרט את שמו ומענו של השול</w:t>
      </w:r>
      <w:r w:rsidRPr="00E81820">
        <w:rPr>
          <w:rFonts w:hint="cs"/>
          <w:rtl/>
        </w:rPr>
        <w:t>ח בהודעה בדבר משלוח דבר דואר רשום בארץ.</w:t>
      </w:r>
    </w:p>
    <w:p w:rsidR="00470219" w:rsidRDefault="00470219" w:rsidP="00B35EE3">
      <w:pPr>
        <w:pStyle w:val="Hesber"/>
        <w:rPr>
          <w:rtl/>
        </w:rPr>
      </w:pPr>
      <w:r>
        <w:rPr>
          <w:rFonts w:hint="cs"/>
          <w:rtl/>
        </w:rPr>
        <w:t xml:space="preserve">הצעת החוק זהה להצעת החוק </w:t>
      </w:r>
      <w:r w:rsidR="00B35EE3">
        <w:rPr>
          <w:rFonts w:hint="cs"/>
          <w:rtl/>
        </w:rPr>
        <w:t>שהונחה על שולחן הכנסת</w:t>
      </w:r>
      <w:r>
        <w:rPr>
          <w:rFonts w:hint="cs"/>
          <w:rtl/>
        </w:rPr>
        <w:t xml:space="preserve"> לקריאה השנייה </w:t>
      </w:r>
      <w:r w:rsidR="00B35EE3">
        <w:rPr>
          <w:rFonts w:hint="cs"/>
          <w:rtl/>
        </w:rPr>
        <w:t>ו</w:t>
      </w:r>
      <w:r>
        <w:rPr>
          <w:rFonts w:hint="cs"/>
          <w:rtl/>
        </w:rPr>
        <w:t>השלישית על-ידי ועדת הכלכלה של הכנסת התשע-עשרה (מ-881</w:t>
      </w:r>
      <w:r w:rsidR="00B35EE3">
        <w:rPr>
          <w:rFonts w:hint="cs"/>
          <w:rtl/>
        </w:rPr>
        <w:t>/</w:t>
      </w:r>
      <w:r>
        <w:rPr>
          <w:rFonts w:hint="cs"/>
          <w:rtl/>
        </w:rPr>
        <w:t>א').</w:t>
      </w:r>
    </w:p>
    <w:p w:rsidR="00470219" w:rsidRDefault="00470219" w:rsidP="00B35EE3">
      <w:pPr>
        <w:pStyle w:val="Hesber"/>
        <w:rPr>
          <w:rtl/>
        </w:rPr>
      </w:pPr>
      <w:r>
        <w:rPr>
          <w:rFonts w:hint="cs"/>
          <w:rtl/>
        </w:rPr>
        <w:t xml:space="preserve">הצעות חוק דומות בעיקרן הונחו על שולחן הכנסת התשע-עשרה על ידי חבר הכנסת נחמן שי (209/19) ועל ידי חבר הכנסת אורי מקלב וקבוצת </w:t>
      </w:r>
      <w:r w:rsidRPr="00470219">
        <w:rPr>
          <w:rFonts w:hint="cs"/>
          <w:rtl/>
        </w:rPr>
        <w:t>חברי</w:t>
      </w:r>
      <w:r>
        <w:rPr>
          <w:rFonts w:hint="cs"/>
          <w:rtl/>
        </w:rPr>
        <w:t xml:space="preserve"> הכנסת (פ/2259/19), ועל שולחן הכנסת העשרים על ידי חברי הכנסת אורי מקלב ומשה גפני (פ/696/20).</w:t>
      </w:r>
    </w:p>
    <w:p w:rsidR="00FC13DC" w:rsidRDefault="00FC13DC" w:rsidP="00B35EE3">
      <w:pPr>
        <w:pStyle w:val="Hesber"/>
        <w:rPr>
          <w:rtl/>
        </w:rPr>
      </w:pPr>
    </w:p>
    <w:p w:rsidR="00FC13DC" w:rsidRDefault="00FC13DC" w:rsidP="00470219">
      <w:pPr>
        <w:pStyle w:val="Hesber"/>
        <w:rPr>
          <w:rtl/>
        </w:rPr>
      </w:pPr>
    </w:p>
    <w:p w:rsidR="00FC13DC" w:rsidRPr="00557D2C" w:rsidRDefault="00FC13DC" w:rsidP="007D273A">
      <w:pPr>
        <w:pStyle w:val="Hesber"/>
        <w:rPr>
          <w:rtl/>
        </w:rPr>
      </w:pPr>
      <w:r w:rsidRPr="00557D2C">
        <w:rPr>
          <w:rtl/>
        </w:rPr>
        <w:t>---------------------------------</w:t>
      </w:r>
    </w:p>
    <w:p w:rsidR="00FC13DC" w:rsidRPr="00557D2C" w:rsidRDefault="00FC13DC" w:rsidP="007D273A">
      <w:pPr>
        <w:pStyle w:val="Hesber"/>
        <w:rPr>
          <w:rtl/>
        </w:rPr>
      </w:pPr>
      <w:r w:rsidRPr="00557D2C">
        <w:rPr>
          <w:rtl/>
        </w:rPr>
        <w:t>הוגשה ליו"ר הכנסת והסגנים</w:t>
      </w:r>
    </w:p>
    <w:p w:rsidR="00FC13DC" w:rsidRPr="00557D2C" w:rsidRDefault="00FC13DC" w:rsidP="007D273A">
      <w:pPr>
        <w:pStyle w:val="Hesber"/>
        <w:rPr>
          <w:rtl/>
        </w:rPr>
      </w:pPr>
      <w:r w:rsidRPr="00557D2C">
        <w:rPr>
          <w:rtl/>
        </w:rPr>
        <w:t>והונחה על שולחן הכנסת ביום</w:t>
      </w:r>
    </w:p>
    <w:p w:rsidR="00FC13DC" w:rsidRDefault="00FC13DC" w:rsidP="00FC13DC">
      <w:pPr>
        <w:pStyle w:val="Hesber"/>
        <w:rPr>
          <w:rtl/>
        </w:rPr>
      </w:pPr>
      <w:r>
        <w:rPr>
          <w:rFonts w:hint="cs"/>
          <w:rtl/>
        </w:rPr>
        <w:t>ה'</w:t>
      </w:r>
      <w:r w:rsidRPr="00557D2C">
        <w:rPr>
          <w:rFonts w:hint="cs"/>
          <w:rtl/>
        </w:rPr>
        <w:t xml:space="preserve"> </w:t>
      </w:r>
      <w:r>
        <w:rPr>
          <w:rFonts w:hint="cs"/>
          <w:rtl/>
        </w:rPr>
        <w:t xml:space="preserve">בתמוז </w:t>
      </w:r>
      <w:r w:rsidRPr="00557D2C">
        <w:rPr>
          <w:rFonts w:hint="cs"/>
          <w:rtl/>
        </w:rPr>
        <w:t xml:space="preserve">התשע"ה </w:t>
      </w:r>
      <w:r w:rsidRPr="00557D2C">
        <w:rPr>
          <w:rtl/>
        </w:rPr>
        <w:t>–</w:t>
      </w:r>
      <w:r>
        <w:rPr>
          <w:rFonts w:hint="cs"/>
          <w:rtl/>
        </w:rPr>
        <w:t xml:space="preserve"> 22.6</w:t>
      </w:r>
      <w:r w:rsidR="00B35EE3">
        <w:rPr>
          <w:rFonts w:hint="cs"/>
          <w:rtl/>
        </w:rPr>
        <w:t>.1</w:t>
      </w:r>
    </w:p>
    <w:p w:rsidR="00E13C27" w:rsidRDefault="00E13C27" w:rsidP="00E13C27">
      <w:pPr>
        <w:pStyle w:val="Hesber"/>
        <w:rPr>
          <w:rtl/>
        </w:rPr>
      </w:pPr>
    </w:p>
    <w:sectPr w:rsidR="00E13C27"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681" w:rsidRDefault="00E35681">
      <w:r>
        <w:separator/>
      </w:r>
    </w:p>
  </w:endnote>
  <w:endnote w:type="continuationSeparator" w:id="0">
    <w:p w:rsidR="00E35681" w:rsidRDefault="00E35681">
      <w:r>
        <w:continuationSeparator/>
      </w:r>
    </w:p>
  </w:endnote>
  <w:endnote w:type="continuationNotice" w:id="1">
    <w:p w:rsidR="00E35681" w:rsidRDefault="00E3568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HadasaMFO">
    <w:altName w:val="Courier New"/>
    <w:charset w:val="B1"/>
    <w:family w:val="auto"/>
    <w:pitch w:val="variable"/>
    <w:sig w:usb0="00000800"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3244C">
      <w:rPr>
        <w:rStyle w:val="ab"/>
        <w:noProof/>
        <w:rtl/>
      </w:rPr>
      <w:t>3</w:t>
    </w:r>
    <w:r>
      <w:rPr>
        <w:rStyle w:val="ab"/>
        <w:rtl/>
      </w:rPr>
      <w:fldChar w:fldCharType="end"/>
    </w:r>
  </w:p>
  <w:p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681" w:rsidRDefault="00E35681">
      <w:r>
        <w:separator/>
      </w:r>
    </w:p>
  </w:footnote>
  <w:footnote w:type="continuationSeparator" w:id="0">
    <w:p w:rsidR="00E35681" w:rsidRDefault="00E35681">
      <w:r>
        <w:continuationSeparator/>
      </w:r>
    </w:p>
  </w:footnote>
  <w:footnote w:type="continuationNotice" w:id="1">
    <w:p w:rsidR="00E35681" w:rsidRDefault="00E35681"/>
  </w:footnote>
  <w:footnote w:id="2">
    <w:p w:rsidR="00470219" w:rsidRDefault="00470219" w:rsidP="00470219">
      <w:pPr>
        <w:pStyle w:val="a4"/>
        <w:rPr>
          <w:rFonts w:ascii="Hadasa Roso SL" w:hAnsi="Hadasa Roso SL" w:cs="Hadasa Roso SL"/>
          <w:spacing w:val="1"/>
          <w:sz w:val="20"/>
          <w:rtl/>
        </w:rPr>
      </w:pPr>
      <w:r>
        <w:rPr>
          <w:rStyle w:val="a6"/>
        </w:rPr>
        <w:footnoteRef/>
      </w:r>
      <w:r>
        <w:rPr>
          <w:rFonts w:hint="cs"/>
          <w:rtl/>
        </w:rPr>
        <w:t xml:space="preserve"> ס"ח התשמ"ו, עמ' 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03922B83"/>
    <w:multiLevelType w:val="hybridMultilevel"/>
    <w:tmpl w:val="49A49BB4"/>
    <w:lvl w:ilvl="0" w:tplc="54BE5D4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DB2ACC"/>
    <w:multiLevelType w:val="hybridMultilevel"/>
    <w:tmpl w:val="13DA09D6"/>
    <w:lvl w:ilvl="0" w:tplc="CA803184">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216E62"/>
    <w:multiLevelType w:val="hybridMultilevel"/>
    <w:tmpl w:val="3FAE4BE0"/>
    <w:lvl w:ilvl="0" w:tplc="2748817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944B9"/>
    <w:multiLevelType w:val="hybridMultilevel"/>
    <w:tmpl w:val="CF185B34"/>
    <w:lvl w:ilvl="0" w:tplc="B7246FD6">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6A16F6"/>
    <w:multiLevelType w:val="hybridMultilevel"/>
    <w:tmpl w:val="C26C388E"/>
    <w:lvl w:ilvl="0" w:tplc="CE32F746">
      <w:start w:val="1"/>
      <w:numFmt w:val="hebrew1"/>
      <w:lvlText w:val="(%1)"/>
      <w:lvlJc w:val="left"/>
      <w:pPr>
        <w:ind w:left="420" w:hanging="360"/>
      </w:pPr>
      <w:rPr>
        <w:rFonts w:hint="default"/>
        <w:sz w:val="26"/>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CDD2EB6"/>
    <w:multiLevelType w:val="hybridMultilevel"/>
    <w:tmpl w:val="A0FEB800"/>
    <w:lvl w:ilvl="0" w:tplc="173CA01A">
      <w:start w:val="1"/>
      <w:numFmt w:val="decimal"/>
      <w:lvlText w:val="(%1)"/>
      <w:lvlJc w:val="left"/>
      <w:pPr>
        <w:ind w:left="780" w:hanging="360"/>
      </w:pPr>
      <w:rPr>
        <w:rFonts w:hint="default"/>
        <w:sz w:val="26"/>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num>
  <w:num w:numId="13">
    <w:abstractNumId w:val="12"/>
  </w:num>
  <w:num w:numId="14">
    <w:abstractNumId w:val="19"/>
  </w:num>
  <w:num w:numId="15">
    <w:abstractNumId w:val="16"/>
  </w:num>
  <w:num w:numId="16">
    <w:abstractNumId w:val="14"/>
  </w:num>
  <w:num w:numId="17">
    <w:abstractNumId w:val="11"/>
  </w:num>
  <w:num w:numId="18">
    <w:abstractNumId w:val="17"/>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B5053"/>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2631C"/>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022A5"/>
    <w:rsid w:val="003232A2"/>
    <w:rsid w:val="00325C14"/>
    <w:rsid w:val="00341711"/>
    <w:rsid w:val="0036422C"/>
    <w:rsid w:val="003710F6"/>
    <w:rsid w:val="00386E88"/>
    <w:rsid w:val="00396585"/>
    <w:rsid w:val="003D6E38"/>
    <w:rsid w:val="003D74A0"/>
    <w:rsid w:val="004033D8"/>
    <w:rsid w:val="004073F0"/>
    <w:rsid w:val="00412A7D"/>
    <w:rsid w:val="00416B4D"/>
    <w:rsid w:val="00417CFC"/>
    <w:rsid w:val="0043244C"/>
    <w:rsid w:val="00432E5D"/>
    <w:rsid w:val="00470219"/>
    <w:rsid w:val="004A06DC"/>
    <w:rsid w:val="004B24ED"/>
    <w:rsid w:val="004B6625"/>
    <w:rsid w:val="004D2D82"/>
    <w:rsid w:val="004D3876"/>
    <w:rsid w:val="004E4552"/>
    <w:rsid w:val="004E6CDF"/>
    <w:rsid w:val="004F6450"/>
    <w:rsid w:val="00553C9D"/>
    <w:rsid w:val="00562A66"/>
    <w:rsid w:val="005A01A6"/>
    <w:rsid w:val="005B064E"/>
    <w:rsid w:val="005D51AE"/>
    <w:rsid w:val="0062674B"/>
    <w:rsid w:val="006363B2"/>
    <w:rsid w:val="00644940"/>
    <w:rsid w:val="00644EAE"/>
    <w:rsid w:val="006818A9"/>
    <w:rsid w:val="006A2D81"/>
    <w:rsid w:val="006C1D0D"/>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B3F35"/>
    <w:rsid w:val="009D6E0A"/>
    <w:rsid w:val="009E1E33"/>
    <w:rsid w:val="009F7497"/>
    <w:rsid w:val="00A14672"/>
    <w:rsid w:val="00A26BD6"/>
    <w:rsid w:val="00A443CF"/>
    <w:rsid w:val="00A6611D"/>
    <w:rsid w:val="00A82CB7"/>
    <w:rsid w:val="00A942C1"/>
    <w:rsid w:val="00AA2F03"/>
    <w:rsid w:val="00AB3300"/>
    <w:rsid w:val="00AB4F3A"/>
    <w:rsid w:val="00AC36F7"/>
    <w:rsid w:val="00AC63A4"/>
    <w:rsid w:val="00AD239E"/>
    <w:rsid w:val="00B10265"/>
    <w:rsid w:val="00B16A99"/>
    <w:rsid w:val="00B21211"/>
    <w:rsid w:val="00B35784"/>
    <w:rsid w:val="00B35EE3"/>
    <w:rsid w:val="00B659E5"/>
    <w:rsid w:val="00B733A7"/>
    <w:rsid w:val="00B75C91"/>
    <w:rsid w:val="00B975AD"/>
    <w:rsid w:val="00BC45FB"/>
    <w:rsid w:val="00BF148D"/>
    <w:rsid w:val="00C23B1A"/>
    <w:rsid w:val="00C310EB"/>
    <w:rsid w:val="00C5297C"/>
    <w:rsid w:val="00C9176A"/>
    <w:rsid w:val="00CF1AA2"/>
    <w:rsid w:val="00D17774"/>
    <w:rsid w:val="00D63620"/>
    <w:rsid w:val="00D8410D"/>
    <w:rsid w:val="00D867D7"/>
    <w:rsid w:val="00DB2D14"/>
    <w:rsid w:val="00DB7060"/>
    <w:rsid w:val="00DE3153"/>
    <w:rsid w:val="00DF51DF"/>
    <w:rsid w:val="00E06736"/>
    <w:rsid w:val="00E13C27"/>
    <w:rsid w:val="00E33BBD"/>
    <w:rsid w:val="00E35681"/>
    <w:rsid w:val="00E374F2"/>
    <w:rsid w:val="00E45103"/>
    <w:rsid w:val="00E55A60"/>
    <w:rsid w:val="00E62778"/>
    <w:rsid w:val="00E63D38"/>
    <w:rsid w:val="00E665B9"/>
    <w:rsid w:val="00EA01E6"/>
    <w:rsid w:val="00EA074C"/>
    <w:rsid w:val="00EA3DE8"/>
    <w:rsid w:val="00EA758F"/>
    <w:rsid w:val="00ED4A6F"/>
    <w:rsid w:val="00EF3A3A"/>
    <w:rsid w:val="00F0340E"/>
    <w:rsid w:val="00F628D6"/>
    <w:rsid w:val="00F67051"/>
    <w:rsid w:val="00F86A1E"/>
    <w:rsid w:val="00FA5E88"/>
    <w:rsid w:val="00FC13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paragraph" w:styleId="ae">
    <w:name w:val="List Paragraph"/>
    <w:basedOn w:val="a"/>
    <w:uiPriority w:val="34"/>
    <w:qFormat/>
    <w:rsid w:val="00644EAE"/>
    <w:pPr>
      <w:ind w:left="720"/>
      <w:contextualSpacing/>
    </w:pPr>
  </w:style>
  <w:style w:type="character" w:customStyle="1" w:styleId="a5">
    <w:name w:val="טקסט הערת שוליים תו"/>
    <w:basedOn w:val="a0"/>
    <w:link w:val="a4"/>
    <w:semiHidden/>
    <w:rsid w:val="00470219"/>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paragraph" w:styleId="ae">
    <w:name w:val="List Paragraph"/>
    <w:basedOn w:val="a"/>
    <w:uiPriority w:val="34"/>
    <w:qFormat/>
    <w:rsid w:val="00644EAE"/>
    <w:pPr>
      <w:ind w:left="720"/>
      <w:contextualSpacing/>
    </w:pPr>
  </w:style>
  <w:style w:type="character" w:customStyle="1" w:styleId="a5">
    <w:name w:val="טקסט הערת שוליים תו"/>
    <w:basedOn w:val="a0"/>
    <w:link w:val="a4"/>
    <w:semiHidden/>
    <w:rsid w:val="00470219"/>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338695">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5047B-D2BD-4BB2-A9BF-B1F84A6D3F73}"/>
</file>

<file path=customXml/itemProps2.xml><?xml version="1.0" encoding="utf-8"?>
<ds:datastoreItem xmlns:ds="http://schemas.openxmlformats.org/officeDocument/2006/customXml" ds:itemID="{88F4AFE3-9455-419C-8851-785A55F44517}"/>
</file>

<file path=customXml/itemProps3.xml><?xml version="1.0" encoding="utf-8"?>
<ds:datastoreItem xmlns:ds="http://schemas.openxmlformats.org/officeDocument/2006/customXml" ds:itemID="{53CDC32B-DD97-493E-9196-3EF77D6F9C7D}"/>
</file>

<file path=customXml/itemProps4.xml><?xml version="1.0" encoding="utf-8"?>
<ds:datastoreItem xmlns:ds="http://schemas.openxmlformats.org/officeDocument/2006/customXml" ds:itemID="{F462EA04-17C4-40F4-AFC3-9B53AECDC658}"/>
</file>

<file path=docProps/app.xml><?xml version="1.0" encoding="utf-8"?>
<Properties xmlns="http://schemas.openxmlformats.org/officeDocument/2006/extended-properties" xmlns:vt="http://schemas.openxmlformats.org/officeDocument/2006/docPropsVTypes">
  <Template>Normal</Template>
  <TotalTime>67</TotalTime>
  <Pages>1</Pages>
  <Words>538</Words>
  <Characters>2691</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11</cp:revision>
  <cp:lastPrinted>2015-06-18T06:08:00Z</cp:lastPrinted>
  <dcterms:created xsi:type="dcterms:W3CDTF">2015-04-20T09:58:00Z</dcterms:created>
  <dcterms:modified xsi:type="dcterms:W3CDTF">2015-06-18T07:35:00Z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565738</vt:r8>
  </property>
</Properties>
</file>